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25357" w14:textId="290619BA" w:rsidR="00E47761" w:rsidRPr="00587DF1" w:rsidRDefault="00967C47" w:rsidP="00E47761">
      <w:pPr>
        <w:spacing w:after="0" w:line="240" w:lineRule="auto"/>
        <w:jc w:val="center"/>
        <w:rPr>
          <w:rFonts w:ascii="Arial" w:eastAsia="Arial" w:hAnsi="Arial" w:cs="Arial"/>
          <w:b/>
          <w:color w:val="FF0000"/>
          <w:sz w:val="28"/>
          <w:szCs w:val="28"/>
        </w:rPr>
      </w:pPr>
      <w:r w:rsidRPr="00587DF1">
        <w:rPr>
          <w:rFonts w:ascii="Arial" w:hAnsi="Arial" w:cs="Arial"/>
          <w:noProof/>
        </w:rPr>
        <w:drawing>
          <wp:anchor distT="0" distB="0" distL="114300" distR="114300" simplePos="0" relativeHeight="251661312" behindDoc="0" locked="0" layoutInCell="1" allowOverlap="1" wp14:anchorId="457C9EA2" wp14:editId="4680612B">
            <wp:simplePos x="0" y="0"/>
            <wp:positionH relativeFrom="margin">
              <wp:posOffset>4936490</wp:posOffset>
            </wp:positionH>
            <wp:positionV relativeFrom="page">
              <wp:posOffset>671830</wp:posOffset>
            </wp:positionV>
            <wp:extent cx="1925955" cy="3745865"/>
            <wp:effectExtent l="0" t="0" r="0" b="69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r="48570"/>
                    <a:stretch>
                      <a:fillRect/>
                    </a:stretch>
                  </pic:blipFill>
                  <pic:spPr bwMode="auto">
                    <a:xfrm>
                      <a:off x="0" y="0"/>
                      <a:ext cx="1925955" cy="3745865"/>
                    </a:xfrm>
                    <a:prstGeom prst="rect">
                      <a:avLst/>
                    </a:prstGeom>
                    <a:noFill/>
                  </pic:spPr>
                </pic:pic>
              </a:graphicData>
            </a:graphic>
            <wp14:sizeRelH relativeFrom="margin">
              <wp14:pctWidth>0</wp14:pctWidth>
            </wp14:sizeRelH>
            <wp14:sizeRelV relativeFrom="margin">
              <wp14:pctHeight>0</wp14:pctHeight>
            </wp14:sizeRelV>
          </wp:anchor>
        </w:drawing>
      </w:r>
    </w:p>
    <w:p w14:paraId="627427AA" w14:textId="4C3F0741" w:rsidR="00E47761" w:rsidRPr="00587DF1" w:rsidRDefault="00E47761" w:rsidP="00E47761">
      <w:pPr>
        <w:pStyle w:val="Textanchor"/>
        <w:rPr>
          <w:rFonts w:ascii="Arial" w:hAnsi="Arial" w:cs="Arial"/>
        </w:rPr>
      </w:pPr>
      <w:r w:rsidRPr="00587DF1">
        <w:rPr>
          <w:rFonts w:ascii="Arial" w:hAnsi="Arial" w:cs="Arial"/>
          <w:noProof/>
          <w:lang w:eastAsia="en-GB"/>
        </w:rPr>
        <mc:AlternateContent>
          <mc:Choice Requires="wps">
            <w:drawing>
              <wp:anchor distT="0" distB="0" distL="114300" distR="114300" simplePos="0" relativeHeight="251657728" behindDoc="0" locked="1" layoutInCell="1" allowOverlap="1" wp14:anchorId="6A9D3496" wp14:editId="14F0F382">
                <wp:simplePos x="0" y="0"/>
                <wp:positionH relativeFrom="margin">
                  <wp:posOffset>-444500</wp:posOffset>
                </wp:positionH>
                <wp:positionV relativeFrom="margin">
                  <wp:posOffset>-266700</wp:posOffset>
                </wp:positionV>
                <wp:extent cx="7213600" cy="2032000"/>
                <wp:effectExtent l="0" t="0" r="6350" b="6350"/>
                <wp:wrapSquare wrapText="bothSides"/>
                <wp:docPr id="13" name="Rectangle 13"/>
                <wp:cNvGraphicFramePr/>
                <a:graphic xmlns:a="http://schemas.openxmlformats.org/drawingml/2006/main">
                  <a:graphicData uri="http://schemas.microsoft.com/office/word/2010/wordprocessingShape">
                    <wps:wsp>
                      <wps:cNvSpPr/>
                      <wps:spPr>
                        <a:xfrm>
                          <a:off x="0" y="0"/>
                          <a:ext cx="7213600" cy="2032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55663E" w14:textId="77777777" w:rsidR="005A7607" w:rsidRDefault="005A7607" w:rsidP="00C23C98">
                            <w:pPr>
                              <w:pStyle w:val="ReportTitle"/>
                              <w:tabs>
                                <w:tab w:val="left" w:pos="7371"/>
                              </w:tabs>
                              <w:ind w:left="426" w:right="2235"/>
                            </w:pPr>
                            <w:r>
                              <w:t>Oriel</w:t>
                            </w:r>
                          </w:p>
                          <w:p w14:paraId="220DDBEC" w14:textId="74724887" w:rsidR="005A7607" w:rsidRPr="0009374F" w:rsidRDefault="005A7607" w:rsidP="00C23C98">
                            <w:pPr>
                              <w:pStyle w:val="ReportTitle"/>
                              <w:tabs>
                                <w:tab w:val="left" w:pos="7371"/>
                              </w:tabs>
                              <w:ind w:left="426" w:right="2235"/>
                              <w:rPr>
                                <w:sz w:val="80"/>
                                <w:szCs w:val="80"/>
                              </w:rPr>
                            </w:pPr>
                            <w:r w:rsidRPr="0009374F">
                              <w:rPr>
                                <w:sz w:val="80"/>
                                <w:szCs w:val="80"/>
                              </w:rPr>
                              <w:t>Outline Business Case</w:t>
                            </w:r>
                          </w:p>
                        </w:txbxContent>
                      </wps:txbx>
                      <wps:bodyPr rot="0" spcFirstLastPara="0" vertOverflow="overflow" horzOverflow="overflow" vert="horz" wrap="square" lIns="144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D3496" id="Rectangle 13" o:spid="_x0000_s1026" style="position:absolute;margin-left:-35pt;margin-top:-21pt;width:568pt;height:160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is5iAIAAGEFAAAOAAAAZHJzL2Uyb0RvYy54bWysVN9vGyEMfp+0/wHxvt4l6S9FvVRRq0yT&#13;&#10;qrZqOvWZcJA7CTADkrvsr5+By7Vqqz1MewGD7c/2h83Vda8V2QvnWzAVnZyUlAjDoW7NtqI/n1ff&#13;&#10;LinxgZmaKTCiogfh6fXi65erzs7FFBpQtXAEQYyfd7aiTQh2XhSeN0IzfwJWGFRKcJoFPLptUTvW&#13;&#10;IbpWxbQsz4sOXG0dcOE93t5mJV0kfCkFDw9SehGIqijmFtLq0rqJa7G4YvOtY7Zp+ZAG+4csNGsN&#13;&#10;Bh2hbllgZOfaD1C65Q48yHDCQRcgZctFqgGrmZTvqlk3zIpUC5Lj7UiT/3+w/H7/6Ehb49vNKDFM&#13;&#10;4xs9IWvMbJUgeIcEddbP0W5tH91w8ijGanvpdNyxDtInUg8jqaIPhOPlxXQyOy+Re466aTnDV0u0&#13;&#10;F6/u1vnwXYAmUaiow/iJTLa/8wFDounRJEZTJq4GVq1SWRtviphmTixJ4aBEtn4SEivEVKYJNfWW&#13;&#10;uFGO7Bl2BeNcmDDJqobVIl+fYZrHPEePlIoyCBiRJcYfsQeA2LcfsXOWg310Fak1R+fyb4ll59Ej&#13;&#10;RQYTRmfdGnCfASisaoic7Y8kZWoiS6Hf9GgSxQ3UB2wFB3lGvOWrFp/jjvnwyBwOBT4hDnp4wEUq&#13;&#10;6CoKg0RJA+73Z/fRHnsVtZR0OGQV9b92zAlK1A+DXTw5PY0sk5BOp2cXUzy4rCovk2rzVmV2+gbw&#13;&#10;zSb4qViexOgQ1FGUDvQL/gjLGBdVzHCMXlEe3PFwE/L445/CxXKZzHAWLQt3Zm15BI8Ux4Z77l+Y&#13;&#10;s0NXBmzoeziOJJu/a85sGz0NLHcBZJs695XZgXyc49RFw58TP4q352T1+jMu/gAAAP//AwBQSwME&#13;&#10;FAAGAAgAAAAhAKcxBUXiAAAAEQEAAA8AAABkcnMvZG93bnJldi54bWxMj0FPwzAMhe9I/IfISFym&#13;&#10;LaFMbemaTgiExnUbcPaa0FY0TtVkW/n3eKdxsT7L9vN75XpyvTjZMXSeNDwsFAhLtTcdNRo+9m/z&#13;&#10;HESISAZ7T1bDrw2wrm5vSiyMP9PWnnaxESxCoUANbYxDIWWoW+swLPxgiWfffnQYuR0baUY8s7jr&#13;&#10;ZaJUKh12xB9aHOxLa+uf3dFpsLN8EzOH+9n71/Jz6582Ch9J6/u76XXF5XkFItopXi/gkoH9Q8XG&#13;&#10;Dv5IJohewzxTHCgyLBOGy4ZKU6aDhiTLFciqlP+TVH8AAAD//wMAUEsBAi0AFAAGAAgAAAAhALaD&#13;&#10;OJL+AAAA4QEAABMAAAAAAAAAAAAAAAAAAAAAAFtDb250ZW50X1R5cGVzXS54bWxQSwECLQAUAAYA&#13;&#10;CAAAACEAOP0h/9YAAACUAQAACwAAAAAAAAAAAAAAAAAvAQAAX3JlbHMvLnJlbHNQSwECLQAUAAYA&#13;&#10;CAAAACEAkrIrOYgCAABhBQAADgAAAAAAAAAAAAAAAAAuAgAAZHJzL2Uyb0RvYy54bWxQSwECLQAU&#13;&#10;AAYACAAAACEApzEFReIAAAARAQAADwAAAAAAAAAAAAAAAADiBAAAZHJzL2Rvd25yZXYueG1sUEsF&#13;&#10;BgAAAAAEAAQA8wAAAPEFAAAAAA==&#13;&#10;" fillcolor="#4f81bd [3204]" stroked="f" strokeweight="2pt">
                <v:textbox inset="4mm,,3mm">
                  <w:txbxContent>
                    <w:p w14:paraId="5F55663E" w14:textId="77777777" w:rsidR="005A7607" w:rsidRDefault="005A7607" w:rsidP="00C23C98">
                      <w:pPr>
                        <w:pStyle w:val="ReportTitle"/>
                        <w:tabs>
                          <w:tab w:val="left" w:pos="7371"/>
                        </w:tabs>
                        <w:ind w:left="426" w:right="2235"/>
                      </w:pPr>
                      <w:r>
                        <w:t>Oriel</w:t>
                      </w:r>
                    </w:p>
                    <w:p w14:paraId="220DDBEC" w14:textId="74724887" w:rsidR="005A7607" w:rsidRPr="0009374F" w:rsidRDefault="005A7607" w:rsidP="00C23C98">
                      <w:pPr>
                        <w:pStyle w:val="ReportTitle"/>
                        <w:tabs>
                          <w:tab w:val="left" w:pos="7371"/>
                        </w:tabs>
                        <w:ind w:left="426" w:right="2235"/>
                        <w:rPr>
                          <w:sz w:val="80"/>
                          <w:szCs w:val="80"/>
                        </w:rPr>
                      </w:pPr>
                      <w:r w:rsidRPr="0009374F">
                        <w:rPr>
                          <w:sz w:val="80"/>
                          <w:szCs w:val="80"/>
                        </w:rPr>
                        <w:t>Outline Business Case</w:t>
                      </w:r>
                    </w:p>
                  </w:txbxContent>
                </v:textbox>
                <w10:wrap type="square" anchorx="margin" anchory="margin"/>
                <w10:anchorlock/>
              </v:rect>
            </w:pict>
          </mc:Fallback>
        </mc:AlternateContent>
      </w:r>
    </w:p>
    <w:p w14:paraId="2422E5B6" w14:textId="2DEE5588" w:rsidR="00967C47" w:rsidRDefault="004603E9" w:rsidP="00E47761">
      <w:pPr>
        <w:pStyle w:val="Reportsubtitle"/>
        <w:rPr>
          <w:rFonts w:ascii="Arial" w:hAnsi="Arial" w:cs="Arial"/>
        </w:rPr>
      </w:pPr>
      <w:r>
        <w:rPr>
          <w:rFonts w:ascii="Arial" w:hAnsi="Arial" w:cs="Arial"/>
        </w:rPr>
        <w:t xml:space="preserve">February </w:t>
      </w:r>
      <w:r w:rsidR="004040D3">
        <w:rPr>
          <w:rFonts w:ascii="Arial" w:hAnsi="Arial" w:cs="Arial"/>
        </w:rPr>
        <w:t>2020</w:t>
      </w:r>
    </w:p>
    <w:p w14:paraId="0EB806A8" w14:textId="77777777" w:rsidR="00967C47" w:rsidRPr="00967C47" w:rsidRDefault="00967C47" w:rsidP="00E47761">
      <w:pPr>
        <w:pStyle w:val="Reportsubtitle"/>
        <w:rPr>
          <w:rFonts w:ascii="Arial" w:hAnsi="Arial" w:cs="Arial"/>
          <w:sz w:val="22"/>
          <w:szCs w:val="24"/>
        </w:rPr>
      </w:pPr>
    </w:p>
    <w:p w14:paraId="52FA3BBD" w14:textId="07AC149D" w:rsidR="00E47761" w:rsidRPr="00587DF1" w:rsidRDefault="00967C47" w:rsidP="00967C47">
      <w:pPr>
        <w:pStyle w:val="Reportsubtitle"/>
        <w:ind w:left="709"/>
        <w:jc w:val="center"/>
        <w:rPr>
          <w:rFonts w:ascii="Arial" w:hAnsi="Arial" w:cs="Arial"/>
        </w:rPr>
      </w:pPr>
      <w:r w:rsidRPr="00967C47">
        <w:rPr>
          <w:noProof/>
          <w:lang w:eastAsia="en-GB"/>
        </w:rPr>
        <w:drawing>
          <wp:inline distT="0" distB="0" distL="0" distR="0" wp14:anchorId="6734BC08" wp14:editId="61D462EF">
            <wp:extent cx="5613400" cy="3871348"/>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45462" cy="3893460"/>
                    </a:xfrm>
                    <a:prstGeom prst="rect">
                      <a:avLst/>
                    </a:prstGeom>
                  </pic:spPr>
                </pic:pic>
              </a:graphicData>
            </a:graphic>
          </wp:inline>
        </w:drawing>
      </w:r>
    </w:p>
    <w:p w14:paraId="64D2AEE7" w14:textId="3E7813D0" w:rsidR="00301DB6" w:rsidRPr="00967C47" w:rsidRDefault="00301DB6" w:rsidP="00967C47">
      <w:pPr>
        <w:spacing w:line="256" w:lineRule="auto"/>
        <w:rPr>
          <w:rFonts w:ascii="Arial" w:hAnsi="Arial" w:cs="Arial"/>
        </w:rPr>
        <w:sectPr w:rsidR="00301DB6" w:rsidRPr="00967C47">
          <w:headerReference w:type="default" r:id="rId13"/>
          <w:footerReference w:type="default" r:id="rId14"/>
          <w:pgSz w:w="11906" w:h="16838"/>
          <w:pgMar w:top="2920" w:right="720" w:bottom="720" w:left="720" w:header="964" w:footer="720" w:gutter="0"/>
          <w:cols w:space="720"/>
        </w:sectPr>
      </w:pPr>
    </w:p>
    <w:p w14:paraId="018CCDAE" w14:textId="77777777" w:rsidR="00E47761" w:rsidRPr="00587DF1" w:rsidRDefault="00E47761" w:rsidP="00587DF1">
      <w:pPr>
        <w:spacing w:after="0" w:line="240" w:lineRule="auto"/>
        <w:rPr>
          <w:rFonts w:ascii="Arial" w:eastAsia="Arial" w:hAnsi="Arial" w:cs="Arial"/>
          <w:sz w:val="28"/>
          <w:szCs w:val="28"/>
        </w:rPr>
      </w:pPr>
      <w:r w:rsidRPr="00587DF1">
        <w:rPr>
          <w:rFonts w:ascii="Arial" w:eastAsia="Arial" w:hAnsi="Arial" w:cs="Arial"/>
          <w:sz w:val="28"/>
          <w:szCs w:val="28"/>
        </w:rPr>
        <w:lastRenderedPageBreak/>
        <w:t>CONTENTS</w:t>
      </w:r>
    </w:p>
    <w:p w14:paraId="11BB460F" w14:textId="77777777" w:rsidR="00E47761" w:rsidRPr="00964928" w:rsidRDefault="00E47761" w:rsidP="00E47761">
      <w:pPr>
        <w:spacing w:after="0" w:line="240" w:lineRule="auto"/>
        <w:rPr>
          <w:rFonts w:ascii="Arial" w:eastAsia="Arial" w:hAnsi="Arial" w:cs="Arial"/>
        </w:rPr>
      </w:pPr>
    </w:p>
    <w:sdt>
      <w:sdtPr>
        <w:rPr>
          <w:rFonts w:ascii="Arial" w:hAnsi="Arial" w:cs="Arial"/>
        </w:rPr>
        <w:id w:val="1332715416"/>
        <w:docPartObj>
          <w:docPartGallery w:val="Table of Contents"/>
          <w:docPartUnique/>
        </w:docPartObj>
      </w:sdtPr>
      <w:sdtEndPr/>
      <w:sdtContent>
        <w:p w14:paraId="30AF7BE5" w14:textId="13DAB57C" w:rsidR="00FF6E56" w:rsidRPr="00033CAE" w:rsidRDefault="00E47761">
          <w:pPr>
            <w:pStyle w:val="TOC1"/>
            <w:tabs>
              <w:tab w:val="left" w:pos="440"/>
              <w:tab w:val="right" w:pos="9016"/>
            </w:tabs>
            <w:rPr>
              <w:rFonts w:ascii="Arial" w:eastAsiaTheme="minorEastAsia" w:hAnsi="Arial" w:cs="Arial"/>
              <w:noProof/>
            </w:rPr>
          </w:pPr>
          <w:r w:rsidRPr="00033CAE">
            <w:rPr>
              <w:rFonts w:ascii="Arial" w:hAnsi="Arial" w:cs="Arial"/>
            </w:rPr>
            <w:fldChar w:fldCharType="begin"/>
          </w:r>
          <w:r w:rsidRPr="00033CAE">
            <w:rPr>
              <w:rFonts w:ascii="Arial" w:hAnsi="Arial" w:cs="Arial"/>
            </w:rPr>
            <w:instrText xml:space="preserve"> TOC \h \u \z </w:instrText>
          </w:r>
          <w:r w:rsidRPr="00033CAE">
            <w:rPr>
              <w:rFonts w:ascii="Arial" w:hAnsi="Arial" w:cs="Arial"/>
            </w:rPr>
            <w:fldChar w:fldCharType="separate"/>
          </w:r>
          <w:hyperlink w:anchor="_Toc32842660" w:history="1">
            <w:r w:rsidR="00FF6E56" w:rsidRPr="00033CAE">
              <w:rPr>
                <w:rStyle w:val="Hyperlink"/>
                <w:rFonts w:ascii="Arial" w:eastAsia="Arial" w:hAnsi="Arial" w:cs="Arial"/>
                <w:noProof/>
              </w:rPr>
              <w:t>1.</w:t>
            </w:r>
            <w:r w:rsidR="00FF6E56" w:rsidRPr="00033CAE">
              <w:rPr>
                <w:rFonts w:ascii="Arial" w:eastAsiaTheme="minorEastAsia" w:hAnsi="Arial" w:cs="Arial"/>
                <w:noProof/>
              </w:rPr>
              <w:tab/>
            </w:r>
            <w:r w:rsidR="00FF6E56" w:rsidRPr="00033CAE">
              <w:rPr>
                <w:rStyle w:val="Hyperlink"/>
                <w:rFonts w:ascii="Arial" w:eastAsia="Arial" w:hAnsi="Arial" w:cs="Arial"/>
                <w:noProof/>
              </w:rPr>
              <w:t>Executive summary</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_Toc32842660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8</w:t>
            </w:r>
            <w:r w:rsidR="00FF6E56" w:rsidRPr="00033CAE">
              <w:rPr>
                <w:rFonts w:ascii="Arial" w:hAnsi="Arial" w:cs="Arial"/>
                <w:noProof/>
                <w:webHidden/>
              </w:rPr>
              <w:fldChar w:fldCharType="end"/>
            </w:r>
          </w:hyperlink>
        </w:p>
        <w:p w14:paraId="5730C533" w14:textId="2A5B72EA" w:rsidR="00FF6E56" w:rsidRPr="00033CAE" w:rsidRDefault="00E14075">
          <w:pPr>
            <w:pStyle w:val="TOC2"/>
            <w:rPr>
              <w:rFonts w:ascii="Arial" w:eastAsiaTheme="minorEastAsia" w:hAnsi="Arial" w:cs="Arial"/>
              <w:noProof/>
            </w:rPr>
          </w:pPr>
          <w:hyperlink w:anchor="_Toc32842661" w:history="1">
            <w:r w:rsidR="00FF6E56" w:rsidRPr="00033CAE">
              <w:rPr>
                <w:rStyle w:val="Hyperlink"/>
                <w:rFonts w:ascii="Arial" w:eastAsia="Arial" w:hAnsi="Arial" w:cs="Arial"/>
                <w:noProof/>
              </w:rPr>
              <w:t>1.1</w:t>
            </w:r>
            <w:r w:rsidR="00FF6E56" w:rsidRPr="00033CAE">
              <w:rPr>
                <w:rFonts w:ascii="Arial" w:eastAsiaTheme="minorEastAsia" w:hAnsi="Arial" w:cs="Arial"/>
                <w:noProof/>
              </w:rPr>
              <w:tab/>
            </w:r>
            <w:r w:rsidR="00FF6E56" w:rsidRPr="00033CAE">
              <w:rPr>
                <w:rStyle w:val="Hyperlink"/>
                <w:rFonts w:ascii="Arial" w:eastAsia="Arial" w:hAnsi="Arial" w:cs="Arial"/>
                <w:noProof/>
              </w:rPr>
              <w:t>Introduction</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_Toc32842661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8</w:t>
            </w:r>
            <w:r w:rsidR="00FF6E56" w:rsidRPr="00033CAE">
              <w:rPr>
                <w:rFonts w:ascii="Arial" w:hAnsi="Arial" w:cs="Arial"/>
                <w:noProof/>
                <w:webHidden/>
              </w:rPr>
              <w:fldChar w:fldCharType="end"/>
            </w:r>
          </w:hyperlink>
        </w:p>
        <w:p w14:paraId="050A1A89" w14:textId="6B089D59" w:rsidR="00FF6E56" w:rsidRPr="00033CAE" w:rsidRDefault="00E14075">
          <w:pPr>
            <w:pStyle w:val="TOC2"/>
            <w:rPr>
              <w:rFonts w:ascii="Arial" w:eastAsiaTheme="minorEastAsia" w:hAnsi="Arial" w:cs="Arial"/>
              <w:noProof/>
            </w:rPr>
          </w:pPr>
          <w:hyperlink w:anchor="_Toc32842662" w:history="1">
            <w:r w:rsidR="00FF6E56" w:rsidRPr="00033CAE">
              <w:rPr>
                <w:rStyle w:val="Hyperlink"/>
                <w:rFonts w:ascii="Arial" w:eastAsia="Arial" w:hAnsi="Arial" w:cs="Arial"/>
                <w:noProof/>
              </w:rPr>
              <w:t>1.2</w:t>
            </w:r>
            <w:r w:rsidR="00FF6E56" w:rsidRPr="00033CAE">
              <w:rPr>
                <w:rFonts w:ascii="Arial" w:eastAsiaTheme="minorEastAsia" w:hAnsi="Arial" w:cs="Arial"/>
                <w:noProof/>
              </w:rPr>
              <w:tab/>
            </w:r>
            <w:r w:rsidR="00FF6E56" w:rsidRPr="00033CAE">
              <w:rPr>
                <w:rStyle w:val="Hyperlink"/>
                <w:rFonts w:ascii="Arial" w:eastAsia="Arial" w:hAnsi="Arial" w:cs="Arial"/>
                <w:noProof/>
              </w:rPr>
              <w:t>Strategic case</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_Toc32842662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8</w:t>
            </w:r>
            <w:r w:rsidR="00FF6E56" w:rsidRPr="00033CAE">
              <w:rPr>
                <w:rFonts w:ascii="Arial" w:hAnsi="Arial" w:cs="Arial"/>
                <w:noProof/>
                <w:webHidden/>
              </w:rPr>
              <w:fldChar w:fldCharType="end"/>
            </w:r>
          </w:hyperlink>
        </w:p>
        <w:p w14:paraId="6FA8A78C" w14:textId="61688773" w:rsidR="00FF6E56" w:rsidRPr="00033CAE" w:rsidRDefault="00E14075">
          <w:pPr>
            <w:pStyle w:val="TOC2"/>
            <w:rPr>
              <w:rFonts w:ascii="Arial" w:eastAsiaTheme="minorEastAsia" w:hAnsi="Arial" w:cs="Arial"/>
              <w:noProof/>
            </w:rPr>
          </w:pPr>
          <w:hyperlink w:anchor="_Toc32842663" w:history="1">
            <w:r w:rsidR="00FF6E56" w:rsidRPr="00033CAE">
              <w:rPr>
                <w:rStyle w:val="Hyperlink"/>
                <w:rFonts w:ascii="Arial" w:eastAsia="Arial" w:hAnsi="Arial" w:cs="Arial"/>
                <w:noProof/>
              </w:rPr>
              <w:t>1.3</w:t>
            </w:r>
            <w:r w:rsidR="00FF6E56" w:rsidRPr="00033CAE">
              <w:rPr>
                <w:rFonts w:ascii="Arial" w:eastAsiaTheme="minorEastAsia" w:hAnsi="Arial" w:cs="Arial"/>
                <w:noProof/>
              </w:rPr>
              <w:tab/>
            </w:r>
            <w:r w:rsidR="00FF6E56" w:rsidRPr="00033CAE">
              <w:rPr>
                <w:rStyle w:val="Hyperlink"/>
                <w:rFonts w:ascii="Arial" w:eastAsia="Arial" w:hAnsi="Arial" w:cs="Arial"/>
                <w:noProof/>
              </w:rPr>
              <w:t>Clinical quality case</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_Toc32842663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13</w:t>
            </w:r>
            <w:r w:rsidR="00FF6E56" w:rsidRPr="00033CAE">
              <w:rPr>
                <w:rFonts w:ascii="Arial" w:hAnsi="Arial" w:cs="Arial"/>
                <w:noProof/>
                <w:webHidden/>
              </w:rPr>
              <w:fldChar w:fldCharType="end"/>
            </w:r>
          </w:hyperlink>
        </w:p>
        <w:p w14:paraId="3430A563" w14:textId="50B887D9" w:rsidR="00FF6E56" w:rsidRPr="00033CAE" w:rsidRDefault="00E14075">
          <w:pPr>
            <w:pStyle w:val="TOC2"/>
            <w:rPr>
              <w:rFonts w:ascii="Arial" w:eastAsiaTheme="minorEastAsia" w:hAnsi="Arial" w:cs="Arial"/>
              <w:noProof/>
            </w:rPr>
          </w:pPr>
          <w:hyperlink w:anchor="_Toc32842664" w:history="1">
            <w:r w:rsidR="00FF6E56" w:rsidRPr="00033CAE">
              <w:rPr>
                <w:rStyle w:val="Hyperlink"/>
                <w:rFonts w:ascii="Arial" w:eastAsia="Arial" w:hAnsi="Arial" w:cs="Arial"/>
                <w:noProof/>
              </w:rPr>
              <w:t>1.4</w:t>
            </w:r>
            <w:r w:rsidR="00FF6E56" w:rsidRPr="00033CAE">
              <w:rPr>
                <w:rFonts w:ascii="Arial" w:eastAsiaTheme="minorEastAsia" w:hAnsi="Arial" w:cs="Arial"/>
                <w:noProof/>
              </w:rPr>
              <w:tab/>
            </w:r>
            <w:r w:rsidR="00FF6E56" w:rsidRPr="00033CAE">
              <w:rPr>
                <w:rStyle w:val="Hyperlink"/>
                <w:rFonts w:ascii="Arial" w:eastAsia="Arial" w:hAnsi="Arial" w:cs="Arial"/>
                <w:noProof/>
              </w:rPr>
              <w:t>Economic case</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_Toc32842664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11</w:t>
            </w:r>
            <w:r w:rsidR="00FF6E56" w:rsidRPr="00033CAE">
              <w:rPr>
                <w:rFonts w:ascii="Arial" w:hAnsi="Arial" w:cs="Arial"/>
                <w:noProof/>
                <w:webHidden/>
              </w:rPr>
              <w:fldChar w:fldCharType="end"/>
            </w:r>
          </w:hyperlink>
        </w:p>
        <w:p w14:paraId="4945A6CC" w14:textId="0CD22C46" w:rsidR="00FF6E56" w:rsidRPr="00033CAE" w:rsidRDefault="00E14075">
          <w:pPr>
            <w:pStyle w:val="TOC2"/>
            <w:rPr>
              <w:rFonts w:ascii="Arial" w:eastAsiaTheme="minorEastAsia" w:hAnsi="Arial" w:cs="Arial"/>
              <w:noProof/>
            </w:rPr>
          </w:pPr>
          <w:hyperlink w:anchor="_Toc32842665" w:history="1">
            <w:r w:rsidR="00FF6E56" w:rsidRPr="00033CAE">
              <w:rPr>
                <w:rStyle w:val="Hyperlink"/>
                <w:rFonts w:ascii="Arial" w:eastAsia="Arial" w:hAnsi="Arial" w:cs="Arial"/>
                <w:noProof/>
              </w:rPr>
              <w:t>1.5</w:t>
            </w:r>
            <w:r w:rsidR="00FF6E56" w:rsidRPr="00033CAE">
              <w:rPr>
                <w:rFonts w:ascii="Arial" w:eastAsiaTheme="minorEastAsia" w:hAnsi="Arial" w:cs="Arial"/>
                <w:noProof/>
              </w:rPr>
              <w:tab/>
            </w:r>
            <w:r w:rsidR="00FF6E56" w:rsidRPr="00033CAE">
              <w:rPr>
                <w:rStyle w:val="Hyperlink"/>
                <w:rFonts w:ascii="Arial" w:eastAsia="Arial" w:hAnsi="Arial" w:cs="Arial"/>
                <w:noProof/>
              </w:rPr>
              <w:t>Finance case</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_Toc32842665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15</w:t>
            </w:r>
            <w:r w:rsidR="00FF6E56" w:rsidRPr="00033CAE">
              <w:rPr>
                <w:rFonts w:ascii="Arial" w:hAnsi="Arial" w:cs="Arial"/>
                <w:noProof/>
                <w:webHidden/>
              </w:rPr>
              <w:fldChar w:fldCharType="end"/>
            </w:r>
          </w:hyperlink>
        </w:p>
        <w:p w14:paraId="101CC62A" w14:textId="7461C4C2" w:rsidR="00FF6E56" w:rsidRPr="00033CAE" w:rsidRDefault="00E14075">
          <w:pPr>
            <w:pStyle w:val="TOC2"/>
            <w:rPr>
              <w:rFonts w:ascii="Arial" w:eastAsiaTheme="minorEastAsia" w:hAnsi="Arial" w:cs="Arial"/>
              <w:noProof/>
            </w:rPr>
          </w:pPr>
          <w:hyperlink w:anchor="_Toc32842666" w:history="1">
            <w:r w:rsidR="00FF6E56" w:rsidRPr="00033CAE">
              <w:rPr>
                <w:rStyle w:val="Hyperlink"/>
                <w:rFonts w:ascii="Arial" w:eastAsia="Arial" w:hAnsi="Arial" w:cs="Arial"/>
                <w:noProof/>
              </w:rPr>
              <w:t>1.6</w:t>
            </w:r>
            <w:r w:rsidR="00FF6E56" w:rsidRPr="00033CAE">
              <w:rPr>
                <w:rFonts w:ascii="Arial" w:eastAsiaTheme="minorEastAsia" w:hAnsi="Arial" w:cs="Arial"/>
                <w:noProof/>
              </w:rPr>
              <w:tab/>
            </w:r>
            <w:r w:rsidR="00FF6E56" w:rsidRPr="00033CAE">
              <w:rPr>
                <w:rStyle w:val="Hyperlink"/>
                <w:rFonts w:ascii="Arial" w:eastAsia="Arial" w:hAnsi="Arial" w:cs="Arial"/>
                <w:noProof/>
              </w:rPr>
              <w:t>Commercial case</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_Toc32842666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17</w:t>
            </w:r>
            <w:r w:rsidR="00FF6E56" w:rsidRPr="00033CAE">
              <w:rPr>
                <w:rFonts w:ascii="Arial" w:hAnsi="Arial" w:cs="Arial"/>
                <w:noProof/>
                <w:webHidden/>
              </w:rPr>
              <w:fldChar w:fldCharType="end"/>
            </w:r>
          </w:hyperlink>
        </w:p>
        <w:p w14:paraId="3AEAFBDF" w14:textId="02C050E4" w:rsidR="00FF6E56" w:rsidRPr="00033CAE" w:rsidRDefault="00E14075">
          <w:pPr>
            <w:pStyle w:val="TOC2"/>
            <w:rPr>
              <w:rFonts w:ascii="Arial" w:eastAsiaTheme="minorEastAsia" w:hAnsi="Arial" w:cs="Arial"/>
              <w:noProof/>
            </w:rPr>
          </w:pPr>
          <w:hyperlink w:anchor="_Toc32842667" w:history="1">
            <w:r w:rsidR="00FF6E56" w:rsidRPr="00033CAE">
              <w:rPr>
                <w:rStyle w:val="Hyperlink"/>
                <w:rFonts w:ascii="Arial" w:eastAsia="Arial" w:hAnsi="Arial" w:cs="Arial"/>
                <w:noProof/>
              </w:rPr>
              <w:t>1.7</w:t>
            </w:r>
            <w:r w:rsidR="00FF6E56" w:rsidRPr="00033CAE">
              <w:rPr>
                <w:rFonts w:ascii="Arial" w:eastAsiaTheme="minorEastAsia" w:hAnsi="Arial" w:cs="Arial"/>
                <w:noProof/>
              </w:rPr>
              <w:tab/>
            </w:r>
            <w:r w:rsidR="00FF6E56" w:rsidRPr="00033CAE">
              <w:rPr>
                <w:rStyle w:val="Hyperlink"/>
                <w:rFonts w:ascii="Arial" w:eastAsia="Arial" w:hAnsi="Arial" w:cs="Arial"/>
                <w:noProof/>
              </w:rPr>
              <w:t>Management case</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_Toc32842667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20</w:t>
            </w:r>
            <w:r w:rsidR="00FF6E56" w:rsidRPr="00033CAE">
              <w:rPr>
                <w:rFonts w:ascii="Arial" w:hAnsi="Arial" w:cs="Arial"/>
                <w:noProof/>
                <w:webHidden/>
              </w:rPr>
              <w:fldChar w:fldCharType="end"/>
            </w:r>
          </w:hyperlink>
        </w:p>
        <w:p w14:paraId="63CD5FD8" w14:textId="46B9FA23" w:rsidR="00FF6E56" w:rsidRPr="00033CAE" w:rsidRDefault="00E14075">
          <w:pPr>
            <w:pStyle w:val="TOC1"/>
            <w:tabs>
              <w:tab w:val="left" w:pos="440"/>
              <w:tab w:val="right" w:pos="9016"/>
            </w:tabs>
            <w:rPr>
              <w:rFonts w:ascii="Arial" w:eastAsiaTheme="minorEastAsia" w:hAnsi="Arial" w:cs="Arial"/>
              <w:noProof/>
            </w:rPr>
          </w:pPr>
          <w:hyperlink w:anchor="_Toc32842668" w:history="1">
            <w:r w:rsidR="00FF6E56" w:rsidRPr="00033CAE">
              <w:rPr>
                <w:rStyle w:val="Hyperlink"/>
                <w:rFonts w:ascii="Arial" w:eastAsia="Arial" w:hAnsi="Arial" w:cs="Arial"/>
                <w:noProof/>
              </w:rPr>
              <w:t>2.</w:t>
            </w:r>
            <w:r w:rsidR="00FF6E56" w:rsidRPr="00033CAE">
              <w:rPr>
                <w:rFonts w:ascii="Arial" w:eastAsiaTheme="minorEastAsia" w:hAnsi="Arial" w:cs="Arial"/>
                <w:noProof/>
              </w:rPr>
              <w:tab/>
            </w:r>
            <w:r w:rsidR="00FF6E56" w:rsidRPr="00033CAE">
              <w:rPr>
                <w:rStyle w:val="Hyperlink"/>
                <w:rFonts w:ascii="Arial" w:eastAsia="Arial" w:hAnsi="Arial" w:cs="Arial"/>
                <w:noProof/>
              </w:rPr>
              <w:t>Introduction to the Outline Business Case (OBC)</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_Toc32842668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24</w:t>
            </w:r>
            <w:r w:rsidR="00FF6E56" w:rsidRPr="00033CAE">
              <w:rPr>
                <w:rFonts w:ascii="Arial" w:hAnsi="Arial" w:cs="Arial"/>
                <w:noProof/>
                <w:webHidden/>
              </w:rPr>
              <w:fldChar w:fldCharType="end"/>
            </w:r>
          </w:hyperlink>
        </w:p>
        <w:p w14:paraId="58E2C665" w14:textId="7A8EAA42" w:rsidR="00FF6E56" w:rsidRPr="00033CAE" w:rsidRDefault="00E14075">
          <w:pPr>
            <w:pStyle w:val="TOC2"/>
            <w:rPr>
              <w:rFonts w:ascii="Arial" w:eastAsiaTheme="minorEastAsia" w:hAnsi="Arial" w:cs="Arial"/>
              <w:noProof/>
            </w:rPr>
          </w:pPr>
          <w:hyperlink w:anchor="_Toc32842669" w:history="1">
            <w:r w:rsidR="00FF6E56" w:rsidRPr="00033CAE">
              <w:rPr>
                <w:rStyle w:val="Hyperlink"/>
                <w:rFonts w:ascii="Arial" w:eastAsia="Arial" w:hAnsi="Arial" w:cs="Arial"/>
                <w:noProof/>
              </w:rPr>
              <w:t>2.1</w:t>
            </w:r>
            <w:r w:rsidR="00FF6E56" w:rsidRPr="00033CAE">
              <w:rPr>
                <w:rFonts w:ascii="Arial" w:eastAsiaTheme="minorEastAsia" w:hAnsi="Arial" w:cs="Arial"/>
                <w:noProof/>
              </w:rPr>
              <w:tab/>
            </w:r>
            <w:r w:rsidR="00FF6E56" w:rsidRPr="00033CAE">
              <w:rPr>
                <w:rStyle w:val="Hyperlink"/>
                <w:rFonts w:ascii="Arial" w:eastAsia="Arial" w:hAnsi="Arial" w:cs="Arial"/>
                <w:noProof/>
              </w:rPr>
              <w:t>The journey so far</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_Toc32842669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24</w:t>
            </w:r>
            <w:r w:rsidR="00FF6E56" w:rsidRPr="00033CAE">
              <w:rPr>
                <w:rFonts w:ascii="Arial" w:hAnsi="Arial" w:cs="Arial"/>
                <w:noProof/>
                <w:webHidden/>
              </w:rPr>
              <w:fldChar w:fldCharType="end"/>
            </w:r>
          </w:hyperlink>
        </w:p>
        <w:p w14:paraId="0EE2043C" w14:textId="389768EE" w:rsidR="00FF6E56" w:rsidRPr="00033CAE" w:rsidRDefault="00E14075">
          <w:pPr>
            <w:pStyle w:val="TOC2"/>
            <w:rPr>
              <w:rFonts w:ascii="Arial" w:eastAsiaTheme="minorEastAsia" w:hAnsi="Arial" w:cs="Arial"/>
              <w:noProof/>
            </w:rPr>
          </w:pPr>
          <w:hyperlink w:anchor="_Toc32842670" w:history="1">
            <w:r w:rsidR="00FF6E56" w:rsidRPr="00033CAE">
              <w:rPr>
                <w:rStyle w:val="Hyperlink"/>
                <w:rFonts w:ascii="Arial" w:eastAsia="Arial" w:hAnsi="Arial" w:cs="Arial"/>
                <w:noProof/>
              </w:rPr>
              <w:t>2.2</w:t>
            </w:r>
            <w:r w:rsidR="00FF6E56" w:rsidRPr="00033CAE">
              <w:rPr>
                <w:rFonts w:ascii="Arial" w:eastAsiaTheme="minorEastAsia" w:hAnsi="Arial" w:cs="Arial"/>
                <w:noProof/>
              </w:rPr>
              <w:tab/>
            </w:r>
            <w:r w:rsidR="00FF6E56" w:rsidRPr="00033CAE">
              <w:rPr>
                <w:rStyle w:val="Hyperlink"/>
                <w:rFonts w:ascii="Arial" w:eastAsia="Arial" w:hAnsi="Arial" w:cs="Arial"/>
                <w:noProof/>
              </w:rPr>
              <w:t>Changes from SOC to OBC</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_Toc32842670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26</w:t>
            </w:r>
            <w:r w:rsidR="00FF6E56" w:rsidRPr="00033CAE">
              <w:rPr>
                <w:rFonts w:ascii="Arial" w:hAnsi="Arial" w:cs="Arial"/>
                <w:noProof/>
                <w:webHidden/>
              </w:rPr>
              <w:fldChar w:fldCharType="end"/>
            </w:r>
          </w:hyperlink>
        </w:p>
        <w:p w14:paraId="0FC928B9" w14:textId="7AE27B35" w:rsidR="00FF6E56" w:rsidRPr="00033CAE" w:rsidRDefault="00E14075">
          <w:pPr>
            <w:pStyle w:val="TOC1"/>
            <w:tabs>
              <w:tab w:val="left" w:pos="440"/>
              <w:tab w:val="right" w:pos="9016"/>
            </w:tabs>
            <w:rPr>
              <w:rFonts w:ascii="Arial" w:eastAsiaTheme="minorEastAsia" w:hAnsi="Arial" w:cs="Arial"/>
              <w:noProof/>
            </w:rPr>
          </w:pPr>
          <w:hyperlink w:anchor="_Toc32842671" w:history="1">
            <w:r w:rsidR="00FF6E56" w:rsidRPr="00033CAE">
              <w:rPr>
                <w:rStyle w:val="Hyperlink"/>
                <w:rFonts w:ascii="Arial" w:eastAsia="Arial" w:hAnsi="Arial" w:cs="Arial"/>
                <w:noProof/>
              </w:rPr>
              <w:t>3.</w:t>
            </w:r>
            <w:r w:rsidR="00FF6E56" w:rsidRPr="00033CAE">
              <w:rPr>
                <w:rFonts w:ascii="Arial" w:eastAsiaTheme="minorEastAsia" w:hAnsi="Arial" w:cs="Arial"/>
                <w:noProof/>
              </w:rPr>
              <w:tab/>
            </w:r>
            <w:r w:rsidR="00FF6E56" w:rsidRPr="00033CAE">
              <w:rPr>
                <w:rStyle w:val="Hyperlink"/>
                <w:rFonts w:ascii="Arial" w:eastAsia="Arial" w:hAnsi="Arial" w:cs="Arial"/>
                <w:noProof/>
              </w:rPr>
              <w:t>Strategic case</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_Toc32842671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28</w:t>
            </w:r>
            <w:r w:rsidR="00FF6E56" w:rsidRPr="00033CAE">
              <w:rPr>
                <w:rFonts w:ascii="Arial" w:hAnsi="Arial" w:cs="Arial"/>
                <w:noProof/>
                <w:webHidden/>
              </w:rPr>
              <w:fldChar w:fldCharType="end"/>
            </w:r>
          </w:hyperlink>
        </w:p>
        <w:p w14:paraId="332BFA27" w14:textId="006CB97F" w:rsidR="00FF6E56" w:rsidRPr="00033CAE" w:rsidRDefault="00E14075">
          <w:pPr>
            <w:pStyle w:val="TOC2"/>
            <w:rPr>
              <w:rFonts w:ascii="Arial" w:eastAsiaTheme="minorEastAsia" w:hAnsi="Arial" w:cs="Arial"/>
              <w:noProof/>
            </w:rPr>
          </w:pPr>
          <w:hyperlink w:anchor="_Toc32842672" w:history="1">
            <w:r w:rsidR="00FF6E56" w:rsidRPr="00033CAE">
              <w:rPr>
                <w:rStyle w:val="Hyperlink"/>
                <w:rFonts w:ascii="Arial" w:eastAsia="Arial" w:hAnsi="Arial" w:cs="Arial"/>
                <w:noProof/>
              </w:rPr>
              <w:t>PART A – AGREEING THE STRATEGIC CONTEXT</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_Toc32842672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29</w:t>
            </w:r>
            <w:r w:rsidR="00FF6E56" w:rsidRPr="00033CAE">
              <w:rPr>
                <w:rFonts w:ascii="Arial" w:hAnsi="Arial" w:cs="Arial"/>
                <w:noProof/>
                <w:webHidden/>
              </w:rPr>
              <w:fldChar w:fldCharType="end"/>
            </w:r>
          </w:hyperlink>
        </w:p>
        <w:p w14:paraId="392885CE" w14:textId="4DC118CD" w:rsidR="00FF6E56" w:rsidRPr="00033CAE" w:rsidRDefault="00E14075">
          <w:pPr>
            <w:pStyle w:val="TOC2"/>
            <w:rPr>
              <w:rFonts w:ascii="Arial" w:eastAsiaTheme="minorEastAsia" w:hAnsi="Arial" w:cs="Arial"/>
              <w:noProof/>
            </w:rPr>
          </w:pPr>
          <w:hyperlink w:anchor="_Toc32842673" w:history="1">
            <w:r w:rsidR="00FF6E56" w:rsidRPr="00033CAE">
              <w:rPr>
                <w:rStyle w:val="Hyperlink"/>
                <w:rFonts w:ascii="Arial" w:eastAsia="Arial" w:hAnsi="Arial" w:cs="Arial"/>
                <w:noProof/>
              </w:rPr>
              <w:t>3.1</w:t>
            </w:r>
            <w:r w:rsidR="00FF6E56" w:rsidRPr="00033CAE">
              <w:rPr>
                <w:rFonts w:ascii="Arial" w:eastAsiaTheme="minorEastAsia" w:hAnsi="Arial" w:cs="Arial"/>
                <w:noProof/>
              </w:rPr>
              <w:tab/>
            </w:r>
            <w:r w:rsidR="00FF6E56" w:rsidRPr="00033CAE">
              <w:rPr>
                <w:rStyle w:val="Hyperlink"/>
                <w:rFonts w:ascii="Arial" w:eastAsia="Arial" w:hAnsi="Arial" w:cs="Arial"/>
                <w:noProof/>
              </w:rPr>
              <w:t>National strategy</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_Toc32842673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29</w:t>
            </w:r>
            <w:r w:rsidR="00FF6E56" w:rsidRPr="00033CAE">
              <w:rPr>
                <w:rFonts w:ascii="Arial" w:hAnsi="Arial" w:cs="Arial"/>
                <w:noProof/>
                <w:webHidden/>
              </w:rPr>
              <w:fldChar w:fldCharType="end"/>
            </w:r>
          </w:hyperlink>
        </w:p>
        <w:p w14:paraId="62A20F4B" w14:textId="7559EBD1" w:rsidR="00FF6E56" w:rsidRPr="00033CAE" w:rsidRDefault="00E14075">
          <w:pPr>
            <w:pStyle w:val="TOC2"/>
            <w:rPr>
              <w:rFonts w:ascii="Arial" w:eastAsiaTheme="minorEastAsia" w:hAnsi="Arial" w:cs="Arial"/>
              <w:noProof/>
            </w:rPr>
          </w:pPr>
          <w:hyperlink w:anchor="_Toc32842674" w:history="1">
            <w:r w:rsidR="00FF6E56" w:rsidRPr="00033CAE">
              <w:rPr>
                <w:rStyle w:val="Hyperlink"/>
                <w:rFonts w:ascii="Arial" w:eastAsia="Arial" w:hAnsi="Arial" w:cs="Arial"/>
                <w:noProof/>
              </w:rPr>
              <w:t>3.2</w:t>
            </w:r>
            <w:r w:rsidR="00FF6E56" w:rsidRPr="00033CAE">
              <w:rPr>
                <w:rFonts w:ascii="Arial" w:eastAsiaTheme="minorEastAsia" w:hAnsi="Arial" w:cs="Arial"/>
                <w:noProof/>
              </w:rPr>
              <w:tab/>
            </w:r>
            <w:r w:rsidR="00FF6E56" w:rsidRPr="00033CAE">
              <w:rPr>
                <w:rStyle w:val="Hyperlink"/>
                <w:rFonts w:ascii="Arial" w:eastAsia="Arial" w:hAnsi="Arial" w:cs="Arial"/>
                <w:noProof/>
              </w:rPr>
              <w:t>Regional strategy</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_Toc32842674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32</w:t>
            </w:r>
            <w:r w:rsidR="00FF6E56" w:rsidRPr="00033CAE">
              <w:rPr>
                <w:rFonts w:ascii="Arial" w:hAnsi="Arial" w:cs="Arial"/>
                <w:noProof/>
                <w:webHidden/>
              </w:rPr>
              <w:fldChar w:fldCharType="end"/>
            </w:r>
          </w:hyperlink>
        </w:p>
        <w:p w14:paraId="7E3199D1" w14:textId="68E616F1" w:rsidR="00FF6E56" w:rsidRPr="00033CAE" w:rsidRDefault="00E14075">
          <w:pPr>
            <w:pStyle w:val="TOC2"/>
            <w:rPr>
              <w:rFonts w:ascii="Arial" w:eastAsiaTheme="minorEastAsia" w:hAnsi="Arial" w:cs="Arial"/>
              <w:noProof/>
            </w:rPr>
          </w:pPr>
          <w:hyperlink w:anchor="_Toc32842675" w:history="1">
            <w:r w:rsidR="00FF6E56" w:rsidRPr="00033CAE">
              <w:rPr>
                <w:rStyle w:val="Hyperlink"/>
                <w:rFonts w:ascii="Arial" w:eastAsia="Arial" w:hAnsi="Arial" w:cs="Arial"/>
                <w:noProof/>
              </w:rPr>
              <w:t>3.3</w:t>
            </w:r>
            <w:r w:rsidR="00FF6E56" w:rsidRPr="00033CAE">
              <w:rPr>
                <w:rFonts w:ascii="Arial" w:eastAsiaTheme="minorEastAsia" w:hAnsi="Arial" w:cs="Arial"/>
                <w:noProof/>
              </w:rPr>
              <w:tab/>
            </w:r>
            <w:r w:rsidR="00FF6E56" w:rsidRPr="00033CAE">
              <w:rPr>
                <w:rStyle w:val="Hyperlink"/>
                <w:rFonts w:ascii="Arial" w:eastAsia="Arial" w:hAnsi="Arial" w:cs="Arial"/>
                <w:noProof/>
              </w:rPr>
              <w:t>The St Pancras Redevelopment</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_Toc32842675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34</w:t>
            </w:r>
            <w:r w:rsidR="00FF6E56" w:rsidRPr="00033CAE">
              <w:rPr>
                <w:rFonts w:ascii="Arial" w:hAnsi="Arial" w:cs="Arial"/>
                <w:noProof/>
                <w:webHidden/>
              </w:rPr>
              <w:fldChar w:fldCharType="end"/>
            </w:r>
          </w:hyperlink>
        </w:p>
        <w:p w14:paraId="4FE6E481" w14:textId="6754D967" w:rsidR="00FF6E56" w:rsidRPr="00033CAE" w:rsidRDefault="00E14075">
          <w:pPr>
            <w:pStyle w:val="TOC2"/>
            <w:rPr>
              <w:rFonts w:ascii="Arial" w:eastAsiaTheme="minorEastAsia" w:hAnsi="Arial" w:cs="Arial"/>
              <w:noProof/>
            </w:rPr>
          </w:pPr>
          <w:hyperlink w:anchor="_Toc32842676" w:history="1">
            <w:r w:rsidR="00FF6E56" w:rsidRPr="00033CAE">
              <w:rPr>
                <w:rStyle w:val="Hyperlink"/>
                <w:rFonts w:ascii="Arial" w:eastAsia="Arial" w:hAnsi="Arial" w:cs="Arial"/>
                <w:noProof/>
              </w:rPr>
              <w:t>3.4</w:t>
            </w:r>
            <w:r w:rsidR="00FF6E56" w:rsidRPr="00033CAE">
              <w:rPr>
                <w:rFonts w:ascii="Arial" w:eastAsiaTheme="minorEastAsia" w:hAnsi="Arial" w:cs="Arial"/>
                <w:noProof/>
              </w:rPr>
              <w:tab/>
            </w:r>
            <w:r w:rsidR="00FF6E56" w:rsidRPr="00033CAE">
              <w:rPr>
                <w:rStyle w:val="Hyperlink"/>
                <w:rFonts w:ascii="Arial" w:eastAsia="Arial" w:hAnsi="Arial" w:cs="Arial"/>
                <w:noProof/>
              </w:rPr>
              <w:t>Local strategy</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_Toc32842676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34</w:t>
            </w:r>
            <w:r w:rsidR="00FF6E56" w:rsidRPr="00033CAE">
              <w:rPr>
                <w:rFonts w:ascii="Arial" w:hAnsi="Arial" w:cs="Arial"/>
                <w:noProof/>
                <w:webHidden/>
              </w:rPr>
              <w:fldChar w:fldCharType="end"/>
            </w:r>
          </w:hyperlink>
        </w:p>
        <w:p w14:paraId="67D9132F" w14:textId="544E786A" w:rsidR="00FF6E56" w:rsidRPr="00033CAE" w:rsidRDefault="00E14075">
          <w:pPr>
            <w:pStyle w:val="TOC2"/>
            <w:rPr>
              <w:rFonts w:ascii="Arial" w:eastAsiaTheme="minorEastAsia" w:hAnsi="Arial" w:cs="Arial"/>
              <w:noProof/>
            </w:rPr>
          </w:pPr>
          <w:hyperlink w:anchor="_Toc32842677" w:history="1">
            <w:r w:rsidR="00FF6E56" w:rsidRPr="00033CAE">
              <w:rPr>
                <w:rStyle w:val="Hyperlink"/>
                <w:rFonts w:ascii="Arial" w:eastAsia="Arial" w:hAnsi="Arial" w:cs="Arial"/>
                <w:noProof/>
              </w:rPr>
              <w:t>PART B – MAKING THE CASE FOR CHANGE</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_Toc32842677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37</w:t>
            </w:r>
            <w:r w:rsidR="00FF6E56" w:rsidRPr="00033CAE">
              <w:rPr>
                <w:rFonts w:ascii="Arial" w:hAnsi="Arial" w:cs="Arial"/>
                <w:noProof/>
                <w:webHidden/>
              </w:rPr>
              <w:fldChar w:fldCharType="end"/>
            </w:r>
          </w:hyperlink>
        </w:p>
        <w:p w14:paraId="0DC1E89D" w14:textId="626437F5" w:rsidR="00FF6E56" w:rsidRPr="00033CAE" w:rsidRDefault="00E14075">
          <w:pPr>
            <w:pStyle w:val="TOC2"/>
            <w:rPr>
              <w:rFonts w:ascii="Arial" w:eastAsiaTheme="minorEastAsia" w:hAnsi="Arial" w:cs="Arial"/>
              <w:noProof/>
            </w:rPr>
          </w:pPr>
          <w:hyperlink w:anchor="_Toc32842678" w:history="1">
            <w:r w:rsidR="00FF6E56" w:rsidRPr="00033CAE">
              <w:rPr>
                <w:rStyle w:val="Hyperlink"/>
                <w:rFonts w:ascii="Arial" w:eastAsia="Arial" w:hAnsi="Arial" w:cs="Arial"/>
                <w:noProof/>
              </w:rPr>
              <w:t>3.5</w:t>
            </w:r>
            <w:r w:rsidR="00FF6E56" w:rsidRPr="00033CAE">
              <w:rPr>
                <w:rFonts w:ascii="Arial" w:eastAsiaTheme="minorEastAsia" w:hAnsi="Arial" w:cs="Arial"/>
                <w:noProof/>
              </w:rPr>
              <w:tab/>
            </w:r>
            <w:r w:rsidR="00FF6E56" w:rsidRPr="00033CAE">
              <w:rPr>
                <w:rStyle w:val="Hyperlink"/>
                <w:rFonts w:ascii="Arial" w:eastAsia="Arial" w:hAnsi="Arial" w:cs="Arial"/>
                <w:noProof/>
              </w:rPr>
              <w:t>Organisational overview</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_Toc32842678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37</w:t>
            </w:r>
            <w:r w:rsidR="00FF6E56" w:rsidRPr="00033CAE">
              <w:rPr>
                <w:rFonts w:ascii="Arial" w:hAnsi="Arial" w:cs="Arial"/>
                <w:noProof/>
                <w:webHidden/>
              </w:rPr>
              <w:fldChar w:fldCharType="end"/>
            </w:r>
          </w:hyperlink>
        </w:p>
        <w:p w14:paraId="63059025" w14:textId="1FC9F8C5" w:rsidR="00FF6E56" w:rsidRPr="00033CAE" w:rsidRDefault="00E14075">
          <w:pPr>
            <w:pStyle w:val="TOC2"/>
            <w:rPr>
              <w:rFonts w:ascii="Arial" w:eastAsiaTheme="minorEastAsia" w:hAnsi="Arial" w:cs="Arial"/>
              <w:noProof/>
            </w:rPr>
          </w:pPr>
          <w:hyperlink w:anchor="_Toc32842679" w:history="1">
            <w:r w:rsidR="00FF6E56" w:rsidRPr="00033CAE">
              <w:rPr>
                <w:rStyle w:val="Hyperlink"/>
                <w:rFonts w:ascii="Arial" w:eastAsia="Arial" w:hAnsi="Arial" w:cs="Arial"/>
                <w:noProof/>
              </w:rPr>
              <w:t>3.6</w:t>
            </w:r>
            <w:r w:rsidR="00FF6E56" w:rsidRPr="00033CAE">
              <w:rPr>
                <w:rFonts w:ascii="Arial" w:eastAsiaTheme="minorEastAsia" w:hAnsi="Arial" w:cs="Arial"/>
                <w:noProof/>
              </w:rPr>
              <w:tab/>
            </w:r>
            <w:r w:rsidR="00FF6E56" w:rsidRPr="00033CAE">
              <w:rPr>
                <w:rStyle w:val="Hyperlink"/>
                <w:rFonts w:ascii="Arial" w:eastAsia="Arial" w:hAnsi="Arial" w:cs="Arial"/>
                <w:noProof/>
              </w:rPr>
              <w:t>The Moorfields estate</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_Toc32842679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42</w:t>
            </w:r>
            <w:r w:rsidR="00FF6E56" w:rsidRPr="00033CAE">
              <w:rPr>
                <w:rFonts w:ascii="Arial" w:hAnsi="Arial" w:cs="Arial"/>
                <w:noProof/>
                <w:webHidden/>
              </w:rPr>
              <w:fldChar w:fldCharType="end"/>
            </w:r>
          </w:hyperlink>
        </w:p>
        <w:p w14:paraId="6777D5B9" w14:textId="59D9E9E5" w:rsidR="00FF6E56" w:rsidRPr="00033CAE" w:rsidRDefault="00E14075">
          <w:pPr>
            <w:pStyle w:val="TOC2"/>
            <w:rPr>
              <w:rFonts w:ascii="Arial" w:eastAsiaTheme="minorEastAsia" w:hAnsi="Arial" w:cs="Arial"/>
              <w:noProof/>
            </w:rPr>
          </w:pPr>
          <w:hyperlink w:anchor="_Toc32842680" w:history="1">
            <w:r w:rsidR="00FF6E56" w:rsidRPr="00033CAE">
              <w:rPr>
                <w:rStyle w:val="Hyperlink"/>
                <w:rFonts w:ascii="Arial" w:eastAsia="Arial" w:hAnsi="Arial" w:cs="Arial"/>
                <w:noProof/>
              </w:rPr>
              <w:t>3.7</w:t>
            </w:r>
            <w:r w:rsidR="00FF6E56" w:rsidRPr="00033CAE">
              <w:rPr>
                <w:rFonts w:ascii="Arial" w:eastAsiaTheme="minorEastAsia" w:hAnsi="Arial" w:cs="Arial"/>
                <w:noProof/>
              </w:rPr>
              <w:tab/>
            </w:r>
            <w:r w:rsidR="00FF6E56" w:rsidRPr="00033CAE">
              <w:rPr>
                <w:rStyle w:val="Hyperlink"/>
                <w:rFonts w:ascii="Arial" w:eastAsia="Arial" w:hAnsi="Arial" w:cs="Arial"/>
                <w:noProof/>
              </w:rPr>
              <w:t>Partnership between Moorfields and UCL IoO</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_Toc32842680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46</w:t>
            </w:r>
            <w:r w:rsidR="00FF6E56" w:rsidRPr="00033CAE">
              <w:rPr>
                <w:rFonts w:ascii="Arial" w:hAnsi="Arial" w:cs="Arial"/>
                <w:noProof/>
                <w:webHidden/>
              </w:rPr>
              <w:fldChar w:fldCharType="end"/>
            </w:r>
          </w:hyperlink>
        </w:p>
        <w:p w14:paraId="7B4F04D4" w14:textId="440242CA" w:rsidR="00FF6E56" w:rsidRPr="00033CAE" w:rsidRDefault="00E14075">
          <w:pPr>
            <w:pStyle w:val="TOC2"/>
            <w:rPr>
              <w:rFonts w:ascii="Arial" w:eastAsiaTheme="minorEastAsia" w:hAnsi="Arial" w:cs="Arial"/>
              <w:noProof/>
            </w:rPr>
          </w:pPr>
          <w:hyperlink w:anchor="_Toc32842681" w:history="1">
            <w:r w:rsidR="00FF6E56" w:rsidRPr="00033CAE">
              <w:rPr>
                <w:rStyle w:val="Hyperlink"/>
                <w:rFonts w:ascii="Arial" w:eastAsia="Arial" w:hAnsi="Arial" w:cs="Arial"/>
                <w:noProof/>
              </w:rPr>
              <w:t>3.8</w:t>
            </w:r>
            <w:r w:rsidR="00FF6E56" w:rsidRPr="00033CAE">
              <w:rPr>
                <w:rFonts w:ascii="Arial" w:eastAsiaTheme="minorEastAsia" w:hAnsi="Arial" w:cs="Arial"/>
                <w:noProof/>
              </w:rPr>
              <w:tab/>
            </w:r>
            <w:r w:rsidR="00FF6E56" w:rsidRPr="00033CAE">
              <w:rPr>
                <w:rStyle w:val="Hyperlink"/>
                <w:rFonts w:ascii="Arial" w:eastAsia="Arial" w:hAnsi="Arial" w:cs="Arial"/>
                <w:noProof/>
              </w:rPr>
              <w:t>Stakeholder engagement</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_Toc32842681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47</w:t>
            </w:r>
            <w:r w:rsidR="00FF6E56" w:rsidRPr="00033CAE">
              <w:rPr>
                <w:rFonts w:ascii="Arial" w:hAnsi="Arial" w:cs="Arial"/>
                <w:noProof/>
                <w:webHidden/>
              </w:rPr>
              <w:fldChar w:fldCharType="end"/>
            </w:r>
          </w:hyperlink>
        </w:p>
        <w:p w14:paraId="21792510" w14:textId="2CBA29D3" w:rsidR="00FF6E56" w:rsidRPr="00033CAE" w:rsidRDefault="00E14075">
          <w:pPr>
            <w:pStyle w:val="TOC2"/>
            <w:rPr>
              <w:rFonts w:ascii="Arial" w:eastAsiaTheme="minorEastAsia" w:hAnsi="Arial" w:cs="Arial"/>
              <w:noProof/>
            </w:rPr>
          </w:pPr>
          <w:hyperlink w:anchor="_Toc32842682" w:history="1">
            <w:r w:rsidR="00FF6E56" w:rsidRPr="00033CAE">
              <w:rPr>
                <w:rStyle w:val="Hyperlink"/>
                <w:rFonts w:ascii="Arial" w:eastAsia="Arial" w:hAnsi="Arial" w:cs="Arial"/>
                <w:noProof/>
              </w:rPr>
              <w:t>3.9</w:t>
            </w:r>
            <w:r w:rsidR="00FF6E56" w:rsidRPr="00033CAE">
              <w:rPr>
                <w:rFonts w:ascii="Arial" w:eastAsiaTheme="minorEastAsia" w:hAnsi="Arial" w:cs="Arial"/>
                <w:noProof/>
              </w:rPr>
              <w:tab/>
            </w:r>
            <w:r w:rsidR="00FF6E56" w:rsidRPr="00033CAE">
              <w:rPr>
                <w:rStyle w:val="Hyperlink"/>
                <w:rFonts w:ascii="Arial" w:eastAsia="Arial" w:hAnsi="Arial" w:cs="Arial"/>
                <w:noProof/>
              </w:rPr>
              <w:t>Determining investment objectives</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_Toc32842682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50</w:t>
            </w:r>
            <w:r w:rsidR="00FF6E56" w:rsidRPr="00033CAE">
              <w:rPr>
                <w:rFonts w:ascii="Arial" w:hAnsi="Arial" w:cs="Arial"/>
                <w:noProof/>
                <w:webHidden/>
              </w:rPr>
              <w:fldChar w:fldCharType="end"/>
            </w:r>
          </w:hyperlink>
        </w:p>
        <w:p w14:paraId="3F8FADF4" w14:textId="35730B64" w:rsidR="00FF6E56" w:rsidRPr="00033CAE" w:rsidRDefault="00E14075">
          <w:pPr>
            <w:pStyle w:val="TOC2"/>
            <w:rPr>
              <w:rFonts w:ascii="Arial" w:eastAsiaTheme="minorEastAsia" w:hAnsi="Arial" w:cs="Arial"/>
              <w:noProof/>
            </w:rPr>
          </w:pPr>
          <w:hyperlink w:anchor="_Toc32842683" w:history="1">
            <w:r w:rsidR="00FF6E56" w:rsidRPr="00033CAE">
              <w:rPr>
                <w:rStyle w:val="Hyperlink"/>
                <w:rFonts w:ascii="Arial" w:eastAsia="Arial" w:hAnsi="Arial" w:cs="Arial"/>
                <w:noProof/>
              </w:rPr>
              <w:t>3.10</w:t>
            </w:r>
            <w:r w:rsidR="00FF6E56" w:rsidRPr="00033CAE">
              <w:rPr>
                <w:rFonts w:ascii="Arial" w:eastAsiaTheme="minorEastAsia" w:hAnsi="Arial" w:cs="Arial"/>
                <w:noProof/>
              </w:rPr>
              <w:tab/>
            </w:r>
            <w:r w:rsidR="00FF6E56" w:rsidRPr="00033CAE">
              <w:rPr>
                <w:rStyle w:val="Hyperlink"/>
                <w:rFonts w:ascii="Arial" w:eastAsia="Arial" w:hAnsi="Arial" w:cs="Arial"/>
                <w:noProof/>
              </w:rPr>
              <w:t>Case for change – existing arrangements and business needs</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_Toc32842683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52</w:t>
            </w:r>
            <w:r w:rsidR="00FF6E56" w:rsidRPr="00033CAE">
              <w:rPr>
                <w:rFonts w:ascii="Arial" w:hAnsi="Arial" w:cs="Arial"/>
                <w:noProof/>
                <w:webHidden/>
              </w:rPr>
              <w:fldChar w:fldCharType="end"/>
            </w:r>
          </w:hyperlink>
        </w:p>
        <w:p w14:paraId="37014883" w14:textId="314FA554" w:rsidR="00FF6E56" w:rsidRPr="00033CAE" w:rsidRDefault="00E14075">
          <w:pPr>
            <w:pStyle w:val="TOC2"/>
            <w:rPr>
              <w:rFonts w:ascii="Arial" w:eastAsiaTheme="minorEastAsia" w:hAnsi="Arial" w:cs="Arial"/>
              <w:noProof/>
            </w:rPr>
          </w:pPr>
          <w:hyperlink w:anchor="_Toc32842691" w:history="1">
            <w:r w:rsidR="00FF6E56" w:rsidRPr="00033CAE">
              <w:rPr>
                <w:rStyle w:val="Hyperlink"/>
                <w:rFonts w:ascii="Arial" w:eastAsia="Arial" w:hAnsi="Arial" w:cs="Arial"/>
                <w:noProof/>
              </w:rPr>
              <w:t>3.11</w:t>
            </w:r>
            <w:r w:rsidR="00FF6E56" w:rsidRPr="00033CAE">
              <w:rPr>
                <w:rFonts w:ascii="Arial" w:eastAsiaTheme="minorEastAsia" w:hAnsi="Arial" w:cs="Arial"/>
                <w:noProof/>
              </w:rPr>
              <w:tab/>
            </w:r>
            <w:r w:rsidR="00FF6E56" w:rsidRPr="00033CAE">
              <w:rPr>
                <w:rStyle w:val="Hyperlink"/>
                <w:rFonts w:ascii="Arial" w:eastAsia="Arial" w:hAnsi="Arial" w:cs="Arial"/>
                <w:noProof/>
              </w:rPr>
              <w:t>Business need – capacity planning</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_Toc32842691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64</w:t>
            </w:r>
            <w:r w:rsidR="00FF6E56" w:rsidRPr="00033CAE">
              <w:rPr>
                <w:rFonts w:ascii="Arial" w:hAnsi="Arial" w:cs="Arial"/>
                <w:noProof/>
                <w:webHidden/>
              </w:rPr>
              <w:fldChar w:fldCharType="end"/>
            </w:r>
          </w:hyperlink>
        </w:p>
        <w:p w14:paraId="0CAAECF0" w14:textId="58717BD1" w:rsidR="00FF6E56" w:rsidRPr="00033CAE" w:rsidRDefault="00E14075">
          <w:pPr>
            <w:pStyle w:val="TOC2"/>
            <w:rPr>
              <w:rFonts w:ascii="Arial" w:eastAsiaTheme="minorEastAsia" w:hAnsi="Arial" w:cs="Arial"/>
              <w:noProof/>
            </w:rPr>
          </w:pPr>
          <w:hyperlink w:anchor="_Toc32842695" w:history="1">
            <w:r w:rsidR="00FF6E56" w:rsidRPr="00033CAE">
              <w:rPr>
                <w:rStyle w:val="Hyperlink"/>
                <w:rFonts w:ascii="Arial" w:eastAsia="Arial" w:hAnsi="Arial" w:cs="Arial"/>
                <w:noProof/>
              </w:rPr>
              <w:t>3.12</w:t>
            </w:r>
            <w:r w:rsidR="00FF6E56" w:rsidRPr="00033CAE">
              <w:rPr>
                <w:rFonts w:ascii="Arial" w:eastAsiaTheme="minorEastAsia" w:hAnsi="Arial" w:cs="Arial"/>
                <w:noProof/>
              </w:rPr>
              <w:tab/>
            </w:r>
            <w:r w:rsidR="00FF6E56" w:rsidRPr="00033CAE">
              <w:rPr>
                <w:rStyle w:val="Hyperlink"/>
                <w:rFonts w:ascii="Arial" w:eastAsia="Arial" w:hAnsi="Arial" w:cs="Arial"/>
                <w:noProof/>
              </w:rPr>
              <w:t>This is a unique opportunity to secure the future of Moorfields and UCL IoO</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_Toc32842695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66</w:t>
            </w:r>
            <w:r w:rsidR="00FF6E56" w:rsidRPr="00033CAE">
              <w:rPr>
                <w:rFonts w:ascii="Arial" w:hAnsi="Arial" w:cs="Arial"/>
                <w:noProof/>
                <w:webHidden/>
              </w:rPr>
              <w:fldChar w:fldCharType="end"/>
            </w:r>
          </w:hyperlink>
        </w:p>
        <w:p w14:paraId="14505EB9" w14:textId="089CCA91" w:rsidR="00FF6E56" w:rsidRPr="00033CAE" w:rsidRDefault="00E14075">
          <w:pPr>
            <w:pStyle w:val="TOC2"/>
            <w:rPr>
              <w:rFonts w:ascii="Arial" w:eastAsiaTheme="minorEastAsia" w:hAnsi="Arial" w:cs="Arial"/>
              <w:noProof/>
            </w:rPr>
          </w:pPr>
          <w:hyperlink w:anchor="_Toc32842696" w:history="1">
            <w:r w:rsidR="00FF6E56" w:rsidRPr="00033CAE">
              <w:rPr>
                <w:rStyle w:val="Hyperlink"/>
                <w:rFonts w:ascii="Arial" w:eastAsia="Arial" w:hAnsi="Arial" w:cs="Arial"/>
                <w:noProof/>
              </w:rPr>
              <w:t>3.13</w:t>
            </w:r>
            <w:r w:rsidR="00FF6E56" w:rsidRPr="00033CAE">
              <w:rPr>
                <w:rFonts w:ascii="Arial" w:eastAsiaTheme="minorEastAsia" w:hAnsi="Arial" w:cs="Arial"/>
                <w:noProof/>
              </w:rPr>
              <w:tab/>
            </w:r>
            <w:r w:rsidR="00FF6E56" w:rsidRPr="00033CAE">
              <w:rPr>
                <w:rStyle w:val="Hyperlink"/>
                <w:rFonts w:ascii="Arial" w:eastAsia="Arial" w:hAnsi="Arial" w:cs="Arial"/>
                <w:noProof/>
              </w:rPr>
              <w:t>Public consultation</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_Toc32842696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67</w:t>
            </w:r>
            <w:r w:rsidR="00FF6E56" w:rsidRPr="00033CAE">
              <w:rPr>
                <w:rFonts w:ascii="Arial" w:hAnsi="Arial" w:cs="Arial"/>
                <w:noProof/>
                <w:webHidden/>
              </w:rPr>
              <w:fldChar w:fldCharType="end"/>
            </w:r>
          </w:hyperlink>
        </w:p>
        <w:p w14:paraId="6AED585F" w14:textId="4BF4878C" w:rsidR="00FF6E56" w:rsidRPr="00033CAE" w:rsidRDefault="00E14075">
          <w:pPr>
            <w:pStyle w:val="TOC2"/>
            <w:rPr>
              <w:rFonts w:ascii="Arial" w:eastAsiaTheme="minorEastAsia" w:hAnsi="Arial" w:cs="Arial"/>
              <w:noProof/>
            </w:rPr>
          </w:pPr>
          <w:hyperlink w:anchor="_Toc32842700" w:history="1">
            <w:r w:rsidR="00FF6E56" w:rsidRPr="00033CAE">
              <w:rPr>
                <w:rStyle w:val="Hyperlink"/>
                <w:rFonts w:ascii="Arial" w:eastAsia="Arial" w:hAnsi="Arial" w:cs="Arial"/>
                <w:noProof/>
              </w:rPr>
              <w:t>PART C – POTENTIAL BUSINESS SCOPE AND KEY SERVICE REQUIREMENTS</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_Toc32842700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71</w:t>
            </w:r>
            <w:r w:rsidR="00FF6E56" w:rsidRPr="00033CAE">
              <w:rPr>
                <w:rFonts w:ascii="Arial" w:hAnsi="Arial" w:cs="Arial"/>
                <w:noProof/>
                <w:webHidden/>
              </w:rPr>
              <w:fldChar w:fldCharType="end"/>
            </w:r>
          </w:hyperlink>
        </w:p>
        <w:p w14:paraId="2E64244E" w14:textId="61BAA5DF" w:rsidR="00FF6E56" w:rsidRPr="00033CAE" w:rsidRDefault="00E14075">
          <w:pPr>
            <w:pStyle w:val="TOC2"/>
            <w:rPr>
              <w:rFonts w:ascii="Arial" w:eastAsiaTheme="minorEastAsia" w:hAnsi="Arial" w:cs="Arial"/>
              <w:noProof/>
            </w:rPr>
          </w:pPr>
          <w:hyperlink w:anchor="_Toc32842701" w:history="1">
            <w:r w:rsidR="00FF6E56" w:rsidRPr="00033CAE">
              <w:rPr>
                <w:rStyle w:val="Hyperlink"/>
                <w:rFonts w:ascii="Arial" w:eastAsia="Arial" w:hAnsi="Arial" w:cs="Arial"/>
                <w:noProof/>
              </w:rPr>
              <w:t>3.14</w:t>
            </w:r>
            <w:r w:rsidR="00FF6E56" w:rsidRPr="00033CAE">
              <w:rPr>
                <w:rFonts w:ascii="Arial" w:eastAsiaTheme="minorEastAsia" w:hAnsi="Arial" w:cs="Arial"/>
                <w:noProof/>
              </w:rPr>
              <w:tab/>
            </w:r>
            <w:r w:rsidR="00FF6E56" w:rsidRPr="00033CAE">
              <w:rPr>
                <w:rStyle w:val="Hyperlink"/>
                <w:rFonts w:ascii="Arial" w:eastAsia="Arial" w:hAnsi="Arial" w:cs="Arial"/>
                <w:noProof/>
              </w:rPr>
              <w:t>Oriel scope and deliverables</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_Toc32842701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71</w:t>
            </w:r>
            <w:r w:rsidR="00FF6E56" w:rsidRPr="00033CAE">
              <w:rPr>
                <w:rFonts w:ascii="Arial" w:hAnsi="Arial" w:cs="Arial"/>
                <w:noProof/>
                <w:webHidden/>
              </w:rPr>
              <w:fldChar w:fldCharType="end"/>
            </w:r>
          </w:hyperlink>
        </w:p>
        <w:p w14:paraId="52D19E79" w14:textId="7C2E7554" w:rsidR="00FF6E56" w:rsidRPr="00033CAE" w:rsidRDefault="00E14075">
          <w:pPr>
            <w:pStyle w:val="TOC2"/>
            <w:rPr>
              <w:rFonts w:ascii="Arial" w:eastAsiaTheme="minorEastAsia" w:hAnsi="Arial" w:cs="Arial"/>
              <w:noProof/>
            </w:rPr>
          </w:pPr>
          <w:hyperlink w:anchor="_Toc32842702" w:history="1">
            <w:r w:rsidR="00FF6E56" w:rsidRPr="00033CAE">
              <w:rPr>
                <w:rStyle w:val="Hyperlink"/>
                <w:rFonts w:ascii="Arial" w:eastAsia="Arial" w:hAnsi="Arial" w:cs="Arial"/>
                <w:noProof/>
              </w:rPr>
              <w:t>3.15</w:t>
            </w:r>
            <w:r w:rsidR="00FF6E56" w:rsidRPr="00033CAE">
              <w:rPr>
                <w:rFonts w:ascii="Arial" w:eastAsiaTheme="minorEastAsia" w:hAnsi="Arial" w:cs="Arial"/>
                <w:noProof/>
              </w:rPr>
              <w:tab/>
            </w:r>
            <w:r w:rsidR="00FF6E56" w:rsidRPr="00033CAE">
              <w:rPr>
                <w:rStyle w:val="Hyperlink"/>
                <w:rFonts w:ascii="Arial" w:eastAsia="Arial" w:hAnsi="Arial" w:cs="Arial"/>
                <w:noProof/>
              </w:rPr>
              <w:t>Identifying the main benefits</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_Toc32842702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73</w:t>
            </w:r>
            <w:r w:rsidR="00FF6E56" w:rsidRPr="00033CAE">
              <w:rPr>
                <w:rFonts w:ascii="Arial" w:hAnsi="Arial" w:cs="Arial"/>
                <w:noProof/>
                <w:webHidden/>
              </w:rPr>
              <w:fldChar w:fldCharType="end"/>
            </w:r>
          </w:hyperlink>
        </w:p>
        <w:p w14:paraId="4EB97580" w14:textId="56FD4650" w:rsidR="00FF6E56" w:rsidRPr="00033CAE" w:rsidRDefault="00E14075">
          <w:pPr>
            <w:pStyle w:val="TOC2"/>
            <w:rPr>
              <w:rFonts w:ascii="Arial" w:eastAsiaTheme="minorEastAsia" w:hAnsi="Arial" w:cs="Arial"/>
              <w:noProof/>
            </w:rPr>
          </w:pPr>
          <w:hyperlink w:anchor="_Toc32842703" w:history="1">
            <w:r w:rsidR="00FF6E56" w:rsidRPr="00033CAE">
              <w:rPr>
                <w:rStyle w:val="Hyperlink"/>
                <w:rFonts w:ascii="Arial" w:eastAsia="Arial" w:hAnsi="Arial" w:cs="Arial"/>
                <w:noProof/>
              </w:rPr>
              <w:t>3.16</w:t>
            </w:r>
            <w:r w:rsidR="00FF6E56" w:rsidRPr="00033CAE">
              <w:rPr>
                <w:rFonts w:ascii="Arial" w:eastAsiaTheme="minorEastAsia" w:hAnsi="Arial" w:cs="Arial"/>
                <w:noProof/>
              </w:rPr>
              <w:tab/>
            </w:r>
            <w:r w:rsidR="00FF6E56" w:rsidRPr="00033CAE">
              <w:rPr>
                <w:rStyle w:val="Hyperlink"/>
                <w:rFonts w:ascii="Arial" w:eastAsia="Arial" w:hAnsi="Arial" w:cs="Arial"/>
                <w:noProof/>
              </w:rPr>
              <w:t>Identifying the constraints</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_Toc32842703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74</w:t>
            </w:r>
            <w:r w:rsidR="00FF6E56" w:rsidRPr="00033CAE">
              <w:rPr>
                <w:rFonts w:ascii="Arial" w:hAnsi="Arial" w:cs="Arial"/>
                <w:noProof/>
                <w:webHidden/>
              </w:rPr>
              <w:fldChar w:fldCharType="end"/>
            </w:r>
          </w:hyperlink>
        </w:p>
        <w:p w14:paraId="3BDD9EC5" w14:textId="2ADB918B" w:rsidR="00FF6E56" w:rsidRPr="00033CAE" w:rsidRDefault="00E14075">
          <w:pPr>
            <w:pStyle w:val="TOC2"/>
            <w:rPr>
              <w:rFonts w:ascii="Arial" w:eastAsiaTheme="minorEastAsia" w:hAnsi="Arial" w:cs="Arial"/>
              <w:noProof/>
            </w:rPr>
          </w:pPr>
          <w:hyperlink w:anchor="_Toc32842704" w:history="1">
            <w:r w:rsidR="00FF6E56" w:rsidRPr="00033CAE">
              <w:rPr>
                <w:rStyle w:val="Hyperlink"/>
                <w:rFonts w:ascii="Arial" w:eastAsia="Arial" w:hAnsi="Arial" w:cs="Arial"/>
                <w:noProof/>
              </w:rPr>
              <w:t>3.17</w:t>
            </w:r>
            <w:r w:rsidR="00FF6E56" w:rsidRPr="00033CAE">
              <w:rPr>
                <w:rFonts w:ascii="Arial" w:eastAsiaTheme="minorEastAsia" w:hAnsi="Arial" w:cs="Arial"/>
                <w:noProof/>
              </w:rPr>
              <w:tab/>
            </w:r>
            <w:r w:rsidR="00FF6E56" w:rsidRPr="00033CAE">
              <w:rPr>
                <w:rStyle w:val="Hyperlink"/>
                <w:rFonts w:ascii="Arial" w:eastAsia="Arial" w:hAnsi="Arial" w:cs="Arial"/>
                <w:noProof/>
              </w:rPr>
              <w:t>Identifying the dependencies</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_Toc32842704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75</w:t>
            </w:r>
            <w:r w:rsidR="00FF6E56" w:rsidRPr="00033CAE">
              <w:rPr>
                <w:rFonts w:ascii="Arial" w:hAnsi="Arial" w:cs="Arial"/>
                <w:noProof/>
                <w:webHidden/>
              </w:rPr>
              <w:fldChar w:fldCharType="end"/>
            </w:r>
          </w:hyperlink>
        </w:p>
        <w:p w14:paraId="4020BB4A" w14:textId="62404A95" w:rsidR="00FF6E56" w:rsidRPr="00033CAE" w:rsidRDefault="00E14075">
          <w:pPr>
            <w:pStyle w:val="TOC1"/>
            <w:tabs>
              <w:tab w:val="left" w:pos="440"/>
              <w:tab w:val="right" w:pos="9016"/>
            </w:tabs>
            <w:rPr>
              <w:rFonts w:ascii="Arial" w:eastAsiaTheme="minorEastAsia" w:hAnsi="Arial" w:cs="Arial"/>
              <w:noProof/>
            </w:rPr>
          </w:pPr>
          <w:hyperlink w:anchor="_Toc32842705" w:history="1">
            <w:r w:rsidR="00FF6E56" w:rsidRPr="00033CAE">
              <w:rPr>
                <w:rStyle w:val="Hyperlink"/>
                <w:rFonts w:ascii="Arial" w:eastAsia="Arial" w:hAnsi="Arial" w:cs="Arial"/>
                <w:noProof/>
              </w:rPr>
              <w:t>4.</w:t>
            </w:r>
            <w:r w:rsidR="00FF6E56" w:rsidRPr="00033CAE">
              <w:rPr>
                <w:rFonts w:ascii="Arial" w:eastAsiaTheme="minorEastAsia" w:hAnsi="Arial" w:cs="Arial"/>
                <w:noProof/>
              </w:rPr>
              <w:tab/>
            </w:r>
            <w:r w:rsidR="00FF6E56" w:rsidRPr="00033CAE">
              <w:rPr>
                <w:rStyle w:val="Hyperlink"/>
                <w:rFonts w:ascii="Arial" w:eastAsia="Arial" w:hAnsi="Arial" w:cs="Arial"/>
                <w:noProof/>
              </w:rPr>
              <w:t>Economic case</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_Toc32842705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76</w:t>
            </w:r>
            <w:r w:rsidR="00FF6E56" w:rsidRPr="00033CAE">
              <w:rPr>
                <w:rFonts w:ascii="Arial" w:hAnsi="Arial" w:cs="Arial"/>
                <w:noProof/>
                <w:webHidden/>
              </w:rPr>
              <w:fldChar w:fldCharType="end"/>
            </w:r>
          </w:hyperlink>
        </w:p>
        <w:p w14:paraId="42BDE9EA" w14:textId="016187A8" w:rsidR="00FF6E56" w:rsidRPr="00033CAE" w:rsidRDefault="00E14075">
          <w:pPr>
            <w:pStyle w:val="TOC2"/>
            <w:rPr>
              <w:rFonts w:ascii="Arial" w:eastAsiaTheme="minorEastAsia" w:hAnsi="Arial" w:cs="Arial"/>
              <w:noProof/>
            </w:rPr>
          </w:pPr>
          <w:hyperlink w:anchor="_Toc32842706" w:history="1">
            <w:r w:rsidR="00FF6E56" w:rsidRPr="00033CAE">
              <w:rPr>
                <w:rStyle w:val="Hyperlink"/>
                <w:rFonts w:ascii="Arial" w:eastAsia="Arial" w:hAnsi="Arial" w:cs="Arial"/>
                <w:noProof/>
              </w:rPr>
              <w:t>4.1</w:t>
            </w:r>
            <w:r w:rsidR="00FF6E56" w:rsidRPr="00033CAE">
              <w:rPr>
                <w:rFonts w:ascii="Arial" w:eastAsiaTheme="minorEastAsia" w:hAnsi="Arial" w:cs="Arial"/>
                <w:noProof/>
              </w:rPr>
              <w:tab/>
            </w:r>
            <w:r w:rsidR="00FF6E56" w:rsidRPr="00033CAE">
              <w:rPr>
                <w:rStyle w:val="Hyperlink"/>
                <w:rFonts w:ascii="Arial" w:eastAsia="Arial" w:hAnsi="Arial" w:cs="Arial"/>
                <w:noProof/>
              </w:rPr>
              <w:t>Introduction and methodology</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_Toc32842706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76</w:t>
            </w:r>
            <w:r w:rsidR="00FF6E56" w:rsidRPr="00033CAE">
              <w:rPr>
                <w:rFonts w:ascii="Arial" w:hAnsi="Arial" w:cs="Arial"/>
                <w:noProof/>
                <w:webHidden/>
              </w:rPr>
              <w:fldChar w:fldCharType="end"/>
            </w:r>
          </w:hyperlink>
        </w:p>
        <w:p w14:paraId="0AC37C4B" w14:textId="66D68698" w:rsidR="00FF6E56" w:rsidRPr="00033CAE" w:rsidRDefault="00E14075">
          <w:pPr>
            <w:pStyle w:val="TOC2"/>
            <w:rPr>
              <w:rFonts w:ascii="Arial" w:eastAsiaTheme="minorEastAsia" w:hAnsi="Arial" w:cs="Arial"/>
              <w:noProof/>
            </w:rPr>
          </w:pPr>
          <w:hyperlink w:anchor="_Toc32842707" w:history="1">
            <w:r w:rsidR="00FF6E56" w:rsidRPr="00033CAE">
              <w:rPr>
                <w:rStyle w:val="Hyperlink"/>
                <w:rFonts w:ascii="Arial" w:eastAsia="Arial" w:hAnsi="Arial" w:cs="Arial"/>
                <w:noProof/>
              </w:rPr>
              <w:t>4.2</w:t>
            </w:r>
            <w:r w:rsidR="00FF6E56" w:rsidRPr="00033CAE">
              <w:rPr>
                <w:rFonts w:ascii="Arial" w:eastAsiaTheme="minorEastAsia" w:hAnsi="Arial" w:cs="Arial"/>
                <w:noProof/>
              </w:rPr>
              <w:tab/>
            </w:r>
            <w:r w:rsidR="00FF6E56" w:rsidRPr="00033CAE">
              <w:rPr>
                <w:rStyle w:val="Hyperlink"/>
                <w:rFonts w:ascii="Arial" w:eastAsia="Arial" w:hAnsi="Arial" w:cs="Arial"/>
                <w:noProof/>
              </w:rPr>
              <w:t>Refresh of investment objectives and critical success factors</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_Toc32842707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77</w:t>
            </w:r>
            <w:r w:rsidR="00FF6E56" w:rsidRPr="00033CAE">
              <w:rPr>
                <w:rFonts w:ascii="Arial" w:hAnsi="Arial" w:cs="Arial"/>
                <w:noProof/>
                <w:webHidden/>
              </w:rPr>
              <w:fldChar w:fldCharType="end"/>
            </w:r>
          </w:hyperlink>
        </w:p>
        <w:p w14:paraId="08840B43" w14:textId="5F587990" w:rsidR="00FF6E56" w:rsidRPr="00033CAE" w:rsidRDefault="00E14075">
          <w:pPr>
            <w:pStyle w:val="TOC2"/>
            <w:rPr>
              <w:rFonts w:ascii="Arial" w:eastAsiaTheme="minorEastAsia" w:hAnsi="Arial" w:cs="Arial"/>
              <w:noProof/>
            </w:rPr>
          </w:pPr>
          <w:hyperlink w:anchor="_Toc32842708" w:history="1">
            <w:r w:rsidR="00FF6E56" w:rsidRPr="00033CAE">
              <w:rPr>
                <w:rStyle w:val="Hyperlink"/>
                <w:rFonts w:ascii="Arial" w:eastAsia="Arial" w:hAnsi="Arial" w:cs="Arial"/>
                <w:noProof/>
              </w:rPr>
              <w:t>4.3</w:t>
            </w:r>
            <w:r w:rsidR="00FF6E56" w:rsidRPr="00033CAE">
              <w:rPr>
                <w:rFonts w:ascii="Arial" w:eastAsiaTheme="minorEastAsia" w:hAnsi="Arial" w:cs="Arial"/>
                <w:noProof/>
              </w:rPr>
              <w:tab/>
            </w:r>
            <w:r w:rsidR="00FF6E56" w:rsidRPr="00033CAE">
              <w:rPr>
                <w:rStyle w:val="Hyperlink"/>
                <w:rFonts w:ascii="Arial" w:eastAsia="Arial" w:hAnsi="Arial" w:cs="Arial"/>
                <w:noProof/>
              </w:rPr>
              <w:t>Long list of options</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_Toc32842708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79</w:t>
            </w:r>
            <w:r w:rsidR="00FF6E56" w:rsidRPr="00033CAE">
              <w:rPr>
                <w:rFonts w:ascii="Arial" w:hAnsi="Arial" w:cs="Arial"/>
                <w:noProof/>
                <w:webHidden/>
              </w:rPr>
              <w:fldChar w:fldCharType="end"/>
            </w:r>
          </w:hyperlink>
        </w:p>
        <w:p w14:paraId="4CB0BDCA" w14:textId="095E0DB4" w:rsidR="00FF6E56" w:rsidRPr="00033CAE" w:rsidRDefault="00E14075">
          <w:pPr>
            <w:pStyle w:val="TOC2"/>
            <w:rPr>
              <w:rFonts w:ascii="Arial" w:eastAsiaTheme="minorEastAsia" w:hAnsi="Arial" w:cs="Arial"/>
              <w:noProof/>
            </w:rPr>
          </w:pPr>
          <w:hyperlink w:anchor="_Toc32842709" w:history="1">
            <w:r w:rsidR="00FF6E56" w:rsidRPr="00033CAE">
              <w:rPr>
                <w:rStyle w:val="Hyperlink"/>
                <w:rFonts w:ascii="Arial" w:eastAsia="Arial" w:hAnsi="Arial" w:cs="Arial"/>
                <w:noProof/>
              </w:rPr>
              <w:t>4.4</w:t>
            </w:r>
            <w:r w:rsidR="00FF6E56" w:rsidRPr="00033CAE">
              <w:rPr>
                <w:rFonts w:ascii="Arial" w:eastAsiaTheme="minorEastAsia" w:hAnsi="Arial" w:cs="Arial"/>
                <w:noProof/>
              </w:rPr>
              <w:tab/>
            </w:r>
            <w:r w:rsidR="00FF6E56" w:rsidRPr="00033CAE">
              <w:rPr>
                <w:rStyle w:val="Hyperlink"/>
                <w:rFonts w:ascii="Arial" w:eastAsia="Arial" w:hAnsi="Arial" w:cs="Arial"/>
                <w:noProof/>
              </w:rPr>
              <w:t>Shortlist of options</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_Toc32842709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84</w:t>
            </w:r>
            <w:r w:rsidR="00FF6E56" w:rsidRPr="00033CAE">
              <w:rPr>
                <w:rFonts w:ascii="Arial" w:hAnsi="Arial" w:cs="Arial"/>
                <w:noProof/>
                <w:webHidden/>
              </w:rPr>
              <w:fldChar w:fldCharType="end"/>
            </w:r>
          </w:hyperlink>
        </w:p>
        <w:p w14:paraId="336DCDEB" w14:textId="5A15015F" w:rsidR="00FF6E56" w:rsidRPr="00033CAE" w:rsidRDefault="00E14075">
          <w:pPr>
            <w:pStyle w:val="TOC2"/>
            <w:rPr>
              <w:rFonts w:ascii="Arial" w:eastAsiaTheme="minorEastAsia" w:hAnsi="Arial" w:cs="Arial"/>
              <w:noProof/>
            </w:rPr>
          </w:pPr>
          <w:hyperlink w:anchor="_Toc32842710" w:history="1">
            <w:r w:rsidR="00FF6E56" w:rsidRPr="00033CAE">
              <w:rPr>
                <w:rStyle w:val="Hyperlink"/>
                <w:rFonts w:ascii="Arial" w:eastAsia="Arial" w:hAnsi="Arial" w:cs="Arial"/>
                <w:noProof/>
              </w:rPr>
              <w:t>4.5</w:t>
            </w:r>
            <w:r w:rsidR="00FF6E56" w:rsidRPr="00033CAE">
              <w:rPr>
                <w:rFonts w:ascii="Arial" w:eastAsiaTheme="minorEastAsia" w:hAnsi="Arial" w:cs="Arial"/>
                <w:noProof/>
              </w:rPr>
              <w:tab/>
            </w:r>
            <w:r w:rsidR="00FF6E56" w:rsidRPr="00033CAE">
              <w:rPr>
                <w:rStyle w:val="Hyperlink"/>
                <w:rFonts w:ascii="Arial" w:eastAsia="Arial" w:hAnsi="Arial" w:cs="Arial"/>
                <w:noProof/>
              </w:rPr>
              <w:t>Economic appraisal of shortlisted options</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_Toc32842710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86</w:t>
            </w:r>
            <w:r w:rsidR="00FF6E56" w:rsidRPr="00033CAE">
              <w:rPr>
                <w:rFonts w:ascii="Arial" w:hAnsi="Arial" w:cs="Arial"/>
                <w:noProof/>
                <w:webHidden/>
              </w:rPr>
              <w:fldChar w:fldCharType="end"/>
            </w:r>
          </w:hyperlink>
        </w:p>
        <w:p w14:paraId="3BE3A447" w14:textId="74B51243" w:rsidR="00FF6E56" w:rsidRPr="00033CAE" w:rsidRDefault="00E14075">
          <w:pPr>
            <w:pStyle w:val="TOC2"/>
            <w:rPr>
              <w:rFonts w:ascii="Arial" w:eastAsiaTheme="minorEastAsia" w:hAnsi="Arial" w:cs="Arial"/>
              <w:noProof/>
            </w:rPr>
          </w:pPr>
          <w:hyperlink w:anchor="_Toc32842714" w:history="1">
            <w:r w:rsidR="00FF6E56" w:rsidRPr="00033CAE">
              <w:rPr>
                <w:rStyle w:val="Hyperlink"/>
                <w:rFonts w:ascii="Arial" w:eastAsia="Arial" w:hAnsi="Arial" w:cs="Arial"/>
                <w:noProof/>
              </w:rPr>
              <w:t>4.6</w:t>
            </w:r>
            <w:r w:rsidR="00FF6E56" w:rsidRPr="00033CAE">
              <w:rPr>
                <w:rFonts w:ascii="Arial" w:eastAsiaTheme="minorEastAsia" w:hAnsi="Arial" w:cs="Arial"/>
                <w:noProof/>
              </w:rPr>
              <w:tab/>
            </w:r>
            <w:r w:rsidR="00FF6E56" w:rsidRPr="00033CAE">
              <w:rPr>
                <w:rStyle w:val="Hyperlink"/>
                <w:rFonts w:ascii="Arial" w:eastAsia="Arial" w:hAnsi="Arial" w:cs="Arial"/>
                <w:noProof/>
              </w:rPr>
              <w:t>Sensitivity analysis</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_Toc32842714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91</w:t>
            </w:r>
            <w:r w:rsidR="00FF6E56" w:rsidRPr="00033CAE">
              <w:rPr>
                <w:rFonts w:ascii="Arial" w:hAnsi="Arial" w:cs="Arial"/>
                <w:noProof/>
                <w:webHidden/>
              </w:rPr>
              <w:fldChar w:fldCharType="end"/>
            </w:r>
          </w:hyperlink>
        </w:p>
        <w:p w14:paraId="6227D8B8" w14:textId="1913110B" w:rsidR="00FF6E56" w:rsidRPr="00033CAE" w:rsidRDefault="00E14075">
          <w:pPr>
            <w:pStyle w:val="TOC2"/>
            <w:rPr>
              <w:rFonts w:ascii="Arial" w:eastAsiaTheme="minorEastAsia" w:hAnsi="Arial" w:cs="Arial"/>
              <w:noProof/>
            </w:rPr>
          </w:pPr>
          <w:hyperlink w:anchor="_Toc32842716" w:history="1">
            <w:r w:rsidR="00FF6E56" w:rsidRPr="00033CAE">
              <w:rPr>
                <w:rStyle w:val="Hyperlink"/>
                <w:rFonts w:ascii="Arial" w:eastAsia="Arial" w:hAnsi="Arial" w:cs="Arial"/>
                <w:noProof/>
              </w:rPr>
              <w:t>4.7</w:t>
            </w:r>
            <w:r w:rsidR="00FF6E56" w:rsidRPr="00033CAE">
              <w:rPr>
                <w:rFonts w:ascii="Arial" w:eastAsiaTheme="minorEastAsia" w:hAnsi="Arial" w:cs="Arial"/>
                <w:noProof/>
              </w:rPr>
              <w:tab/>
            </w:r>
            <w:r w:rsidR="00FF6E56" w:rsidRPr="00033CAE">
              <w:rPr>
                <w:rStyle w:val="Hyperlink"/>
                <w:rFonts w:ascii="Arial" w:eastAsia="Arial" w:hAnsi="Arial" w:cs="Arial"/>
                <w:noProof/>
              </w:rPr>
              <w:t>The preferred option</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_Toc32842716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93</w:t>
            </w:r>
            <w:r w:rsidR="00FF6E56" w:rsidRPr="00033CAE">
              <w:rPr>
                <w:rFonts w:ascii="Arial" w:hAnsi="Arial" w:cs="Arial"/>
                <w:noProof/>
                <w:webHidden/>
              </w:rPr>
              <w:fldChar w:fldCharType="end"/>
            </w:r>
          </w:hyperlink>
        </w:p>
        <w:p w14:paraId="2DB1F23F" w14:textId="05582761" w:rsidR="00FF6E56" w:rsidRPr="00033CAE" w:rsidRDefault="00E14075">
          <w:pPr>
            <w:pStyle w:val="TOC1"/>
            <w:tabs>
              <w:tab w:val="left" w:pos="440"/>
              <w:tab w:val="right" w:pos="9016"/>
            </w:tabs>
            <w:rPr>
              <w:rFonts w:ascii="Arial" w:eastAsiaTheme="minorEastAsia" w:hAnsi="Arial" w:cs="Arial"/>
              <w:noProof/>
            </w:rPr>
          </w:pPr>
          <w:hyperlink w:anchor="_Toc32842717" w:history="1">
            <w:r w:rsidR="00FF6E56" w:rsidRPr="00033CAE">
              <w:rPr>
                <w:rStyle w:val="Hyperlink"/>
                <w:rFonts w:ascii="Arial" w:eastAsia="Arial" w:hAnsi="Arial" w:cs="Arial"/>
                <w:noProof/>
              </w:rPr>
              <w:t>5.</w:t>
            </w:r>
            <w:r w:rsidR="00FF6E56" w:rsidRPr="00033CAE">
              <w:rPr>
                <w:rFonts w:ascii="Arial" w:eastAsiaTheme="minorEastAsia" w:hAnsi="Arial" w:cs="Arial"/>
                <w:noProof/>
              </w:rPr>
              <w:tab/>
            </w:r>
            <w:r w:rsidR="00FF6E56" w:rsidRPr="00033CAE">
              <w:rPr>
                <w:rStyle w:val="Hyperlink"/>
                <w:rFonts w:ascii="Arial" w:eastAsia="Arial" w:hAnsi="Arial" w:cs="Arial"/>
                <w:noProof/>
              </w:rPr>
              <w:t>Clinical Quality case</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_Toc32842717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94</w:t>
            </w:r>
            <w:r w:rsidR="00FF6E56" w:rsidRPr="00033CAE">
              <w:rPr>
                <w:rFonts w:ascii="Arial" w:hAnsi="Arial" w:cs="Arial"/>
                <w:noProof/>
                <w:webHidden/>
              </w:rPr>
              <w:fldChar w:fldCharType="end"/>
            </w:r>
          </w:hyperlink>
        </w:p>
        <w:p w14:paraId="1EA727D7" w14:textId="6001FD20" w:rsidR="00FF6E56" w:rsidRPr="00033CAE" w:rsidRDefault="00E14075">
          <w:pPr>
            <w:pStyle w:val="TOC2"/>
            <w:rPr>
              <w:rFonts w:ascii="Arial" w:eastAsiaTheme="minorEastAsia" w:hAnsi="Arial" w:cs="Arial"/>
              <w:noProof/>
            </w:rPr>
          </w:pPr>
          <w:hyperlink w:anchor="_Toc32842718" w:history="1">
            <w:r w:rsidR="00FF6E56" w:rsidRPr="00033CAE">
              <w:rPr>
                <w:rStyle w:val="Hyperlink"/>
                <w:rFonts w:ascii="Arial" w:eastAsia="Arial" w:hAnsi="Arial" w:cs="Arial"/>
                <w:noProof/>
              </w:rPr>
              <w:t>5.1</w:t>
            </w:r>
            <w:r w:rsidR="00FF6E56" w:rsidRPr="00033CAE">
              <w:rPr>
                <w:rFonts w:ascii="Arial" w:eastAsiaTheme="minorEastAsia" w:hAnsi="Arial" w:cs="Arial"/>
                <w:noProof/>
              </w:rPr>
              <w:tab/>
            </w:r>
            <w:r w:rsidR="00FF6E56" w:rsidRPr="00033CAE">
              <w:rPr>
                <w:rStyle w:val="Hyperlink"/>
                <w:rFonts w:ascii="Arial" w:eastAsia="Arial" w:hAnsi="Arial" w:cs="Arial"/>
                <w:noProof/>
              </w:rPr>
              <w:t>Overview of Moorfields’ services</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_Toc32842718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95</w:t>
            </w:r>
            <w:r w:rsidR="00FF6E56" w:rsidRPr="00033CAE">
              <w:rPr>
                <w:rFonts w:ascii="Arial" w:hAnsi="Arial" w:cs="Arial"/>
                <w:noProof/>
                <w:webHidden/>
              </w:rPr>
              <w:fldChar w:fldCharType="end"/>
            </w:r>
          </w:hyperlink>
        </w:p>
        <w:p w14:paraId="0DB02B7D" w14:textId="2B5B5D09" w:rsidR="00FF6E56" w:rsidRPr="00033CAE" w:rsidRDefault="00E14075">
          <w:pPr>
            <w:pStyle w:val="TOC2"/>
            <w:rPr>
              <w:rFonts w:ascii="Arial" w:eastAsiaTheme="minorEastAsia" w:hAnsi="Arial" w:cs="Arial"/>
              <w:noProof/>
            </w:rPr>
          </w:pPr>
          <w:hyperlink w:anchor="_Toc32842719" w:history="1">
            <w:r w:rsidR="00FF6E56" w:rsidRPr="00033CAE">
              <w:rPr>
                <w:rStyle w:val="Hyperlink"/>
                <w:rFonts w:ascii="Arial" w:eastAsia="Arial" w:hAnsi="Arial" w:cs="Arial"/>
                <w:noProof/>
              </w:rPr>
              <w:t>5.2</w:t>
            </w:r>
            <w:r w:rsidR="00FF6E56" w:rsidRPr="00033CAE">
              <w:rPr>
                <w:rFonts w:ascii="Arial" w:eastAsiaTheme="minorEastAsia" w:hAnsi="Arial" w:cs="Arial"/>
                <w:noProof/>
              </w:rPr>
              <w:tab/>
            </w:r>
            <w:r w:rsidR="00FF6E56" w:rsidRPr="00033CAE">
              <w:rPr>
                <w:rStyle w:val="Hyperlink"/>
                <w:rFonts w:ascii="Arial" w:eastAsia="Arial" w:hAnsi="Arial" w:cs="Arial"/>
                <w:noProof/>
              </w:rPr>
              <w:t>Commissioning intentions and system-wide service models</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_Toc32842719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96</w:t>
            </w:r>
            <w:r w:rsidR="00FF6E56" w:rsidRPr="00033CAE">
              <w:rPr>
                <w:rFonts w:ascii="Arial" w:hAnsi="Arial" w:cs="Arial"/>
                <w:noProof/>
                <w:webHidden/>
              </w:rPr>
              <w:fldChar w:fldCharType="end"/>
            </w:r>
          </w:hyperlink>
        </w:p>
        <w:p w14:paraId="3A811FB8" w14:textId="66FDABB8" w:rsidR="00FF6E56" w:rsidRPr="00033CAE" w:rsidRDefault="00E14075">
          <w:pPr>
            <w:pStyle w:val="TOC2"/>
            <w:rPr>
              <w:rFonts w:ascii="Arial" w:eastAsiaTheme="minorEastAsia" w:hAnsi="Arial" w:cs="Arial"/>
              <w:noProof/>
            </w:rPr>
          </w:pPr>
          <w:hyperlink w:anchor="_Toc32842720" w:history="1">
            <w:r w:rsidR="00FF6E56" w:rsidRPr="00033CAE">
              <w:rPr>
                <w:rStyle w:val="Hyperlink"/>
                <w:rFonts w:ascii="Arial" w:eastAsia="Arial" w:hAnsi="Arial" w:cs="Arial"/>
                <w:noProof/>
              </w:rPr>
              <w:t>5.3</w:t>
            </w:r>
            <w:r w:rsidR="00FF6E56" w:rsidRPr="00033CAE">
              <w:rPr>
                <w:rFonts w:ascii="Arial" w:eastAsiaTheme="minorEastAsia" w:hAnsi="Arial" w:cs="Arial"/>
                <w:noProof/>
              </w:rPr>
              <w:tab/>
            </w:r>
            <w:r w:rsidR="00FF6E56" w:rsidRPr="00033CAE">
              <w:rPr>
                <w:rStyle w:val="Hyperlink"/>
                <w:rFonts w:ascii="Arial" w:eastAsia="Arial" w:hAnsi="Arial" w:cs="Arial"/>
                <w:noProof/>
              </w:rPr>
              <w:t>Clinical pathways</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_Toc32842720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100</w:t>
            </w:r>
            <w:r w:rsidR="00FF6E56" w:rsidRPr="00033CAE">
              <w:rPr>
                <w:rFonts w:ascii="Arial" w:hAnsi="Arial" w:cs="Arial"/>
                <w:noProof/>
                <w:webHidden/>
              </w:rPr>
              <w:fldChar w:fldCharType="end"/>
            </w:r>
          </w:hyperlink>
        </w:p>
        <w:p w14:paraId="06AAB05C" w14:textId="3675DA23" w:rsidR="00FF6E56" w:rsidRPr="00033CAE" w:rsidRDefault="00E14075">
          <w:pPr>
            <w:pStyle w:val="TOC2"/>
            <w:rPr>
              <w:rFonts w:ascii="Arial" w:eastAsiaTheme="minorEastAsia" w:hAnsi="Arial" w:cs="Arial"/>
              <w:noProof/>
            </w:rPr>
          </w:pPr>
          <w:hyperlink w:anchor="_Toc32842721" w:history="1">
            <w:r w:rsidR="00FF6E56" w:rsidRPr="00033CAE">
              <w:rPr>
                <w:rStyle w:val="Hyperlink"/>
                <w:rFonts w:ascii="Arial" w:eastAsia="Arial" w:hAnsi="Arial" w:cs="Arial"/>
                <w:noProof/>
              </w:rPr>
              <w:t>5.4</w:t>
            </w:r>
            <w:r w:rsidR="00FF6E56" w:rsidRPr="00033CAE">
              <w:rPr>
                <w:rFonts w:ascii="Arial" w:eastAsiaTheme="minorEastAsia" w:hAnsi="Arial" w:cs="Arial"/>
                <w:noProof/>
              </w:rPr>
              <w:tab/>
            </w:r>
            <w:r w:rsidR="00FF6E56" w:rsidRPr="00033CAE">
              <w:rPr>
                <w:rStyle w:val="Hyperlink"/>
                <w:rFonts w:ascii="Arial" w:eastAsia="Arial" w:hAnsi="Arial" w:cs="Arial"/>
                <w:noProof/>
              </w:rPr>
              <w:t>Research</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_Toc32842721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102</w:t>
            </w:r>
            <w:r w:rsidR="00FF6E56" w:rsidRPr="00033CAE">
              <w:rPr>
                <w:rFonts w:ascii="Arial" w:hAnsi="Arial" w:cs="Arial"/>
                <w:noProof/>
                <w:webHidden/>
              </w:rPr>
              <w:fldChar w:fldCharType="end"/>
            </w:r>
          </w:hyperlink>
        </w:p>
        <w:p w14:paraId="5D3C7D15" w14:textId="0AE73973" w:rsidR="00FF6E56" w:rsidRPr="00033CAE" w:rsidRDefault="00E14075">
          <w:pPr>
            <w:pStyle w:val="TOC2"/>
            <w:rPr>
              <w:rFonts w:ascii="Arial" w:eastAsiaTheme="minorEastAsia" w:hAnsi="Arial" w:cs="Arial"/>
              <w:noProof/>
            </w:rPr>
          </w:pPr>
          <w:hyperlink w:anchor="_Toc32842722" w:history="1">
            <w:r w:rsidR="00FF6E56" w:rsidRPr="00033CAE">
              <w:rPr>
                <w:rStyle w:val="Hyperlink"/>
                <w:rFonts w:ascii="Arial" w:eastAsia="Arial" w:hAnsi="Arial" w:cs="Arial"/>
                <w:noProof/>
              </w:rPr>
              <w:t>5.5</w:t>
            </w:r>
            <w:r w:rsidR="00FF6E56" w:rsidRPr="00033CAE">
              <w:rPr>
                <w:rFonts w:ascii="Arial" w:eastAsiaTheme="minorEastAsia" w:hAnsi="Arial" w:cs="Arial"/>
                <w:noProof/>
              </w:rPr>
              <w:tab/>
            </w:r>
            <w:r w:rsidR="00FF6E56" w:rsidRPr="00033CAE">
              <w:rPr>
                <w:rStyle w:val="Hyperlink"/>
                <w:rFonts w:ascii="Arial" w:eastAsia="Arial" w:hAnsi="Arial" w:cs="Arial"/>
                <w:noProof/>
              </w:rPr>
              <w:t>Education</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_Toc32842722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103</w:t>
            </w:r>
            <w:r w:rsidR="00FF6E56" w:rsidRPr="00033CAE">
              <w:rPr>
                <w:rFonts w:ascii="Arial" w:hAnsi="Arial" w:cs="Arial"/>
                <w:noProof/>
                <w:webHidden/>
              </w:rPr>
              <w:fldChar w:fldCharType="end"/>
            </w:r>
          </w:hyperlink>
        </w:p>
        <w:p w14:paraId="7497694A" w14:textId="34DA0337" w:rsidR="00FF6E56" w:rsidRPr="00033CAE" w:rsidRDefault="00E14075">
          <w:pPr>
            <w:pStyle w:val="TOC2"/>
            <w:rPr>
              <w:rFonts w:ascii="Arial" w:eastAsiaTheme="minorEastAsia" w:hAnsi="Arial" w:cs="Arial"/>
              <w:noProof/>
            </w:rPr>
          </w:pPr>
          <w:hyperlink w:anchor="_Toc32842723" w:history="1">
            <w:r w:rsidR="00FF6E56" w:rsidRPr="00033CAE">
              <w:rPr>
                <w:rStyle w:val="Hyperlink"/>
                <w:rFonts w:ascii="Arial" w:eastAsia="Arial" w:hAnsi="Arial" w:cs="Arial"/>
                <w:noProof/>
              </w:rPr>
              <w:t>5.6</w:t>
            </w:r>
            <w:r w:rsidR="00FF6E56" w:rsidRPr="00033CAE">
              <w:rPr>
                <w:rFonts w:ascii="Arial" w:eastAsiaTheme="minorEastAsia" w:hAnsi="Arial" w:cs="Arial"/>
                <w:noProof/>
              </w:rPr>
              <w:tab/>
            </w:r>
            <w:r w:rsidR="00FF6E56" w:rsidRPr="00033CAE">
              <w:rPr>
                <w:rStyle w:val="Hyperlink"/>
                <w:rFonts w:ascii="Arial" w:eastAsia="Arial" w:hAnsi="Arial" w:cs="Arial"/>
                <w:noProof/>
              </w:rPr>
              <w:t>Workforce strategy</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_Toc32842723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105</w:t>
            </w:r>
            <w:r w:rsidR="00FF6E56" w:rsidRPr="00033CAE">
              <w:rPr>
                <w:rFonts w:ascii="Arial" w:hAnsi="Arial" w:cs="Arial"/>
                <w:noProof/>
                <w:webHidden/>
              </w:rPr>
              <w:fldChar w:fldCharType="end"/>
            </w:r>
          </w:hyperlink>
        </w:p>
        <w:p w14:paraId="6FAF33D7" w14:textId="3FE2EB28" w:rsidR="00FF6E56" w:rsidRPr="00033CAE" w:rsidRDefault="00E14075">
          <w:pPr>
            <w:pStyle w:val="TOC2"/>
            <w:rPr>
              <w:rFonts w:ascii="Arial" w:eastAsiaTheme="minorEastAsia" w:hAnsi="Arial" w:cs="Arial"/>
              <w:noProof/>
            </w:rPr>
          </w:pPr>
          <w:hyperlink w:anchor="_Toc32842724" w:history="1">
            <w:r w:rsidR="00FF6E56" w:rsidRPr="00033CAE">
              <w:rPr>
                <w:rStyle w:val="Hyperlink"/>
                <w:rFonts w:ascii="Arial" w:eastAsia="Arial" w:hAnsi="Arial" w:cs="Arial"/>
                <w:noProof/>
              </w:rPr>
              <w:t>5.7</w:t>
            </w:r>
            <w:r w:rsidR="00FF6E56" w:rsidRPr="00033CAE">
              <w:rPr>
                <w:rFonts w:ascii="Arial" w:eastAsiaTheme="minorEastAsia" w:hAnsi="Arial" w:cs="Arial"/>
                <w:noProof/>
              </w:rPr>
              <w:tab/>
            </w:r>
            <w:r w:rsidR="00FF6E56" w:rsidRPr="00033CAE">
              <w:rPr>
                <w:rStyle w:val="Hyperlink"/>
                <w:rFonts w:ascii="Arial" w:eastAsia="Arial" w:hAnsi="Arial" w:cs="Arial"/>
                <w:noProof/>
              </w:rPr>
              <w:t>IT systems and infrastructure</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_Toc32842724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106</w:t>
            </w:r>
            <w:r w:rsidR="00FF6E56" w:rsidRPr="00033CAE">
              <w:rPr>
                <w:rFonts w:ascii="Arial" w:hAnsi="Arial" w:cs="Arial"/>
                <w:noProof/>
                <w:webHidden/>
              </w:rPr>
              <w:fldChar w:fldCharType="end"/>
            </w:r>
          </w:hyperlink>
        </w:p>
        <w:p w14:paraId="2F64B7F7" w14:textId="41E991FA" w:rsidR="00FF6E56" w:rsidRPr="00033CAE" w:rsidRDefault="00E14075">
          <w:pPr>
            <w:pStyle w:val="TOC2"/>
            <w:rPr>
              <w:rFonts w:ascii="Arial" w:eastAsiaTheme="minorEastAsia" w:hAnsi="Arial" w:cs="Arial"/>
              <w:noProof/>
            </w:rPr>
          </w:pPr>
          <w:hyperlink w:anchor="_Toc32842725" w:history="1">
            <w:r w:rsidR="00FF6E56" w:rsidRPr="00033CAE">
              <w:rPr>
                <w:rStyle w:val="Hyperlink"/>
                <w:rFonts w:ascii="Arial" w:eastAsia="Arial" w:hAnsi="Arial" w:cs="Arial"/>
                <w:noProof/>
              </w:rPr>
              <w:t>5.8</w:t>
            </w:r>
            <w:r w:rsidR="00FF6E56" w:rsidRPr="00033CAE">
              <w:rPr>
                <w:rFonts w:ascii="Arial" w:eastAsiaTheme="minorEastAsia" w:hAnsi="Arial" w:cs="Arial"/>
                <w:noProof/>
              </w:rPr>
              <w:tab/>
            </w:r>
            <w:r w:rsidR="00FF6E56" w:rsidRPr="00033CAE">
              <w:rPr>
                <w:rStyle w:val="Hyperlink"/>
                <w:rFonts w:ascii="Arial" w:eastAsia="Arial" w:hAnsi="Arial" w:cs="Arial"/>
                <w:noProof/>
              </w:rPr>
              <w:t>Design overview</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_Toc32842725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110</w:t>
            </w:r>
            <w:r w:rsidR="00FF6E56" w:rsidRPr="00033CAE">
              <w:rPr>
                <w:rFonts w:ascii="Arial" w:hAnsi="Arial" w:cs="Arial"/>
                <w:noProof/>
                <w:webHidden/>
              </w:rPr>
              <w:fldChar w:fldCharType="end"/>
            </w:r>
          </w:hyperlink>
        </w:p>
        <w:p w14:paraId="45F2581F" w14:textId="5571FA68" w:rsidR="00FF6E56" w:rsidRPr="00033CAE" w:rsidRDefault="00E14075">
          <w:pPr>
            <w:pStyle w:val="TOC1"/>
            <w:tabs>
              <w:tab w:val="left" w:pos="440"/>
              <w:tab w:val="right" w:pos="9016"/>
            </w:tabs>
            <w:rPr>
              <w:rFonts w:ascii="Arial" w:eastAsiaTheme="minorEastAsia" w:hAnsi="Arial" w:cs="Arial"/>
              <w:noProof/>
            </w:rPr>
          </w:pPr>
          <w:hyperlink w:anchor="_Toc32842729" w:history="1">
            <w:r w:rsidR="00FF6E56" w:rsidRPr="00033CAE">
              <w:rPr>
                <w:rStyle w:val="Hyperlink"/>
                <w:rFonts w:ascii="Arial" w:eastAsia="Arial" w:hAnsi="Arial" w:cs="Arial"/>
                <w:noProof/>
              </w:rPr>
              <w:t>6.</w:t>
            </w:r>
            <w:r w:rsidR="00FF6E56" w:rsidRPr="00033CAE">
              <w:rPr>
                <w:rFonts w:ascii="Arial" w:eastAsiaTheme="minorEastAsia" w:hAnsi="Arial" w:cs="Arial"/>
                <w:noProof/>
              </w:rPr>
              <w:tab/>
            </w:r>
            <w:r w:rsidR="00FF6E56" w:rsidRPr="00033CAE">
              <w:rPr>
                <w:rStyle w:val="Hyperlink"/>
                <w:rFonts w:ascii="Arial" w:eastAsia="Arial" w:hAnsi="Arial" w:cs="Arial"/>
                <w:noProof/>
              </w:rPr>
              <w:t>Finance case</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_Toc32842729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113</w:t>
            </w:r>
            <w:r w:rsidR="00FF6E56" w:rsidRPr="00033CAE">
              <w:rPr>
                <w:rFonts w:ascii="Arial" w:hAnsi="Arial" w:cs="Arial"/>
                <w:noProof/>
                <w:webHidden/>
              </w:rPr>
              <w:fldChar w:fldCharType="end"/>
            </w:r>
          </w:hyperlink>
        </w:p>
        <w:p w14:paraId="7D2B6B7C" w14:textId="72CDD6B8" w:rsidR="00FF6E56" w:rsidRPr="00033CAE" w:rsidRDefault="00E14075">
          <w:pPr>
            <w:pStyle w:val="TOC2"/>
            <w:rPr>
              <w:rFonts w:ascii="Arial" w:eastAsiaTheme="minorEastAsia" w:hAnsi="Arial" w:cs="Arial"/>
              <w:noProof/>
            </w:rPr>
          </w:pPr>
          <w:hyperlink w:anchor="_Toc32842730" w:history="1">
            <w:r w:rsidR="00FF6E56" w:rsidRPr="00033CAE">
              <w:rPr>
                <w:rStyle w:val="Hyperlink"/>
                <w:rFonts w:ascii="Arial" w:eastAsia="Arial" w:hAnsi="Arial" w:cs="Arial"/>
                <w:noProof/>
              </w:rPr>
              <w:t>6.1</w:t>
            </w:r>
            <w:r w:rsidR="00FF6E56" w:rsidRPr="00033CAE">
              <w:rPr>
                <w:rFonts w:ascii="Arial" w:eastAsiaTheme="minorEastAsia" w:hAnsi="Arial" w:cs="Arial"/>
                <w:noProof/>
              </w:rPr>
              <w:tab/>
            </w:r>
            <w:r w:rsidR="00FF6E56" w:rsidRPr="00033CAE">
              <w:rPr>
                <w:rStyle w:val="Hyperlink"/>
                <w:rFonts w:ascii="Arial" w:eastAsia="Arial" w:hAnsi="Arial" w:cs="Arial"/>
                <w:noProof/>
              </w:rPr>
              <w:t>Key principles</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_Toc32842730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113</w:t>
            </w:r>
            <w:r w:rsidR="00FF6E56" w:rsidRPr="00033CAE">
              <w:rPr>
                <w:rFonts w:ascii="Arial" w:hAnsi="Arial" w:cs="Arial"/>
                <w:noProof/>
                <w:webHidden/>
              </w:rPr>
              <w:fldChar w:fldCharType="end"/>
            </w:r>
          </w:hyperlink>
        </w:p>
        <w:p w14:paraId="05C7662B" w14:textId="4161A051" w:rsidR="00FF6E56" w:rsidRPr="00033CAE" w:rsidRDefault="00E14075">
          <w:pPr>
            <w:pStyle w:val="TOC2"/>
            <w:rPr>
              <w:rFonts w:ascii="Arial" w:eastAsiaTheme="minorEastAsia" w:hAnsi="Arial" w:cs="Arial"/>
              <w:noProof/>
            </w:rPr>
          </w:pPr>
          <w:hyperlink w:anchor="_Toc32842731" w:history="1">
            <w:r w:rsidR="00FF6E56" w:rsidRPr="00033CAE">
              <w:rPr>
                <w:rStyle w:val="Hyperlink"/>
                <w:rFonts w:ascii="Arial" w:eastAsia="Arial" w:hAnsi="Arial" w:cs="Arial"/>
                <w:noProof/>
              </w:rPr>
              <w:t>6.2</w:t>
            </w:r>
            <w:r w:rsidR="00FF6E56" w:rsidRPr="00033CAE">
              <w:rPr>
                <w:rFonts w:ascii="Arial" w:eastAsiaTheme="minorEastAsia" w:hAnsi="Arial" w:cs="Arial"/>
                <w:noProof/>
              </w:rPr>
              <w:tab/>
            </w:r>
            <w:r w:rsidR="00FF6E56" w:rsidRPr="00033CAE">
              <w:rPr>
                <w:rStyle w:val="Hyperlink"/>
                <w:rFonts w:ascii="Arial" w:eastAsia="Arial" w:hAnsi="Arial" w:cs="Arial"/>
                <w:noProof/>
              </w:rPr>
              <w:t>Current and historical financial performance of the trust</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_Toc32842731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114</w:t>
            </w:r>
            <w:r w:rsidR="00FF6E56" w:rsidRPr="00033CAE">
              <w:rPr>
                <w:rFonts w:ascii="Arial" w:hAnsi="Arial" w:cs="Arial"/>
                <w:noProof/>
                <w:webHidden/>
              </w:rPr>
              <w:fldChar w:fldCharType="end"/>
            </w:r>
          </w:hyperlink>
        </w:p>
        <w:p w14:paraId="1BBE3945" w14:textId="70463978" w:rsidR="00FF6E56" w:rsidRPr="00033CAE" w:rsidRDefault="00E14075">
          <w:pPr>
            <w:pStyle w:val="TOC2"/>
            <w:rPr>
              <w:rFonts w:ascii="Arial" w:eastAsiaTheme="minorEastAsia" w:hAnsi="Arial" w:cs="Arial"/>
              <w:noProof/>
            </w:rPr>
          </w:pPr>
          <w:hyperlink w:anchor="_Toc32842738" w:history="1">
            <w:r w:rsidR="00FF6E56" w:rsidRPr="00033CAE">
              <w:rPr>
                <w:rStyle w:val="Hyperlink"/>
                <w:rFonts w:ascii="Arial" w:eastAsia="Arial" w:hAnsi="Arial" w:cs="Arial"/>
                <w:noProof/>
              </w:rPr>
              <w:t>6.3</w:t>
            </w:r>
            <w:r w:rsidR="00FF6E56" w:rsidRPr="00033CAE">
              <w:rPr>
                <w:rFonts w:ascii="Arial" w:eastAsiaTheme="minorEastAsia" w:hAnsi="Arial" w:cs="Arial"/>
                <w:noProof/>
              </w:rPr>
              <w:tab/>
            </w:r>
            <w:r w:rsidR="00FF6E56" w:rsidRPr="00033CAE">
              <w:rPr>
                <w:rStyle w:val="Hyperlink"/>
                <w:rFonts w:ascii="Arial" w:eastAsia="Arial" w:hAnsi="Arial" w:cs="Arial"/>
                <w:noProof/>
              </w:rPr>
              <w:t>Forecast financial performance</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_Toc32842738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118</w:t>
            </w:r>
            <w:r w:rsidR="00FF6E56" w:rsidRPr="00033CAE">
              <w:rPr>
                <w:rFonts w:ascii="Arial" w:hAnsi="Arial" w:cs="Arial"/>
                <w:noProof/>
                <w:webHidden/>
              </w:rPr>
              <w:fldChar w:fldCharType="end"/>
            </w:r>
          </w:hyperlink>
        </w:p>
        <w:p w14:paraId="6BA7CB9A" w14:textId="1328C7D4" w:rsidR="00FF6E56" w:rsidRPr="00033CAE" w:rsidRDefault="00E14075">
          <w:pPr>
            <w:pStyle w:val="TOC2"/>
            <w:rPr>
              <w:rFonts w:ascii="Arial" w:eastAsiaTheme="minorEastAsia" w:hAnsi="Arial" w:cs="Arial"/>
              <w:noProof/>
            </w:rPr>
          </w:pPr>
          <w:hyperlink w:anchor="_Toc32842739" w:history="1">
            <w:r w:rsidR="00FF6E56" w:rsidRPr="00033CAE">
              <w:rPr>
                <w:rStyle w:val="Hyperlink"/>
                <w:rFonts w:ascii="Arial" w:eastAsia="Arial" w:hAnsi="Arial" w:cs="Arial"/>
                <w:noProof/>
              </w:rPr>
              <w:t>6.4</w:t>
            </w:r>
            <w:r w:rsidR="00FF6E56" w:rsidRPr="00033CAE">
              <w:rPr>
                <w:rFonts w:ascii="Arial" w:eastAsiaTheme="minorEastAsia" w:hAnsi="Arial" w:cs="Arial"/>
                <w:noProof/>
              </w:rPr>
              <w:tab/>
            </w:r>
            <w:r w:rsidR="00FF6E56" w:rsidRPr="00033CAE">
              <w:rPr>
                <w:rStyle w:val="Hyperlink"/>
                <w:rFonts w:ascii="Arial" w:eastAsia="Arial" w:hAnsi="Arial" w:cs="Arial"/>
                <w:noProof/>
              </w:rPr>
              <w:t>Review of forecast financial statements</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_Toc32842739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130</w:t>
            </w:r>
            <w:r w:rsidR="00FF6E56" w:rsidRPr="00033CAE">
              <w:rPr>
                <w:rFonts w:ascii="Arial" w:hAnsi="Arial" w:cs="Arial"/>
                <w:noProof/>
                <w:webHidden/>
              </w:rPr>
              <w:fldChar w:fldCharType="end"/>
            </w:r>
          </w:hyperlink>
        </w:p>
        <w:p w14:paraId="1F3AD459" w14:textId="36B28028" w:rsidR="00FF6E56" w:rsidRPr="00033CAE" w:rsidRDefault="00E14075">
          <w:pPr>
            <w:pStyle w:val="TOC2"/>
            <w:rPr>
              <w:rFonts w:ascii="Arial" w:eastAsiaTheme="minorEastAsia" w:hAnsi="Arial" w:cs="Arial"/>
              <w:noProof/>
            </w:rPr>
          </w:pPr>
          <w:hyperlink w:anchor="_Toc32842740" w:history="1">
            <w:r w:rsidR="00FF6E56" w:rsidRPr="00033CAE">
              <w:rPr>
                <w:rStyle w:val="Hyperlink"/>
                <w:rFonts w:ascii="Arial" w:eastAsia="Arial" w:hAnsi="Arial" w:cs="Arial"/>
                <w:noProof/>
              </w:rPr>
              <w:t>6.5</w:t>
            </w:r>
            <w:r w:rsidR="00FF6E56" w:rsidRPr="00033CAE">
              <w:rPr>
                <w:rFonts w:ascii="Arial" w:eastAsiaTheme="minorEastAsia" w:hAnsi="Arial" w:cs="Arial"/>
                <w:noProof/>
              </w:rPr>
              <w:tab/>
            </w:r>
            <w:r w:rsidR="00FF6E56" w:rsidRPr="00033CAE">
              <w:rPr>
                <w:rStyle w:val="Hyperlink"/>
                <w:rFonts w:ascii="Arial" w:eastAsia="Arial" w:hAnsi="Arial" w:cs="Arial"/>
                <w:noProof/>
              </w:rPr>
              <w:t>Sensitivity testing and risk assessment</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_Toc32842740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132</w:t>
            </w:r>
            <w:r w:rsidR="00FF6E56" w:rsidRPr="00033CAE">
              <w:rPr>
                <w:rFonts w:ascii="Arial" w:hAnsi="Arial" w:cs="Arial"/>
                <w:noProof/>
                <w:webHidden/>
              </w:rPr>
              <w:fldChar w:fldCharType="end"/>
            </w:r>
          </w:hyperlink>
        </w:p>
        <w:p w14:paraId="2EF1287C" w14:textId="76DDEF5D" w:rsidR="00FF6E56" w:rsidRPr="00033CAE" w:rsidRDefault="00E14075">
          <w:pPr>
            <w:pStyle w:val="TOC2"/>
            <w:rPr>
              <w:rFonts w:ascii="Arial" w:eastAsiaTheme="minorEastAsia" w:hAnsi="Arial" w:cs="Arial"/>
              <w:noProof/>
            </w:rPr>
          </w:pPr>
          <w:hyperlink w:anchor="_Toc32842741" w:history="1">
            <w:r w:rsidR="00FF6E56" w:rsidRPr="00033CAE">
              <w:rPr>
                <w:rStyle w:val="Hyperlink"/>
                <w:rFonts w:ascii="Arial" w:eastAsia="Arial" w:hAnsi="Arial" w:cs="Arial"/>
                <w:noProof/>
              </w:rPr>
              <w:t>6.6</w:t>
            </w:r>
            <w:r w:rsidR="00FF6E56" w:rsidRPr="00033CAE">
              <w:rPr>
                <w:rFonts w:ascii="Arial" w:eastAsiaTheme="minorEastAsia" w:hAnsi="Arial" w:cs="Arial"/>
                <w:noProof/>
              </w:rPr>
              <w:tab/>
            </w:r>
            <w:r w:rsidR="00FF6E56" w:rsidRPr="00033CAE">
              <w:rPr>
                <w:rStyle w:val="Hyperlink"/>
                <w:rFonts w:ascii="Arial" w:eastAsia="Arial" w:hAnsi="Arial" w:cs="Arial"/>
                <w:noProof/>
              </w:rPr>
              <w:t>Conclusion</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_Toc32842741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133</w:t>
            </w:r>
            <w:r w:rsidR="00FF6E56" w:rsidRPr="00033CAE">
              <w:rPr>
                <w:rFonts w:ascii="Arial" w:hAnsi="Arial" w:cs="Arial"/>
                <w:noProof/>
                <w:webHidden/>
              </w:rPr>
              <w:fldChar w:fldCharType="end"/>
            </w:r>
          </w:hyperlink>
        </w:p>
        <w:p w14:paraId="74AAE1D4" w14:textId="6FF5CF01" w:rsidR="00FF6E56" w:rsidRPr="00033CAE" w:rsidRDefault="00E14075">
          <w:pPr>
            <w:pStyle w:val="TOC1"/>
            <w:tabs>
              <w:tab w:val="left" w:pos="440"/>
              <w:tab w:val="right" w:pos="9016"/>
            </w:tabs>
            <w:rPr>
              <w:rFonts w:ascii="Arial" w:eastAsiaTheme="minorEastAsia" w:hAnsi="Arial" w:cs="Arial"/>
              <w:noProof/>
            </w:rPr>
          </w:pPr>
          <w:hyperlink w:anchor="_Toc32842742" w:history="1">
            <w:r w:rsidR="00FF6E56" w:rsidRPr="00033CAE">
              <w:rPr>
                <w:rStyle w:val="Hyperlink"/>
                <w:rFonts w:ascii="Arial" w:eastAsia="Arial" w:hAnsi="Arial" w:cs="Arial"/>
                <w:noProof/>
              </w:rPr>
              <w:t>7.</w:t>
            </w:r>
            <w:r w:rsidR="00FF6E56" w:rsidRPr="00033CAE">
              <w:rPr>
                <w:rFonts w:ascii="Arial" w:eastAsiaTheme="minorEastAsia" w:hAnsi="Arial" w:cs="Arial"/>
                <w:noProof/>
              </w:rPr>
              <w:tab/>
            </w:r>
            <w:r w:rsidR="00FF6E56" w:rsidRPr="00033CAE">
              <w:rPr>
                <w:rStyle w:val="Hyperlink"/>
                <w:rFonts w:ascii="Arial" w:eastAsia="Arial" w:hAnsi="Arial" w:cs="Arial"/>
                <w:noProof/>
              </w:rPr>
              <w:t>Commercial case</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_Toc32842742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138</w:t>
            </w:r>
            <w:r w:rsidR="00FF6E56" w:rsidRPr="00033CAE">
              <w:rPr>
                <w:rFonts w:ascii="Arial" w:hAnsi="Arial" w:cs="Arial"/>
                <w:noProof/>
                <w:webHidden/>
              </w:rPr>
              <w:fldChar w:fldCharType="end"/>
            </w:r>
          </w:hyperlink>
        </w:p>
        <w:p w14:paraId="5AA6787A" w14:textId="30EAB4D7" w:rsidR="00FF6E56" w:rsidRPr="00033CAE" w:rsidRDefault="00E14075">
          <w:pPr>
            <w:pStyle w:val="TOC2"/>
            <w:rPr>
              <w:rFonts w:ascii="Arial" w:eastAsiaTheme="minorEastAsia" w:hAnsi="Arial" w:cs="Arial"/>
              <w:noProof/>
            </w:rPr>
          </w:pPr>
          <w:hyperlink w:anchor="_Toc32842750" w:history="1">
            <w:r w:rsidR="00FF6E56" w:rsidRPr="00033CAE">
              <w:rPr>
                <w:rStyle w:val="Hyperlink"/>
                <w:rFonts w:ascii="Arial" w:eastAsia="Arial" w:hAnsi="Arial" w:cs="Arial"/>
                <w:noProof/>
              </w:rPr>
              <w:t>7.1</w:t>
            </w:r>
            <w:r w:rsidR="00FF6E56" w:rsidRPr="00033CAE">
              <w:rPr>
                <w:rFonts w:ascii="Arial" w:eastAsiaTheme="minorEastAsia" w:hAnsi="Arial" w:cs="Arial"/>
                <w:noProof/>
              </w:rPr>
              <w:tab/>
            </w:r>
            <w:r w:rsidR="00FF6E56" w:rsidRPr="00033CAE">
              <w:rPr>
                <w:rStyle w:val="Hyperlink"/>
                <w:rFonts w:ascii="Arial" w:eastAsia="Arial" w:hAnsi="Arial" w:cs="Arial"/>
                <w:noProof/>
              </w:rPr>
              <w:t>Determining the procurement strategy for built solution</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_Toc32842750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139</w:t>
            </w:r>
            <w:r w:rsidR="00FF6E56" w:rsidRPr="00033CAE">
              <w:rPr>
                <w:rFonts w:ascii="Arial" w:hAnsi="Arial" w:cs="Arial"/>
                <w:noProof/>
                <w:webHidden/>
              </w:rPr>
              <w:fldChar w:fldCharType="end"/>
            </w:r>
          </w:hyperlink>
        </w:p>
        <w:p w14:paraId="1CE71427" w14:textId="263EB6B8" w:rsidR="00FF6E56" w:rsidRPr="00033CAE" w:rsidRDefault="00E14075">
          <w:pPr>
            <w:pStyle w:val="TOC2"/>
            <w:rPr>
              <w:rFonts w:ascii="Arial" w:eastAsiaTheme="minorEastAsia" w:hAnsi="Arial" w:cs="Arial"/>
              <w:noProof/>
            </w:rPr>
          </w:pPr>
          <w:hyperlink w:anchor="_Toc32842757" w:history="1">
            <w:r w:rsidR="00FF6E56" w:rsidRPr="00033CAE">
              <w:rPr>
                <w:rStyle w:val="Hyperlink"/>
                <w:rFonts w:ascii="Arial" w:eastAsia="Arial" w:hAnsi="Arial" w:cs="Arial"/>
                <w:noProof/>
              </w:rPr>
              <w:t>7.2</w:t>
            </w:r>
            <w:r w:rsidR="00FF6E56" w:rsidRPr="00033CAE">
              <w:rPr>
                <w:rFonts w:ascii="Arial" w:eastAsiaTheme="minorEastAsia" w:hAnsi="Arial" w:cs="Arial"/>
                <w:noProof/>
              </w:rPr>
              <w:tab/>
            </w:r>
            <w:r w:rsidR="00FF6E56" w:rsidRPr="00033CAE">
              <w:rPr>
                <w:rStyle w:val="Hyperlink"/>
                <w:rFonts w:ascii="Arial" w:eastAsia="Arial" w:hAnsi="Arial" w:cs="Arial"/>
                <w:noProof/>
              </w:rPr>
              <w:t>Delivery vehicle – Enabling a Partnership Approach</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_Toc32842757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144</w:t>
            </w:r>
            <w:r w:rsidR="00FF6E56" w:rsidRPr="00033CAE">
              <w:rPr>
                <w:rFonts w:ascii="Arial" w:hAnsi="Arial" w:cs="Arial"/>
                <w:noProof/>
                <w:webHidden/>
              </w:rPr>
              <w:fldChar w:fldCharType="end"/>
            </w:r>
          </w:hyperlink>
        </w:p>
        <w:p w14:paraId="50334CD4" w14:textId="11464921" w:rsidR="00FF6E56" w:rsidRPr="00033CAE" w:rsidRDefault="00E14075">
          <w:pPr>
            <w:pStyle w:val="TOC2"/>
            <w:rPr>
              <w:rFonts w:ascii="Arial" w:eastAsiaTheme="minorEastAsia" w:hAnsi="Arial" w:cs="Arial"/>
              <w:noProof/>
            </w:rPr>
          </w:pPr>
          <w:hyperlink w:anchor="_Toc32842762" w:history="1">
            <w:r w:rsidR="00FF6E56" w:rsidRPr="00033CAE">
              <w:rPr>
                <w:rStyle w:val="Hyperlink"/>
                <w:rFonts w:ascii="Arial" w:eastAsia="Arial" w:hAnsi="Arial" w:cs="Arial"/>
                <w:noProof/>
              </w:rPr>
              <w:t>7.3</w:t>
            </w:r>
            <w:r w:rsidR="00FF6E56" w:rsidRPr="00033CAE">
              <w:rPr>
                <w:rFonts w:ascii="Arial" w:eastAsiaTheme="minorEastAsia" w:hAnsi="Arial" w:cs="Arial"/>
                <w:noProof/>
              </w:rPr>
              <w:tab/>
            </w:r>
            <w:r w:rsidR="00FF6E56" w:rsidRPr="00033CAE">
              <w:rPr>
                <w:rStyle w:val="Hyperlink"/>
                <w:rFonts w:ascii="Arial" w:eastAsia="Arial" w:hAnsi="Arial" w:cs="Arial"/>
                <w:noProof/>
              </w:rPr>
              <w:t>FM Services</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_Toc32842762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147</w:t>
            </w:r>
            <w:r w:rsidR="00FF6E56" w:rsidRPr="00033CAE">
              <w:rPr>
                <w:rFonts w:ascii="Arial" w:hAnsi="Arial" w:cs="Arial"/>
                <w:noProof/>
                <w:webHidden/>
              </w:rPr>
              <w:fldChar w:fldCharType="end"/>
            </w:r>
          </w:hyperlink>
        </w:p>
        <w:p w14:paraId="5B175348" w14:textId="78849B22" w:rsidR="00FF6E56" w:rsidRPr="00033CAE" w:rsidRDefault="00E14075">
          <w:pPr>
            <w:pStyle w:val="TOC2"/>
            <w:rPr>
              <w:rFonts w:ascii="Arial" w:eastAsiaTheme="minorEastAsia" w:hAnsi="Arial" w:cs="Arial"/>
              <w:noProof/>
            </w:rPr>
          </w:pPr>
          <w:hyperlink w:anchor="_Toc32842763" w:history="1">
            <w:r w:rsidR="00FF6E56" w:rsidRPr="00033CAE">
              <w:rPr>
                <w:rStyle w:val="Hyperlink"/>
                <w:rFonts w:ascii="Arial" w:eastAsia="Arial" w:hAnsi="Arial" w:cs="Arial"/>
                <w:noProof/>
              </w:rPr>
              <w:t>7.4</w:t>
            </w:r>
            <w:r w:rsidR="00FF6E56" w:rsidRPr="00033CAE">
              <w:rPr>
                <w:rFonts w:ascii="Arial" w:eastAsiaTheme="minorEastAsia" w:hAnsi="Arial" w:cs="Arial"/>
                <w:noProof/>
              </w:rPr>
              <w:tab/>
            </w:r>
            <w:r w:rsidR="00FF6E56" w:rsidRPr="00033CAE">
              <w:rPr>
                <w:rStyle w:val="Hyperlink"/>
                <w:rFonts w:ascii="Arial" w:eastAsia="Arial" w:hAnsi="Arial" w:cs="Arial"/>
                <w:noProof/>
              </w:rPr>
              <w:t>Equipment strategy</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_Toc32842763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148</w:t>
            </w:r>
            <w:r w:rsidR="00FF6E56" w:rsidRPr="00033CAE">
              <w:rPr>
                <w:rFonts w:ascii="Arial" w:hAnsi="Arial" w:cs="Arial"/>
                <w:noProof/>
                <w:webHidden/>
              </w:rPr>
              <w:fldChar w:fldCharType="end"/>
            </w:r>
          </w:hyperlink>
        </w:p>
        <w:p w14:paraId="28E2CB12" w14:textId="4C97DB55" w:rsidR="00FF6E56" w:rsidRPr="00033CAE" w:rsidRDefault="00E14075">
          <w:pPr>
            <w:pStyle w:val="TOC2"/>
            <w:rPr>
              <w:rFonts w:ascii="Arial" w:eastAsiaTheme="minorEastAsia" w:hAnsi="Arial" w:cs="Arial"/>
              <w:noProof/>
            </w:rPr>
          </w:pPr>
          <w:hyperlink w:anchor="_Toc32842764" w:history="1">
            <w:r w:rsidR="00FF6E56" w:rsidRPr="00033CAE">
              <w:rPr>
                <w:rStyle w:val="Hyperlink"/>
                <w:rFonts w:ascii="Arial" w:eastAsia="Arial" w:hAnsi="Arial" w:cs="Arial"/>
                <w:noProof/>
              </w:rPr>
              <w:t>7.5</w:t>
            </w:r>
            <w:r w:rsidR="00FF6E56" w:rsidRPr="00033CAE">
              <w:rPr>
                <w:rFonts w:ascii="Arial" w:eastAsiaTheme="minorEastAsia" w:hAnsi="Arial" w:cs="Arial"/>
                <w:noProof/>
              </w:rPr>
              <w:tab/>
            </w:r>
            <w:r w:rsidR="00FF6E56" w:rsidRPr="00033CAE">
              <w:rPr>
                <w:rStyle w:val="Hyperlink"/>
                <w:rFonts w:ascii="Arial" w:eastAsia="Arial" w:hAnsi="Arial" w:cs="Arial"/>
                <w:noProof/>
              </w:rPr>
              <w:t>Potential risk apportionment</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_Toc32842764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148</w:t>
            </w:r>
            <w:r w:rsidR="00FF6E56" w:rsidRPr="00033CAE">
              <w:rPr>
                <w:rFonts w:ascii="Arial" w:hAnsi="Arial" w:cs="Arial"/>
                <w:noProof/>
                <w:webHidden/>
              </w:rPr>
              <w:fldChar w:fldCharType="end"/>
            </w:r>
          </w:hyperlink>
        </w:p>
        <w:p w14:paraId="1F954A2E" w14:textId="67F1CF5D" w:rsidR="00FF6E56" w:rsidRPr="00033CAE" w:rsidRDefault="00E14075">
          <w:pPr>
            <w:pStyle w:val="TOC2"/>
            <w:rPr>
              <w:rFonts w:ascii="Arial" w:eastAsiaTheme="minorEastAsia" w:hAnsi="Arial" w:cs="Arial"/>
              <w:noProof/>
            </w:rPr>
          </w:pPr>
          <w:hyperlink w:anchor="_Toc32842765" w:history="1">
            <w:r w:rsidR="00FF6E56" w:rsidRPr="00033CAE">
              <w:rPr>
                <w:rStyle w:val="Hyperlink"/>
                <w:rFonts w:ascii="Arial" w:eastAsia="Arial" w:hAnsi="Arial" w:cs="Arial"/>
                <w:noProof/>
              </w:rPr>
              <w:t>7.6</w:t>
            </w:r>
            <w:r w:rsidR="00FF6E56" w:rsidRPr="00033CAE">
              <w:rPr>
                <w:rFonts w:ascii="Arial" w:eastAsiaTheme="minorEastAsia" w:hAnsi="Arial" w:cs="Arial"/>
                <w:noProof/>
              </w:rPr>
              <w:tab/>
            </w:r>
            <w:r w:rsidR="00FF6E56" w:rsidRPr="00033CAE">
              <w:rPr>
                <w:rStyle w:val="Hyperlink"/>
                <w:rFonts w:ascii="Arial" w:eastAsia="Arial" w:hAnsi="Arial" w:cs="Arial"/>
                <w:noProof/>
              </w:rPr>
              <w:t>Potential payment mechanisms and proposed form of contract</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_Toc32842765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149</w:t>
            </w:r>
            <w:r w:rsidR="00FF6E56" w:rsidRPr="00033CAE">
              <w:rPr>
                <w:rFonts w:ascii="Arial" w:hAnsi="Arial" w:cs="Arial"/>
                <w:noProof/>
                <w:webHidden/>
              </w:rPr>
              <w:fldChar w:fldCharType="end"/>
            </w:r>
          </w:hyperlink>
        </w:p>
        <w:p w14:paraId="3D4B9BFB" w14:textId="031F03E2" w:rsidR="00FF6E56" w:rsidRPr="00033CAE" w:rsidRDefault="00E14075">
          <w:pPr>
            <w:pStyle w:val="TOC2"/>
            <w:rPr>
              <w:rFonts w:ascii="Arial" w:eastAsiaTheme="minorEastAsia" w:hAnsi="Arial" w:cs="Arial"/>
              <w:noProof/>
            </w:rPr>
          </w:pPr>
          <w:hyperlink w:anchor="_Toc32842766" w:history="1">
            <w:r w:rsidR="00FF6E56" w:rsidRPr="00033CAE">
              <w:rPr>
                <w:rStyle w:val="Hyperlink"/>
                <w:rFonts w:ascii="Arial" w:eastAsia="Arial" w:hAnsi="Arial" w:cs="Arial"/>
                <w:noProof/>
              </w:rPr>
              <w:t>7.7</w:t>
            </w:r>
            <w:r w:rsidR="00FF6E56" w:rsidRPr="00033CAE">
              <w:rPr>
                <w:rFonts w:ascii="Arial" w:eastAsiaTheme="minorEastAsia" w:hAnsi="Arial" w:cs="Arial"/>
                <w:noProof/>
              </w:rPr>
              <w:tab/>
            </w:r>
            <w:r w:rsidR="00FF6E56" w:rsidRPr="00033CAE">
              <w:rPr>
                <w:rStyle w:val="Hyperlink"/>
                <w:rFonts w:ascii="Arial" w:eastAsia="Arial" w:hAnsi="Arial" w:cs="Arial"/>
                <w:noProof/>
              </w:rPr>
              <w:t>Assurance of value for money</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_Toc32842766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150</w:t>
            </w:r>
            <w:r w:rsidR="00FF6E56" w:rsidRPr="00033CAE">
              <w:rPr>
                <w:rFonts w:ascii="Arial" w:hAnsi="Arial" w:cs="Arial"/>
                <w:noProof/>
                <w:webHidden/>
              </w:rPr>
              <w:fldChar w:fldCharType="end"/>
            </w:r>
          </w:hyperlink>
        </w:p>
        <w:p w14:paraId="451D69FC" w14:textId="7CB369F3" w:rsidR="00FF6E56" w:rsidRPr="00033CAE" w:rsidRDefault="00E14075">
          <w:pPr>
            <w:pStyle w:val="TOC2"/>
            <w:rPr>
              <w:rFonts w:ascii="Arial" w:eastAsiaTheme="minorEastAsia" w:hAnsi="Arial" w:cs="Arial"/>
              <w:noProof/>
            </w:rPr>
          </w:pPr>
          <w:hyperlink w:anchor="_Toc32842769" w:history="1">
            <w:r w:rsidR="00FF6E56" w:rsidRPr="00033CAE">
              <w:rPr>
                <w:rStyle w:val="Hyperlink"/>
                <w:rFonts w:ascii="Arial" w:eastAsia="Arial" w:hAnsi="Arial" w:cs="Arial"/>
                <w:noProof/>
              </w:rPr>
              <w:t>7.8</w:t>
            </w:r>
            <w:r w:rsidR="00FF6E56" w:rsidRPr="00033CAE">
              <w:rPr>
                <w:rFonts w:ascii="Arial" w:eastAsiaTheme="minorEastAsia" w:hAnsi="Arial" w:cs="Arial"/>
                <w:noProof/>
              </w:rPr>
              <w:tab/>
            </w:r>
            <w:r w:rsidR="00FF6E56" w:rsidRPr="00033CAE">
              <w:rPr>
                <w:rStyle w:val="Hyperlink"/>
                <w:rFonts w:ascii="Arial" w:eastAsia="Arial" w:hAnsi="Arial" w:cs="Arial"/>
                <w:noProof/>
              </w:rPr>
              <w:t>The St Pancras Site – Acquisition and town planning</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_Toc32842769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151</w:t>
            </w:r>
            <w:r w:rsidR="00FF6E56" w:rsidRPr="00033CAE">
              <w:rPr>
                <w:rFonts w:ascii="Arial" w:hAnsi="Arial" w:cs="Arial"/>
                <w:noProof/>
                <w:webHidden/>
              </w:rPr>
              <w:fldChar w:fldCharType="end"/>
            </w:r>
          </w:hyperlink>
        </w:p>
        <w:p w14:paraId="0BF77C99" w14:textId="06BE0D06" w:rsidR="00FF6E56" w:rsidRPr="00033CAE" w:rsidRDefault="00E14075">
          <w:pPr>
            <w:pStyle w:val="TOC2"/>
            <w:rPr>
              <w:rFonts w:ascii="Arial" w:eastAsiaTheme="minorEastAsia" w:hAnsi="Arial" w:cs="Arial"/>
              <w:noProof/>
            </w:rPr>
          </w:pPr>
          <w:hyperlink w:anchor="_Toc32842772" w:history="1">
            <w:r w:rsidR="00FF6E56" w:rsidRPr="00033CAE">
              <w:rPr>
                <w:rStyle w:val="Hyperlink"/>
                <w:rFonts w:ascii="Arial" w:eastAsia="Arial" w:hAnsi="Arial" w:cs="Arial"/>
                <w:noProof/>
              </w:rPr>
              <w:t>7.9</w:t>
            </w:r>
            <w:r w:rsidR="00FF6E56" w:rsidRPr="00033CAE">
              <w:rPr>
                <w:rFonts w:ascii="Arial" w:eastAsiaTheme="minorEastAsia" w:hAnsi="Arial" w:cs="Arial"/>
                <w:noProof/>
              </w:rPr>
              <w:tab/>
            </w:r>
            <w:r w:rsidR="00FF6E56" w:rsidRPr="00033CAE">
              <w:rPr>
                <w:rStyle w:val="Hyperlink"/>
                <w:rFonts w:ascii="Arial" w:eastAsia="Arial" w:hAnsi="Arial" w:cs="Arial"/>
                <w:noProof/>
              </w:rPr>
              <w:t>The City Road site – Disposal strategy</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_Toc32842772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153</w:t>
            </w:r>
            <w:r w:rsidR="00FF6E56" w:rsidRPr="00033CAE">
              <w:rPr>
                <w:rFonts w:ascii="Arial" w:hAnsi="Arial" w:cs="Arial"/>
                <w:noProof/>
                <w:webHidden/>
              </w:rPr>
              <w:fldChar w:fldCharType="end"/>
            </w:r>
          </w:hyperlink>
        </w:p>
        <w:p w14:paraId="1189C64C" w14:textId="40087AF0" w:rsidR="00FF6E56" w:rsidRPr="00033CAE" w:rsidRDefault="00E14075">
          <w:pPr>
            <w:pStyle w:val="TOC2"/>
            <w:rPr>
              <w:rFonts w:ascii="Arial" w:eastAsiaTheme="minorEastAsia" w:hAnsi="Arial" w:cs="Arial"/>
              <w:noProof/>
            </w:rPr>
          </w:pPr>
          <w:hyperlink w:anchor="_Toc32842776" w:history="1">
            <w:r w:rsidR="00FF6E56" w:rsidRPr="00033CAE">
              <w:rPr>
                <w:rStyle w:val="Hyperlink"/>
                <w:rFonts w:ascii="Arial" w:eastAsia="Arial" w:hAnsi="Arial" w:cs="Arial"/>
                <w:noProof/>
              </w:rPr>
              <w:t>7.10</w:t>
            </w:r>
            <w:r w:rsidR="00FF6E56" w:rsidRPr="00033CAE">
              <w:rPr>
                <w:rFonts w:ascii="Arial" w:eastAsiaTheme="minorEastAsia" w:hAnsi="Arial" w:cs="Arial"/>
                <w:noProof/>
              </w:rPr>
              <w:tab/>
            </w:r>
            <w:r w:rsidR="00FF6E56" w:rsidRPr="00033CAE">
              <w:rPr>
                <w:rStyle w:val="Hyperlink"/>
                <w:rFonts w:ascii="Arial" w:eastAsia="Arial" w:hAnsi="Arial" w:cs="Arial"/>
                <w:noProof/>
              </w:rPr>
              <w:t>Commitment to Government Construction Strategy and Construction 2025</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_Toc32842776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154</w:t>
            </w:r>
            <w:r w:rsidR="00FF6E56" w:rsidRPr="00033CAE">
              <w:rPr>
                <w:rFonts w:ascii="Arial" w:hAnsi="Arial" w:cs="Arial"/>
                <w:noProof/>
                <w:webHidden/>
              </w:rPr>
              <w:fldChar w:fldCharType="end"/>
            </w:r>
          </w:hyperlink>
        </w:p>
        <w:p w14:paraId="6D890E60" w14:textId="4A4FEC4B" w:rsidR="00FF6E56" w:rsidRPr="00033CAE" w:rsidRDefault="00E14075">
          <w:pPr>
            <w:pStyle w:val="TOC2"/>
            <w:rPr>
              <w:rFonts w:ascii="Arial" w:eastAsiaTheme="minorEastAsia" w:hAnsi="Arial" w:cs="Arial"/>
              <w:noProof/>
            </w:rPr>
          </w:pPr>
          <w:hyperlink w:anchor="_Toc32842777" w:history="1">
            <w:r w:rsidR="00FF6E56" w:rsidRPr="00033CAE">
              <w:rPr>
                <w:rStyle w:val="Hyperlink"/>
                <w:rFonts w:ascii="Arial" w:eastAsia="Arial" w:hAnsi="Arial" w:cs="Arial"/>
                <w:noProof/>
              </w:rPr>
              <w:t>7.11</w:t>
            </w:r>
            <w:r w:rsidR="00FF6E56" w:rsidRPr="00033CAE">
              <w:rPr>
                <w:rFonts w:ascii="Arial" w:eastAsiaTheme="minorEastAsia" w:hAnsi="Arial" w:cs="Arial"/>
                <w:noProof/>
              </w:rPr>
              <w:tab/>
            </w:r>
            <w:r w:rsidR="00FF6E56" w:rsidRPr="00033CAE">
              <w:rPr>
                <w:rStyle w:val="Hyperlink"/>
                <w:rFonts w:ascii="Arial" w:eastAsia="Arial" w:hAnsi="Arial" w:cs="Arial"/>
                <w:noProof/>
              </w:rPr>
              <w:t>Contractual issues and accountancy treatment</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_Toc32842777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156</w:t>
            </w:r>
            <w:r w:rsidR="00FF6E56" w:rsidRPr="00033CAE">
              <w:rPr>
                <w:rFonts w:ascii="Arial" w:hAnsi="Arial" w:cs="Arial"/>
                <w:noProof/>
                <w:webHidden/>
              </w:rPr>
              <w:fldChar w:fldCharType="end"/>
            </w:r>
          </w:hyperlink>
        </w:p>
        <w:p w14:paraId="3DF95EA1" w14:textId="71C700BA" w:rsidR="00FF6E56" w:rsidRPr="00033CAE" w:rsidRDefault="00E14075">
          <w:pPr>
            <w:pStyle w:val="TOC1"/>
            <w:tabs>
              <w:tab w:val="left" w:pos="440"/>
              <w:tab w:val="right" w:pos="9016"/>
            </w:tabs>
            <w:rPr>
              <w:rFonts w:ascii="Arial" w:eastAsiaTheme="minorEastAsia" w:hAnsi="Arial" w:cs="Arial"/>
              <w:noProof/>
            </w:rPr>
          </w:pPr>
          <w:hyperlink w:anchor="_Toc32842778" w:history="1">
            <w:r w:rsidR="00FF6E56" w:rsidRPr="00033CAE">
              <w:rPr>
                <w:rStyle w:val="Hyperlink"/>
                <w:rFonts w:ascii="Arial" w:eastAsia="Arial" w:hAnsi="Arial" w:cs="Arial"/>
                <w:noProof/>
              </w:rPr>
              <w:t>8.</w:t>
            </w:r>
            <w:r w:rsidR="00FF6E56" w:rsidRPr="00033CAE">
              <w:rPr>
                <w:rFonts w:ascii="Arial" w:eastAsiaTheme="minorEastAsia" w:hAnsi="Arial" w:cs="Arial"/>
                <w:noProof/>
              </w:rPr>
              <w:tab/>
            </w:r>
            <w:r w:rsidR="00FF6E56" w:rsidRPr="00033CAE">
              <w:rPr>
                <w:rStyle w:val="Hyperlink"/>
                <w:rFonts w:ascii="Arial" w:eastAsia="Arial" w:hAnsi="Arial" w:cs="Arial"/>
                <w:noProof/>
              </w:rPr>
              <w:t>Management case</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_Toc32842778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157</w:t>
            </w:r>
            <w:r w:rsidR="00FF6E56" w:rsidRPr="00033CAE">
              <w:rPr>
                <w:rFonts w:ascii="Arial" w:hAnsi="Arial" w:cs="Arial"/>
                <w:noProof/>
                <w:webHidden/>
              </w:rPr>
              <w:fldChar w:fldCharType="end"/>
            </w:r>
          </w:hyperlink>
        </w:p>
        <w:p w14:paraId="22B013BE" w14:textId="46576EFA" w:rsidR="00FF6E56" w:rsidRPr="00033CAE" w:rsidRDefault="00E14075">
          <w:pPr>
            <w:pStyle w:val="TOC2"/>
            <w:rPr>
              <w:rFonts w:ascii="Arial" w:eastAsiaTheme="minorEastAsia" w:hAnsi="Arial" w:cs="Arial"/>
              <w:noProof/>
            </w:rPr>
          </w:pPr>
          <w:hyperlink w:anchor="_Toc32842779" w:history="1">
            <w:r w:rsidR="00FF6E56" w:rsidRPr="00033CAE">
              <w:rPr>
                <w:rStyle w:val="Hyperlink"/>
                <w:rFonts w:ascii="Arial" w:eastAsia="Arial" w:hAnsi="Arial" w:cs="Arial"/>
                <w:noProof/>
              </w:rPr>
              <w:t>8.1</w:t>
            </w:r>
            <w:r w:rsidR="00FF6E56" w:rsidRPr="00033CAE">
              <w:rPr>
                <w:rFonts w:ascii="Arial" w:eastAsiaTheme="minorEastAsia" w:hAnsi="Arial" w:cs="Arial"/>
                <w:noProof/>
              </w:rPr>
              <w:tab/>
            </w:r>
            <w:r w:rsidR="00FF6E56" w:rsidRPr="00033CAE">
              <w:rPr>
                <w:rStyle w:val="Hyperlink"/>
                <w:rFonts w:ascii="Arial" w:eastAsia="Arial" w:hAnsi="Arial" w:cs="Arial"/>
                <w:noProof/>
              </w:rPr>
              <w:t>Project management methodology</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_Toc32842779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157</w:t>
            </w:r>
            <w:r w:rsidR="00FF6E56" w:rsidRPr="00033CAE">
              <w:rPr>
                <w:rFonts w:ascii="Arial" w:hAnsi="Arial" w:cs="Arial"/>
                <w:noProof/>
                <w:webHidden/>
              </w:rPr>
              <w:fldChar w:fldCharType="end"/>
            </w:r>
          </w:hyperlink>
        </w:p>
        <w:p w14:paraId="57F21DEA" w14:textId="4B066BA3" w:rsidR="00FF6E56" w:rsidRPr="00033CAE" w:rsidRDefault="00E14075">
          <w:pPr>
            <w:pStyle w:val="TOC2"/>
            <w:rPr>
              <w:rFonts w:ascii="Arial" w:eastAsiaTheme="minorEastAsia" w:hAnsi="Arial" w:cs="Arial"/>
              <w:noProof/>
            </w:rPr>
          </w:pPr>
          <w:hyperlink w:anchor="_Toc32842780" w:history="1">
            <w:r w:rsidR="00FF6E56" w:rsidRPr="00033CAE">
              <w:rPr>
                <w:rStyle w:val="Hyperlink"/>
                <w:rFonts w:ascii="Arial" w:eastAsia="Arial" w:hAnsi="Arial" w:cs="Arial"/>
                <w:noProof/>
              </w:rPr>
              <w:t>8.2</w:t>
            </w:r>
            <w:r w:rsidR="00FF6E56" w:rsidRPr="00033CAE">
              <w:rPr>
                <w:rFonts w:ascii="Arial" w:eastAsiaTheme="minorEastAsia" w:hAnsi="Arial" w:cs="Arial"/>
                <w:noProof/>
              </w:rPr>
              <w:tab/>
            </w:r>
            <w:r w:rsidR="00FF6E56" w:rsidRPr="00033CAE">
              <w:rPr>
                <w:rStyle w:val="Hyperlink"/>
                <w:rFonts w:ascii="Arial" w:eastAsia="Arial" w:hAnsi="Arial" w:cs="Arial"/>
                <w:noProof/>
              </w:rPr>
              <w:t>Project framework</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_Toc32842780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157</w:t>
            </w:r>
            <w:r w:rsidR="00FF6E56" w:rsidRPr="00033CAE">
              <w:rPr>
                <w:rFonts w:ascii="Arial" w:hAnsi="Arial" w:cs="Arial"/>
                <w:noProof/>
                <w:webHidden/>
              </w:rPr>
              <w:fldChar w:fldCharType="end"/>
            </w:r>
          </w:hyperlink>
        </w:p>
        <w:p w14:paraId="7E727531" w14:textId="7C771E5F" w:rsidR="00FF6E56" w:rsidRPr="00033CAE" w:rsidRDefault="00E14075">
          <w:pPr>
            <w:pStyle w:val="TOC2"/>
            <w:rPr>
              <w:rFonts w:ascii="Arial" w:eastAsiaTheme="minorEastAsia" w:hAnsi="Arial" w:cs="Arial"/>
              <w:noProof/>
            </w:rPr>
          </w:pPr>
          <w:hyperlink w:anchor="_Toc32842781" w:history="1">
            <w:r w:rsidR="00FF6E56" w:rsidRPr="00033CAE">
              <w:rPr>
                <w:rStyle w:val="Hyperlink"/>
                <w:rFonts w:ascii="Arial" w:eastAsia="Arial" w:hAnsi="Arial" w:cs="Arial"/>
                <w:noProof/>
              </w:rPr>
              <w:t>8.3</w:t>
            </w:r>
            <w:r w:rsidR="00FF6E56" w:rsidRPr="00033CAE">
              <w:rPr>
                <w:rFonts w:ascii="Arial" w:eastAsiaTheme="minorEastAsia" w:hAnsi="Arial" w:cs="Arial"/>
                <w:noProof/>
              </w:rPr>
              <w:tab/>
            </w:r>
            <w:r w:rsidR="00FF6E56" w:rsidRPr="00033CAE">
              <w:rPr>
                <w:rStyle w:val="Hyperlink"/>
                <w:rFonts w:ascii="Arial" w:eastAsia="Arial" w:hAnsi="Arial" w:cs="Arial"/>
                <w:noProof/>
              </w:rPr>
              <w:t>Change management</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_Toc32842781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162</w:t>
            </w:r>
            <w:r w:rsidR="00FF6E56" w:rsidRPr="00033CAE">
              <w:rPr>
                <w:rFonts w:ascii="Arial" w:hAnsi="Arial" w:cs="Arial"/>
                <w:noProof/>
                <w:webHidden/>
              </w:rPr>
              <w:fldChar w:fldCharType="end"/>
            </w:r>
          </w:hyperlink>
        </w:p>
        <w:p w14:paraId="0806DB2E" w14:textId="0C0ED351" w:rsidR="00FF6E56" w:rsidRPr="00033CAE" w:rsidRDefault="00E14075">
          <w:pPr>
            <w:pStyle w:val="TOC2"/>
            <w:rPr>
              <w:rFonts w:ascii="Arial" w:eastAsiaTheme="minorEastAsia" w:hAnsi="Arial" w:cs="Arial"/>
              <w:noProof/>
            </w:rPr>
          </w:pPr>
          <w:hyperlink w:anchor="_Toc32842782" w:history="1">
            <w:r w:rsidR="00FF6E56" w:rsidRPr="00033CAE">
              <w:rPr>
                <w:rStyle w:val="Hyperlink"/>
                <w:rFonts w:ascii="Arial" w:eastAsia="Arial" w:hAnsi="Arial" w:cs="Arial"/>
                <w:noProof/>
              </w:rPr>
              <w:t>8.4</w:t>
            </w:r>
            <w:r w:rsidR="00FF6E56" w:rsidRPr="00033CAE">
              <w:rPr>
                <w:rFonts w:ascii="Arial" w:eastAsiaTheme="minorEastAsia" w:hAnsi="Arial" w:cs="Arial"/>
                <w:noProof/>
              </w:rPr>
              <w:tab/>
            </w:r>
            <w:r w:rsidR="00FF6E56" w:rsidRPr="00033CAE">
              <w:rPr>
                <w:rStyle w:val="Hyperlink"/>
                <w:rFonts w:ascii="Arial" w:eastAsia="Arial" w:hAnsi="Arial" w:cs="Arial"/>
                <w:noProof/>
              </w:rPr>
              <w:t>Resourcing strategy</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_Toc32842782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163</w:t>
            </w:r>
            <w:r w:rsidR="00FF6E56" w:rsidRPr="00033CAE">
              <w:rPr>
                <w:rFonts w:ascii="Arial" w:hAnsi="Arial" w:cs="Arial"/>
                <w:noProof/>
                <w:webHidden/>
              </w:rPr>
              <w:fldChar w:fldCharType="end"/>
            </w:r>
          </w:hyperlink>
        </w:p>
        <w:p w14:paraId="0A13294A" w14:textId="79E53E45" w:rsidR="00FF6E56" w:rsidRPr="00033CAE" w:rsidRDefault="00E14075">
          <w:pPr>
            <w:pStyle w:val="TOC2"/>
            <w:rPr>
              <w:rFonts w:ascii="Arial" w:eastAsiaTheme="minorEastAsia" w:hAnsi="Arial" w:cs="Arial"/>
              <w:noProof/>
            </w:rPr>
          </w:pPr>
          <w:hyperlink w:anchor="_Toc32842783" w:history="1">
            <w:r w:rsidR="00FF6E56" w:rsidRPr="00033CAE">
              <w:rPr>
                <w:rStyle w:val="Hyperlink"/>
                <w:rFonts w:ascii="Arial" w:eastAsia="Arial" w:hAnsi="Arial" w:cs="Arial"/>
                <w:noProof/>
              </w:rPr>
              <w:t>8.5</w:t>
            </w:r>
            <w:r w:rsidR="00FF6E56" w:rsidRPr="00033CAE">
              <w:rPr>
                <w:rFonts w:ascii="Arial" w:eastAsiaTheme="minorEastAsia" w:hAnsi="Arial" w:cs="Arial"/>
                <w:noProof/>
              </w:rPr>
              <w:tab/>
            </w:r>
            <w:r w:rsidR="00FF6E56" w:rsidRPr="00033CAE">
              <w:rPr>
                <w:rStyle w:val="Hyperlink"/>
                <w:rFonts w:ascii="Arial" w:eastAsia="Arial" w:hAnsi="Arial" w:cs="Arial"/>
                <w:noProof/>
              </w:rPr>
              <w:t>Programme milestones</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_Toc32842783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165</w:t>
            </w:r>
            <w:r w:rsidR="00FF6E56" w:rsidRPr="00033CAE">
              <w:rPr>
                <w:rFonts w:ascii="Arial" w:hAnsi="Arial" w:cs="Arial"/>
                <w:noProof/>
                <w:webHidden/>
              </w:rPr>
              <w:fldChar w:fldCharType="end"/>
            </w:r>
          </w:hyperlink>
        </w:p>
        <w:p w14:paraId="1C23AA7E" w14:textId="1C94C07E" w:rsidR="00FF6E56" w:rsidRPr="00033CAE" w:rsidRDefault="00E14075">
          <w:pPr>
            <w:pStyle w:val="TOC2"/>
            <w:rPr>
              <w:rFonts w:ascii="Arial" w:eastAsiaTheme="minorEastAsia" w:hAnsi="Arial" w:cs="Arial"/>
              <w:noProof/>
            </w:rPr>
          </w:pPr>
          <w:hyperlink w:anchor="_Toc32842784" w:history="1">
            <w:r w:rsidR="00FF6E56" w:rsidRPr="00033CAE">
              <w:rPr>
                <w:rStyle w:val="Hyperlink"/>
                <w:rFonts w:ascii="Arial" w:eastAsia="Arial" w:hAnsi="Arial" w:cs="Arial"/>
                <w:noProof/>
              </w:rPr>
              <w:t>8.6</w:t>
            </w:r>
            <w:r w:rsidR="00FF6E56" w:rsidRPr="00033CAE">
              <w:rPr>
                <w:rFonts w:ascii="Arial" w:eastAsiaTheme="minorEastAsia" w:hAnsi="Arial" w:cs="Arial"/>
                <w:noProof/>
              </w:rPr>
              <w:tab/>
            </w:r>
            <w:r w:rsidR="00FF6E56" w:rsidRPr="00033CAE">
              <w:rPr>
                <w:rStyle w:val="Hyperlink"/>
                <w:rFonts w:ascii="Arial" w:eastAsia="Arial" w:hAnsi="Arial" w:cs="Arial"/>
                <w:noProof/>
              </w:rPr>
              <w:t>Benefits</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_Toc32842784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167</w:t>
            </w:r>
            <w:r w:rsidR="00FF6E56" w:rsidRPr="00033CAE">
              <w:rPr>
                <w:rFonts w:ascii="Arial" w:hAnsi="Arial" w:cs="Arial"/>
                <w:noProof/>
                <w:webHidden/>
              </w:rPr>
              <w:fldChar w:fldCharType="end"/>
            </w:r>
          </w:hyperlink>
        </w:p>
        <w:p w14:paraId="1F505681" w14:textId="2B9F42BD" w:rsidR="00FF6E56" w:rsidRPr="00033CAE" w:rsidRDefault="00E14075">
          <w:pPr>
            <w:pStyle w:val="TOC2"/>
            <w:rPr>
              <w:rFonts w:ascii="Arial" w:eastAsiaTheme="minorEastAsia" w:hAnsi="Arial" w:cs="Arial"/>
              <w:noProof/>
            </w:rPr>
          </w:pPr>
          <w:hyperlink w:anchor="_Toc32842785" w:history="1">
            <w:r w:rsidR="00FF6E56" w:rsidRPr="00033CAE">
              <w:rPr>
                <w:rStyle w:val="Hyperlink"/>
                <w:rFonts w:ascii="Arial" w:eastAsia="Arial" w:hAnsi="Arial" w:cs="Arial"/>
                <w:noProof/>
              </w:rPr>
              <w:t>8.7</w:t>
            </w:r>
            <w:r w:rsidR="00FF6E56" w:rsidRPr="00033CAE">
              <w:rPr>
                <w:rFonts w:ascii="Arial" w:eastAsiaTheme="minorEastAsia" w:hAnsi="Arial" w:cs="Arial"/>
                <w:noProof/>
              </w:rPr>
              <w:tab/>
            </w:r>
            <w:r w:rsidR="00FF6E56" w:rsidRPr="00033CAE">
              <w:rPr>
                <w:rStyle w:val="Hyperlink"/>
                <w:rFonts w:ascii="Arial" w:eastAsia="Arial" w:hAnsi="Arial" w:cs="Arial"/>
                <w:noProof/>
              </w:rPr>
              <w:t>Risk management</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_Toc32842785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167</w:t>
            </w:r>
            <w:r w:rsidR="00FF6E56" w:rsidRPr="00033CAE">
              <w:rPr>
                <w:rFonts w:ascii="Arial" w:hAnsi="Arial" w:cs="Arial"/>
                <w:noProof/>
                <w:webHidden/>
              </w:rPr>
              <w:fldChar w:fldCharType="end"/>
            </w:r>
          </w:hyperlink>
        </w:p>
        <w:p w14:paraId="68134537" w14:textId="2428D34A" w:rsidR="00FF6E56" w:rsidRPr="00033CAE" w:rsidRDefault="00E14075">
          <w:pPr>
            <w:pStyle w:val="TOC2"/>
            <w:rPr>
              <w:rFonts w:ascii="Arial" w:eastAsiaTheme="minorEastAsia" w:hAnsi="Arial" w:cs="Arial"/>
              <w:noProof/>
            </w:rPr>
          </w:pPr>
          <w:hyperlink w:anchor="_Toc32842786" w:history="1">
            <w:r w:rsidR="00FF6E56" w:rsidRPr="00033CAE">
              <w:rPr>
                <w:rStyle w:val="Hyperlink"/>
                <w:rFonts w:ascii="Arial" w:eastAsia="Arial" w:hAnsi="Arial" w:cs="Arial"/>
                <w:noProof/>
              </w:rPr>
              <w:t>8.8</w:t>
            </w:r>
            <w:r w:rsidR="00FF6E56" w:rsidRPr="00033CAE">
              <w:rPr>
                <w:rFonts w:ascii="Arial" w:eastAsiaTheme="minorEastAsia" w:hAnsi="Arial" w:cs="Arial"/>
                <w:noProof/>
              </w:rPr>
              <w:tab/>
            </w:r>
            <w:r w:rsidR="00FF6E56" w:rsidRPr="00033CAE">
              <w:rPr>
                <w:rStyle w:val="Hyperlink"/>
                <w:rFonts w:ascii="Arial" w:eastAsia="Arial" w:hAnsi="Arial" w:cs="Arial"/>
                <w:noProof/>
              </w:rPr>
              <w:t>Communication and stakeholder engagement strategy</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_Toc32842786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169</w:t>
            </w:r>
            <w:r w:rsidR="00FF6E56" w:rsidRPr="00033CAE">
              <w:rPr>
                <w:rFonts w:ascii="Arial" w:hAnsi="Arial" w:cs="Arial"/>
                <w:noProof/>
                <w:webHidden/>
              </w:rPr>
              <w:fldChar w:fldCharType="end"/>
            </w:r>
          </w:hyperlink>
        </w:p>
        <w:p w14:paraId="46532B38" w14:textId="744411E7" w:rsidR="00FF6E56" w:rsidRPr="00033CAE" w:rsidRDefault="00E14075">
          <w:pPr>
            <w:pStyle w:val="TOC2"/>
            <w:rPr>
              <w:rFonts w:ascii="Arial" w:eastAsiaTheme="minorEastAsia" w:hAnsi="Arial" w:cs="Arial"/>
              <w:noProof/>
            </w:rPr>
          </w:pPr>
          <w:hyperlink w:anchor="_Toc32842787" w:history="1">
            <w:r w:rsidR="00FF6E56" w:rsidRPr="00033CAE">
              <w:rPr>
                <w:rStyle w:val="Hyperlink"/>
                <w:rFonts w:ascii="Arial" w:eastAsia="Arial" w:hAnsi="Arial" w:cs="Arial"/>
                <w:noProof/>
              </w:rPr>
              <w:t>8.9</w:t>
            </w:r>
            <w:r w:rsidR="00FF6E56" w:rsidRPr="00033CAE">
              <w:rPr>
                <w:rFonts w:ascii="Arial" w:eastAsiaTheme="minorEastAsia" w:hAnsi="Arial" w:cs="Arial"/>
                <w:noProof/>
              </w:rPr>
              <w:tab/>
            </w:r>
            <w:r w:rsidR="00FF6E56" w:rsidRPr="00033CAE">
              <w:rPr>
                <w:rStyle w:val="Hyperlink"/>
                <w:rFonts w:ascii="Arial" w:eastAsia="Arial" w:hAnsi="Arial" w:cs="Arial"/>
                <w:noProof/>
              </w:rPr>
              <w:t>Project assurance and evaluation</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_Toc32842787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172</w:t>
            </w:r>
            <w:r w:rsidR="00FF6E56" w:rsidRPr="00033CAE">
              <w:rPr>
                <w:rFonts w:ascii="Arial" w:hAnsi="Arial" w:cs="Arial"/>
                <w:noProof/>
                <w:webHidden/>
              </w:rPr>
              <w:fldChar w:fldCharType="end"/>
            </w:r>
          </w:hyperlink>
        </w:p>
        <w:p w14:paraId="7FADCDD2" w14:textId="45B0975B" w:rsidR="00FF6E56" w:rsidRPr="00033CAE" w:rsidRDefault="00E14075">
          <w:pPr>
            <w:pStyle w:val="TOC2"/>
            <w:rPr>
              <w:rFonts w:ascii="Arial" w:eastAsiaTheme="minorEastAsia" w:hAnsi="Arial" w:cs="Arial"/>
              <w:noProof/>
            </w:rPr>
          </w:pPr>
          <w:hyperlink w:anchor="_Toc32842788" w:history="1">
            <w:r w:rsidR="00FF6E56" w:rsidRPr="00033CAE">
              <w:rPr>
                <w:rStyle w:val="Hyperlink"/>
                <w:rFonts w:ascii="Arial" w:eastAsia="Arial" w:hAnsi="Arial" w:cs="Arial"/>
                <w:noProof/>
              </w:rPr>
              <w:t>8.10</w:t>
            </w:r>
            <w:r w:rsidR="00FF6E56" w:rsidRPr="00033CAE">
              <w:rPr>
                <w:rFonts w:ascii="Arial" w:eastAsiaTheme="minorEastAsia" w:hAnsi="Arial" w:cs="Arial"/>
                <w:noProof/>
              </w:rPr>
              <w:tab/>
            </w:r>
            <w:r w:rsidR="00FF6E56" w:rsidRPr="00033CAE">
              <w:rPr>
                <w:rStyle w:val="Hyperlink"/>
                <w:rFonts w:ascii="Arial" w:eastAsia="Arial" w:hAnsi="Arial" w:cs="Arial"/>
                <w:noProof/>
              </w:rPr>
              <w:t>Approvals and letters of support</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_Toc32842788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174</w:t>
            </w:r>
            <w:r w:rsidR="00FF6E56" w:rsidRPr="00033CAE">
              <w:rPr>
                <w:rFonts w:ascii="Arial" w:hAnsi="Arial" w:cs="Arial"/>
                <w:noProof/>
                <w:webHidden/>
              </w:rPr>
              <w:fldChar w:fldCharType="end"/>
            </w:r>
          </w:hyperlink>
        </w:p>
        <w:p w14:paraId="49BDE042" w14:textId="2354D8D9" w:rsidR="00FF6E56" w:rsidRPr="00033CAE" w:rsidRDefault="00E14075">
          <w:pPr>
            <w:pStyle w:val="TOC1"/>
            <w:tabs>
              <w:tab w:val="left" w:pos="440"/>
              <w:tab w:val="right" w:pos="9016"/>
            </w:tabs>
            <w:rPr>
              <w:rFonts w:ascii="Arial" w:eastAsiaTheme="minorEastAsia" w:hAnsi="Arial" w:cs="Arial"/>
              <w:noProof/>
            </w:rPr>
          </w:pPr>
          <w:hyperlink w:anchor="_Toc32842789" w:history="1">
            <w:r w:rsidR="00FF6E56" w:rsidRPr="00033CAE">
              <w:rPr>
                <w:rStyle w:val="Hyperlink"/>
                <w:rFonts w:ascii="Arial" w:eastAsia="Arial" w:hAnsi="Arial" w:cs="Arial"/>
                <w:noProof/>
              </w:rPr>
              <w:t>9.</w:t>
            </w:r>
            <w:r w:rsidR="00FF6E56" w:rsidRPr="00033CAE">
              <w:rPr>
                <w:rFonts w:ascii="Arial" w:eastAsiaTheme="minorEastAsia" w:hAnsi="Arial" w:cs="Arial"/>
                <w:noProof/>
              </w:rPr>
              <w:tab/>
            </w:r>
            <w:r w:rsidR="00FF6E56" w:rsidRPr="00033CAE">
              <w:rPr>
                <w:rStyle w:val="Hyperlink"/>
                <w:rFonts w:ascii="Arial" w:eastAsia="Arial" w:hAnsi="Arial" w:cs="Arial"/>
                <w:noProof/>
              </w:rPr>
              <w:t>Recommendation</w:t>
            </w:r>
            <w:r w:rsidR="00FF6E56" w:rsidRPr="00033CAE">
              <w:rPr>
                <w:rFonts w:ascii="Arial" w:hAnsi="Arial" w:cs="Arial"/>
                <w:noProof/>
                <w:webHidden/>
              </w:rPr>
              <w:tab/>
            </w:r>
            <w:r w:rsidR="00FF6E56" w:rsidRPr="00033CAE">
              <w:rPr>
                <w:rFonts w:ascii="Arial" w:hAnsi="Arial" w:cs="Arial"/>
                <w:noProof/>
                <w:webHidden/>
              </w:rPr>
              <w:fldChar w:fldCharType="begin"/>
            </w:r>
            <w:r w:rsidR="00FF6E56" w:rsidRPr="00033CAE">
              <w:rPr>
                <w:rFonts w:ascii="Arial" w:hAnsi="Arial" w:cs="Arial"/>
                <w:noProof/>
                <w:webHidden/>
              </w:rPr>
              <w:instrText xml:space="preserve"> PAGEREF _Toc32842789 \h </w:instrText>
            </w:r>
            <w:r w:rsidR="00FF6E56" w:rsidRPr="00033CAE">
              <w:rPr>
                <w:rFonts w:ascii="Arial" w:hAnsi="Arial" w:cs="Arial"/>
                <w:noProof/>
                <w:webHidden/>
              </w:rPr>
            </w:r>
            <w:r w:rsidR="00FF6E56" w:rsidRPr="00033CAE">
              <w:rPr>
                <w:rFonts w:ascii="Arial" w:hAnsi="Arial" w:cs="Arial"/>
                <w:noProof/>
                <w:webHidden/>
              </w:rPr>
              <w:fldChar w:fldCharType="separate"/>
            </w:r>
            <w:r w:rsidR="00A936CD">
              <w:rPr>
                <w:rFonts w:ascii="Arial" w:hAnsi="Arial" w:cs="Arial"/>
                <w:noProof/>
                <w:webHidden/>
              </w:rPr>
              <w:t>174</w:t>
            </w:r>
            <w:r w:rsidR="00FF6E56" w:rsidRPr="00033CAE">
              <w:rPr>
                <w:rFonts w:ascii="Arial" w:hAnsi="Arial" w:cs="Arial"/>
                <w:noProof/>
                <w:webHidden/>
              </w:rPr>
              <w:fldChar w:fldCharType="end"/>
            </w:r>
          </w:hyperlink>
        </w:p>
        <w:p w14:paraId="540DED68" w14:textId="14511E45" w:rsidR="00E47761" w:rsidRPr="00F20CC0" w:rsidRDefault="00E47761" w:rsidP="00F20CC0">
          <w:pPr>
            <w:pStyle w:val="TOC2"/>
            <w:rPr>
              <w:rFonts w:asciiTheme="minorHAnsi" w:eastAsiaTheme="minorEastAsia" w:hAnsiTheme="minorHAnsi" w:cstheme="minorBidi"/>
              <w:noProof/>
            </w:rPr>
          </w:pPr>
          <w:r w:rsidRPr="00033CAE">
            <w:rPr>
              <w:rFonts w:ascii="Arial" w:hAnsi="Arial" w:cs="Arial"/>
            </w:rPr>
            <w:fldChar w:fldCharType="end"/>
          </w:r>
        </w:p>
      </w:sdtContent>
    </w:sdt>
    <w:p w14:paraId="355980FB" w14:textId="235CDB80" w:rsidR="00E47761" w:rsidRDefault="00E47761" w:rsidP="00E47761">
      <w:pPr>
        <w:spacing w:after="0" w:line="240" w:lineRule="auto"/>
        <w:rPr>
          <w:rFonts w:ascii="Arial" w:eastAsia="Arial" w:hAnsi="Arial" w:cs="Arial"/>
        </w:rPr>
      </w:pPr>
    </w:p>
    <w:p w14:paraId="3C5D7D90" w14:textId="77777777" w:rsidR="00033CAE" w:rsidRPr="00587DF1" w:rsidRDefault="00033CAE" w:rsidP="00E47761">
      <w:pPr>
        <w:spacing w:after="0" w:line="240" w:lineRule="auto"/>
        <w:rPr>
          <w:rFonts w:ascii="Arial" w:eastAsia="Arial" w:hAnsi="Arial" w:cs="Arial"/>
        </w:rPr>
      </w:pPr>
    </w:p>
    <w:p w14:paraId="45B5DAA0" w14:textId="77777777" w:rsidR="00E47761" w:rsidRPr="00587DF1" w:rsidRDefault="00E47761" w:rsidP="00E47761">
      <w:pPr>
        <w:rPr>
          <w:rFonts w:ascii="Arial" w:eastAsia="Arial" w:hAnsi="Arial" w:cs="Arial"/>
          <w:sz w:val="28"/>
          <w:szCs w:val="28"/>
        </w:rPr>
      </w:pPr>
      <w:r w:rsidRPr="00587DF1">
        <w:rPr>
          <w:rFonts w:ascii="Arial" w:eastAsia="Arial" w:hAnsi="Arial" w:cs="Arial"/>
          <w:sz w:val="28"/>
          <w:szCs w:val="28"/>
        </w:rPr>
        <w:t>Appendices</w:t>
      </w:r>
    </w:p>
    <w:tbl>
      <w:tblPr>
        <w:tblW w:w="6662" w:type="dxa"/>
        <w:tblInd w:w="250" w:type="dxa"/>
        <w:tblLayout w:type="fixed"/>
        <w:tblLook w:val="0400" w:firstRow="0" w:lastRow="0" w:firstColumn="0" w:lastColumn="0" w:noHBand="0" w:noVBand="1"/>
      </w:tblPr>
      <w:tblGrid>
        <w:gridCol w:w="567"/>
        <w:gridCol w:w="6095"/>
      </w:tblGrid>
      <w:tr w:rsidR="00D10F47" w14:paraId="0E14E758" w14:textId="77777777" w:rsidTr="00A20127">
        <w:tc>
          <w:tcPr>
            <w:tcW w:w="6662" w:type="dxa"/>
            <w:gridSpan w:val="2"/>
            <w:hideMark/>
          </w:tcPr>
          <w:p w14:paraId="3A91FFF3" w14:textId="77777777" w:rsidR="00D10F47" w:rsidRDefault="00D10F47">
            <w:pPr>
              <w:spacing w:after="0"/>
              <w:rPr>
                <w:rFonts w:ascii="Arial" w:eastAsia="Arial" w:hAnsi="Arial" w:cs="Arial"/>
                <w:b/>
                <w:lang w:eastAsia="en-US"/>
              </w:rPr>
            </w:pPr>
            <w:r>
              <w:rPr>
                <w:rFonts w:ascii="Arial" w:eastAsia="Arial" w:hAnsi="Arial" w:cs="Arial"/>
                <w:b/>
                <w:lang w:eastAsia="en-US"/>
              </w:rPr>
              <w:t>Strategic case appendices</w:t>
            </w:r>
          </w:p>
        </w:tc>
      </w:tr>
      <w:tr w:rsidR="00D10F47" w14:paraId="60C41FCB" w14:textId="77777777" w:rsidTr="00D10F47">
        <w:tc>
          <w:tcPr>
            <w:tcW w:w="567" w:type="dxa"/>
            <w:hideMark/>
          </w:tcPr>
          <w:p w14:paraId="52FBDB2E" w14:textId="77777777" w:rsidR="00D10F47" w:rsidRDefault="00D10F47">
            <w:pPr>
              <w:spacing w:after="0"/>
              <w:rPr>
                <w:rFonts w:ascii="Arial" w:eastAsia="Arial" w:hAnsi="Arial" w:cs="Arial"/>
                <w:lang w:eastAsia="en-US"/>
              </w:rPr>
            </w:pPr>
            <w:r>
              <w:rPr>
                <w:rFonts w:ascii="Arial" w:eastAsia="Arial" w:hAnsi="Arial" w:cs="Arial"/>
                <w:lang w:eastAsia="en-US"/>
              </w:rPr>
              <w:t>3A</w:t>
            </w:r>
          </w:p>
        </w:tc>
        <w:tc>
          <w:tcPr>
            <w:tcW w:w="6095" w:type="dxa"/>
            <w:hideMark/>
          </w:tcPr>
          <w:p w14:paraId="2314671A" w14:textId="77777777" w:rsidR="00D10F47" w:rsidRDefault="00D10F47">
            <w:pPr>
              <w:spacing w:after="0"/>
              <w:rPr>
                <w:rFonts w:ascii="Arial" w:eastAsia="Arial" w:hAnsi="Arial" w:cs="Arial"/>
                <w:lang w:eastAsia="en-US"/>
              </w:rPr>
            </w:pPr>
            <w:r>
              <w:rPr>
                <w:rFonts w:ascii="Arial" w:eastAsia="Arial" w:hAnsi="Arial" w:cs="Arial"/>
                <w:lang w:eastAsia="en-US"/>
              </w:rPr>
              <w:t>Strategic context (detail)</w:t>
            </w:r>
          </w:p>
        </w:tc>
      </w:tr>
      <w:tr w:rsidR="00D10F47" w14:paraId="737A3AA3" w14:textId="77777777" w:rsidTr="00D10F47">
        <w:trPr>
          <w:trHeight w:val="80"/>
        </w:trPr>
        <w:tc>
          <w:tcPr>
            <w:tcW w:w="567" w:type="dxa"/>
            <w:hideMark/>
          </w:tcPr>
          <w:p w14:paraId="5F04964C" w14:textId="77777777" w:rsidR="00D10F47" w:rsidRDefault="00D10F47">
            <w:pPr>
              <w:spacing w:after="0"/>
              <w:rPr>
                <w:rFonts w:ascii="Arial" w:eastAsia="Arial" w:hAnsi="Arial" w:cs="Arial"/>
                <w:lang w:eastAsia="en-US"/>
              </w:rPr>
            </w:pPr>
            <w:r>
              <w:rPr>
                <w:rFonts w:ascii="Arial" w:eastAsia="Arial" w:hAnsi="Arial" w:cs="Arial"/>
                <w:lang w:eastAsia="en-US"/>
              </w:rPr>
              <w:t>3B</w:t>
            </w:r>
          </w:p>
        </w:tc>
        <w:tc>
          <w:tcPr>
            <w:tcW w:w="6095" w:type="dxa"/>
            <w:hideMark/>
          </w:tcPr>
          <w:p w14:paraId="4E06BC7F" w14:textId="0034554A" w:rsidR="00D10F47" w:rsidRDefault="00D10F47">
            <w:pPr>
              <w:spacing w:after="0"/>
              <w:rPr>
                <w:rFonts w:ascii="Arial" w:eastAsia="Arial" w:hAnsi="Arial" w:cs="Arial"/>
                <w:lang w:eastAsia="en-US"/>
              </w:rPr>
            </w:pPr>
            <w:r>
              <w:rPr>
                <w:rFonts w:ascii="Arial" w:eastAsia="Arial" w:hAnsi="Arial" w:cs="Arial"/>
                <w:lang w:eastAsia="en-US"/>
              </w:rPr>
              <w:t>Commissioner-led system modelling</w:t>
            </w:r>
          </w:p>
        </w:tc>
      </w:tr>
      <w:tr w:rsidR="00D10F47" w14:paraId="55ED439F" w14:textId="77777777" w:rsidTr="00D10F47">
        <w:tc>
          <w:tcPr>
            <w:tcW w:w="567" w:type="dxa"/>
            <w:hideMark/>
          </w:tcPr>
          <w:p w14:paraId="33286BA3" w14:textId="77777777" w:rsidR="00D10F47" w:rsidRDefault="00D10F47">
            <w:pPr>
              <w:spacing w:after="0"/>
              <w:rPr>
                <w:rFonts w:ascii="Arial" w:eastAsia="Arial" w:hAnsi="Arial" w:cs="Arial"/>
                <w:lang w:eastAsia="en-US"/>
              </w:rPr>
            </w:pPr>
            <w:r>
              <w:rPr>
                <w:rFonts w:ascii="Arial" w:eastAsia="Arial" w:hAnsi="Arial" w:cs="Arial"/>
                <w:lang w:eastAsia="en-US"/>
              </w:rPr>
              <w:t>3C</w:t>
            </w:r>
          </w:p>
        </w:tc>
        <w:tc>
          <w:tcPr>
            <w:tcW w:w="6095" w:type="dxa"/>
            <w:hideMark/>
          </w:tcPr>
          <w:p w14:paraId="30B61FC3" w14:textId="77777777" w:rsidR="00D10F47" w:rsidRDefault="00D10F47">
            <w:pPr>
              <w:spacing w:after="0"/>
              <w:rPr>
                <w:rFonts w:ascii="Arial" w:eastAsia="Arial" w:hAnsi="Arial" w:cs="Arial"/>
                <w:lang w:eastAsia="en-US"/>
              </w:rPr>
            </w:pPr>
            <w:r>
              <w:rPr>
                <w:rFonts w:ascii="Arial" w:eastAsia="Arial" w:hAnsi="Arial" w:cs="Arial"/>
                <w:lang w:eastAsia="en-US"/>
              </w:rPr>
              <w:t>Demand and capacity modelling – detail</w:t>
            </w:r>
          </w:p>
        </w:tc>
      </w:tr>
      <w:tr w:rsidR="00D10F47" w14:paraId="1A525722" w14:textId="77777777" w:rsidTr="00D10F47">
        <w:tc>
          <w:tcPr>
            <w:tcW w:w="567" w:type="dxa"/>
            <w:hideMark/>
          </w:tcPr>
          <w:p w14:paraId="0A48050E" w14:textId="77777777" w:rsidR="00D10F47" w:rsidRDefault="00D10F47">
            <w:pPr>
              <w:spacing w:after="0"/>
              <w:rPr>
                <w:rFonts w:ascii="Arial" w:eastAsia="Arial" w:hAnsi="Arial" w:cs="Arial"/>
                <w:lang w:eastAsia="en-US"/>
              </w:rPr>
            </w:pPr>
            <w:r>
              <w:rPr>
                <w:rFonts w:ascii="Arial" w:eastAsia="Arial" w:hAnsi="Arial" w:cs="Arial"/>
                <w:lang w:eastAsia="en-US"/>
              </w:rPr>
              <w:t>3D</w:t>
            </w:r>
          </w:p>
        </w:tc>
        <w:tc>
          <w:tcPr>
            <w:tcW w:w="6095" w:type="dxa"/>
            <w:hideMark/>
          </w:tcPr>
          <w:p w14:paraId="07F698D8" w14:textId="77777777" w:rsidR="00D10F47" w:rsidRDefault="00D10F47">
            <w:pPr>
              <w:spacing w:after="0"/>
              <w:rPr>
                <w:rFonts w:ascii="Arial" w:eastAsia="Arial" w:hAnsi="Arial" w:cs="Arial"/>
                <w:lang w:eastAsia="en-US"/>
              </w:rPr>
            </w:pPr>
            <w:r>
              <w:rPr>
                <w:rFonts w:ascii="Arial" w:eastAsia="Arial" w:hAnsi="Arial" w:cs="Arial"/>
                <w:lang w:eastAsia="en-US"/>
              </w:rPr>
              <w:t>Moorfields response to public consultation</w:t>
            </w:r>
          </w:p>
        </w:tc>
      </w:tr>
      <w:tr w:rsidR="00D10F47" w14:paraId="327AE104" w14:textId="77777777" w:rsidTr="00844F17">
        <w:trPr>
          <w:trHeight w:val="285"/>
        </w:trPr>
        <w:tc>
          <w:tcPr>
            <w:tcW w:w="567" w:type="dxa"/>
            <w:tcBorders>
              <w:bottom w:val="single" w:sz="4" w:space="0" w:color="FFFFFF" w:themeColor="background1"/>
            </w:tcBorders>
            <w:hideMark/>
          </w:tcPr>
          <w:p w14:paraId="63E583D3" w14:textId="77777777" w:rsidR="00D10F47" w:rsidRDefault="00D10F47">
            <w:pPr>
              <w:spacing w:after="0"/>
              <w:rPr>
                <w:rFonts w:ascii="Arial" w:eastAsia="Arial" w:hAnsi="Arial" w:cs="Arial"/>
                <w:lang w:eastAsia="en-US"/>
              </w:rPr>
            </w:pPr>
            <w:r>
              <w:rPr>
                <w:rFonts w:ascii="Arial" w:eastAsia="Arial" w:hAnsi="Arial" w:cs="Arial"/>
                <w:lang w:eastAsia="en-US"/>
              </w:rPr>
              <w:t>3E</w:t>
            </w:r>
          </w:p>
        </w:tc>
        <w:tc>
          <w:tcPr>
            <w:tcW w:w="6095" w:type="dxa"/>
            <w:tcBorders>
              <w:bottom w:val="single" w:sz="4" w:space="0" w:color="FFFFFF" w:themeColor="background1"/>
            </w:tcBorders>
            <w:hideMark/>
          </w:tcPr>
          <w:p w14:paraId="76FF12A3" w14:textId="77777777" w:rsidR="00D10F47" w:rsidRDefault="00D10F47">
            <w:pPr>
              <w:spacing w:after="0"/>
              <w:rPr>
                <w:rFonts w:ascii="Arial" w:eastAsia="Arial" w:hAnsi="Arial" w:cs="Arial"/>
                <w:lang w:eastAsia="en-US"/>
              </w:rPr>
            </w:pPr>
            <w:r>
              <w:rPr>
                <w:rFonts w:ascii="Arial" w:eastAsia="Arial" w:hAnsi="Arial" w:cs="Arial"/>
                <w:lang w:eastAsia="en-US"/>
              </w:rPr>
              <w:t>Letters of support</w:t>
            </w:r>
          </w:p>
        </w:tc>
      </w:tr>
      <w:tr w:rsidR="00D10F47" w14:paraId="1036B384" w14:textId="77777777" w:rsidTr="00844F17">
        <w:trPr>
          <w:trHeight w:val="300"/>
        </w:trPr>
        <w:tc>
          <w:tcPr>
            <w:tcW w:w="567" w:type="dxa"/>
            <w:vMerge w:val="restart"/>
            <w:tcBorders>
              <w:top w:val="single" w:sz="4" w:space="0" w:color="FFFFFF" w:themeColor="background1"/>
            </w:tcBorders>
            <w:vAlign w:val="center"/>
            <w:hideMark/>
          </w:tcPr>
          <w:p w14:paraId="3D48CEB9" w14:textId="77777777" w:rsidR="00D10F47" w:rsidRDefault="00D10F47">
            <w:pPr>
              <w:spacing w:after="0" w:line="240" w:lineRule="auto"/>
              <w:rPr>
                <w:rFonts w:ascii="Arial" w:eastAsia="Arial" w:hAnsi="Arial" w:cs="Arial"/>
                <w:lang w:eastAsia="en-US"/>
              </w:rPr>
            </w:pPr>
          </w:p>
        </w:tc>
        <w:tc>
          <w:tcPr>
            <w:tcW w:w="6095" w:type="dxa"/>
            <w:tcBorders>
              <w:top w:val="single" w:sz="4" w:space="0" w:color="FFFFFF" w:themeColor="background1"/>
            </w:tcBorders>
            <w:hideMark/>
          </w:tcPr>
          <w:p w14:paraId="2D2F720A" w14:textId="77777777" w:rsidR="00D10F47" w:rsidRDefault="00D10F47" w:rsidP="004F4B79">
            <w:pPr>
              <w:pStyle w:val="ListParagraph"/>
              <w:numPr>
                <w:ilvl w:val="0"/>
                <w:numId w:val="167"/>
              </w:numPr>
              <w:spacing w:after="0" w:line="252" w:lineRule="auto"/>
              <w:ind w:left="600" w:hanging="437"/>
              <w:rPr>
                <w:rFonts w:ascii="Arial" w:eastAsia="Arial" w:hAnsi="Arial" w:cs="Arial"/>
              </w:rPr>
            </w:pPr>
            <w:r>
              <w:rPr>
                <w:rFonts w:ascii="Arial" w:eastAsia="Arial" w:hAnsi="Arial" w:cs="Arial"/>
              </w:rPr>
              <w:t>Mayor of London (19 Sept 2019)</w:t>
            </w:r>
          </w:p>
        </w:tc>
      </w:tr>
      <w:tr w:rsidR="00D10F47" w14:paraId="7A31D9C5" w14:textId="77777777" w:rsidTr="00A20127">
        <w:trPr>
          <w:trHeight w:val="64"/>
        </w:trPr>
        <w:tc>
          <w:tcPr>
            <w:tcW w:w="567" w:type="dxa"/>
            <w:vMerge/>
            <w:vAlign w:val="center"/>
            <w:hideMark/>
          </w:tcPr>
          <w:p w14:paraId="1D91862D" w14:textId="77777777" w:rsidR="00D10F47" w:rsidRDefault="00D10F47">
            <w:pPr>
              <w:spacing w:after="0" w:line="240" w:lineRule="auto"/>
              <w:rPr>
                <w:rFonts w:ascii="Arial" w:eastAsia="Arial" w:hAnsi="Arial" w:cs="Arial"/>
                <w:lang w:eastAsia="en-US"/>
              </w:rPr>
            </w:pPr>
          </w:p>
        </w:tc>
        <w:tc>
          <w:tcPr>
            <w:tcW w:w="6095" w:type="dxa"/>
            <w:hideMark/>
          </w:tcPr>
          <w:p w14:paraId="72D5412A" w14:textId="77777777" w:rsidR="00D10F47" w:rsidRDefault="00D10F47" w:rsidP="004F4B79">
            <w:pPr>
              <w:pStyle w:val="ListParagraph"/>
              <w:numPr>
                <w:ilvl w:val="0"/>
                <w:numId w:val="167"/>
              </w:numPr>
              <w:spacing w:after="0" w:line="252" w:lineRule="auto"/>
              <w:ind w:left="600" w:hanging="437"/>
              <w:rPr>
                <w:rFonts w:ascii="Arial" w:eastAsia="Arial" w:hAnsi="Arial" w:cs="Arial"/>
              </w:rPr>
            </w:pPr>
            <w:r>
              <w:rPr>
                <w:rFonts w:ascii="Arial" w:eastAsia="Arial" w:hAnsi="Arial" w:cs="Arial"/>
              </w:rPr>
              <w:t>Mayor of London (10 Feb 2020)</w:t>
            </w:r>
          </w:p>
        </w:tc>
      </w:tr>
      <w:tr w:rsidR="00844F17" w14:paraId="5B5E4920" w14:textId="77777777" w:rsidTr="00A20127">
        <w:trPr>
          <w:trHeight w:val="64"/>
        </w:trPr>
        <w:tc>
          <w:tcPr>
            <w:tcW w:w="567" w:type="dxa"/>
            <w:vMerge/>
            <w:vAlign w:val="center"/>
          </w:tcPr>
          <w:p w14:paraId="1231D318" w14:textId="77777777" w:rsidR="00844F17" w:rsidRDefault="00844F17">
            <w:pPr>
              <w:spacing w:after="0" w:line="240" w:lineRule="auto"/>
              <w:rPr>
                <w:rFonts w:ascii="Arial" w:eastAsia="Arial" w:hAnsi="Arial" w:cs="Arial"/>
                <w:lang w:eastAsia="en-US"/>
              </w:rPr>
            </w:pPr>
          </w:p>
        </w:tc>
        <w:tc>
          <w:tcPr>
            <w:tcW w:w="6095" w:type="dxa"/>
          </w:tcPr>
          <w:p w14:paraId="1C7BFB24" w14:textId="2E3825A2" w:rsidR="00844F17" w:rsidRDefault="00844F17" w:rsidP="004F4B79">
            <w:pPr>
              <w:pStyle w:val="ListParagraph"/>
              <w:numPr>
                <w:ilvl w:val="0"/>
                <w:numId w:val="167"/>
              </w:numPr>
              <w:spacing w:after="0" w:line="252" w:lineRule="auto"/>
              <w:ind w:left="600" w:hanging="437"/>
              <w:rPr>
                <w:rFonts w:ascii="Arial" w:eastAsia="Arial" w:hAnsi="Arial" w:cs="Arial"/>
              </w:rPr>
            </w:pPr>
            <w:r>
              <w:rPr>
                <w:rFonts w:ascii="Arial" w:eastAsia="Arial" w:hAnsi="Arial" w:cs="Arial"/>
              </w:rPr>
              <w:t>Medical Director</w:t>
            </w:r>
          </w:p>
        </w:tc>
      </w:tr>
      <w:tr w:rsidR="00D10F47" w14:paraId="3FE0D7ED" w14:textId="77777777" w:rsidTr="00A20127">
        <w:trPr>
          <w:trHeight w:val="78"/>
        </w:trPr>
        <w:tc>
          <w:tcPr>
            <w:tcW w:w="567" w:type="dxa"/>
            <w:vMerge/>
            <w:vAlign w:val="center"/>
            <w:hideMark/>
          </w:tcPr>
          <w:p w14:paraId="657C61F6" w14:textId="77777777" w:rsidR="00D10F47" w:rsidRDefault="00D10F47">
            <w:pPr>
              <w:spacing w:after="0" w:line="240" w:lineRule="auto"/>
              <w:rPr>
                <w:rFonts w:ascii="Arial" w:eastAsia="Arial" w:hAnsi="Arial" w:cs="Arial"/>
                <w:lang w:eastAsia="en-US"/>
              </w:rPr>
            </w:pPr>
          </w:p>
        </w:tc>
        <w:tc>
          <w:tcPr>
            <w:tcW w:w="6095" w:type="dxa"/>
            <w:hideMark/>
          </w:tcPr>
          <w:p w14:paraId="6FC6FCE5" w14:textId="77777777" w:rsidR="00D10F47" w:rsidRDefault="00D10F47" w:rsidP="004F4B79">
            <w:pPr>
              <w:pStyle w:val="ListParagraph"/>
              <w:numPr>
                <w:ilvl w:val="0"/>
                <w:numId w:val="167"/>
              </w:numPr>
              <w:spacing w:after="0" w:line="252" w:lineRule="auto"/>
              <w:ind w:left="600" w:hanging="437"/>
              <w:rPr>
                <w:rFonts w:ascii="Arial" w:eastAsia="Arial" w:hAnsi="Arial" w:cs="Arial"/>
              </w:rPr>
            </w:pPr>
            <w:r>
              <w:rPr>
                <w:rFonts w:ascii="Arial" w:eastAsia="Arial" w:hAnsi="Arial" w:cs="Arial"/>
              </w:rPr>
              <w:t>LB Camden</w:t>
            </w:r>
          </w:p>
        </w:tc>
      </w:tr>
      <w:tr w:rsidR="00D10F47" w14:paraId="64916B8D" w14:textId="77777777" w:rsidTr="00D10F47">
        <w:trPr>
          <w:trHeight w:val="225"/>
        </w:trPr>
        <w:tc>
          <w:tcPr>
            <w:tcW w:w="567" w:type="dxa"/>
            <w:vMerge/>
            <w:vAlign w:val="center"/>
            <w:hideMark/>
          </w:tcPr>
          <w:p w14:paraId="2FC866F5" w14:textId="77777777" w:rsidR="00D10F47" w:rsidRDefault="00D10F47">
            <w:pPr>
              <w:spacing w:after="0" w:line="240" w:lineRule="auto"/>
              <w:rPr>
                <w:rFonts w:ascii="Arial" w:eastAsia="Arial" w:hAnsi="Arial" w:cs="Arial"/>
                <w:lang w:eastAsia="en-US"/>
              </w:rPr>
            </w:pPr>
          </w:p>
        </w:tc>
        <w:tc>
          <w:tcPr>
            <w:tcW w:w="6095" w:type="dxa"/>
            <w:hideMark/>
          </w:tcPr>
          <w:p w14:paraId="36227FE6" w14:textId="77777777" w:rsidR="00D10F47" w:rsidRDefault="00D10F47" w:rsidP="004F4B79">
            <w:pPr>
              <w:pStyle w:val="ListParagraph"/>
              <w:numPr>
                <w:ilvl w:val="0"/>
                <w:numId w:val="167"/>
              </w:numPr>
              <w:spacing w:after="0" w:line="252" w:lineRule="auto"/>
              <w:ind w:left="600" w:hanging="437"/>
              <w:rPr>
                <w:rFonts w:ascii="Arial" w:eastAsia="Arial" w:hAnsi="Arial" w:cs="Arial"/>
              </w:rPr>
            </w:pPr>
            <w:r>
              <w:rPr>
                <w:rFonts w:ascii="Arial" w:eastAsia="Arial" w:hAnsi="Arial" w:cs="Arial"/>
              </w:rPr>
              <w:t>MEC</w:t>
            </w:r>
          </w:p>
        </w:tc>
      </w:tr>
      <w:tr w:rsidR="00D10F47" w14:paraId="160571A6" w14:textId="77777777" w:rsidTr="00D10F47">
        <w:trPr>
          <w:trHeight w:val="150"/>
        </w:trPr>
        <w:tc>
          <w:tcPr>
            <w:tcW w:w="567" w:type="dxa"/>
            <w:vMerge/>
            <w:vAlign w:val="center"/>
            <w:hideMark/>
          </w:tcPr>
          <w:p w14:paraId="39D7E7A0" w14:textId="77777777" w:rsidR="00D10F47" w:rsidRDefault="00D10F47">
            <w:pPr>
              <w:spacing w:after="0" w:line="240" w:lineRule="auto"/>
              <w:rPr>
                <w:rFonts w:ascii="Arial" w:eastAsia="Arial" w:hAnsi="Arial" w:cs="Arial"/>
                <w:lang w:eastAsia="en-US"/>
              </w:rPr>
            </w:pPr>
          </w:p>
        </w:tc>
        <w:tc>
          <w:tcPr>
            <w:tcW w:w="6095" w:type="dxa"/>
            <w:hideMark/>
          </w:tcPr>
          <w:p w14:paraId="2ADDB214" w14:textId="77777777" w:rsidR="00D10F47" w:rsidRDefault="00D10F47" w:rsidP="004F4B79">
            <w:pPr>
              <w:pStyle w:val="ListParagraph"/>
              <w:numPr>
                <w:ilvl w:val="0"/>
                <w:numId w:val="167"/>
              </w:numPr>
              <w:spacing w:after="0" w:line="252" w:lineRule="auto"/>
              <w:ind w:left="600" w:hanging="437"/>
              <w:rPr>
                <w:rFonts w:ascii="Arial" w:eastAsia="Arial" w:hAnsi="Arial" w:cs="Arial"/>
              </w:rPr>
            </w:pPr>
            <w:r>
              <w:rPr>
                <w:rFonts w:ascii="Arial" w:eastAsia="Arial" w:hAnsi="Arial" w:cs="Arial"/>
              </w:rPr>
              <w:t>NCL CCGs</w:t>
            </w:r>
          </w:p>
        </w:tc>
      </w:tr>
      <w:tr w:rsidR="00D10F47" w14:paraId="6581E3E2" w14:textId="77777777" w:rsidTr="00D10F47">
        <w:trPr>
          <w:trHeight w:val="70"/>
        </w:trPr>
        <w:tc>
          <w:tcPr>
            <w:tcW w:w="567" w:type="dxa"/>
            <w:vMerge/>
            <w:vAlign w:val="center"/>
            <w:hideMark/>
          </w:tcPr>
          <w:p w14:paraId="69E5B29C" w14:textId="77777777" w:rsidR="00D10F47" w:rsidRDefault="00D10F47">
            <w:pPr>
              <w:spacing w:after="0" w:line="240" w:lineRule="auto"/>
              <w:rPr>
                <w:rFonts w:ascii="Arial" w:eastAsia="Arial" w:hAnsi="Arial" w:cs="Arial"/>
                <w:lang w:eastAsia="en-US"/>
              </w:rPr>
            </w:pPr>
          </w:p>
        </w:tc>
        <w:tc>
          <w:tcPr>
            <w:tcW w:w="6095" w:type="dxa"/>
            <w:hideMark/>
          </w:tcPr>
          <w:p w14:paraId="2C020B8D" w14:textId="0F4693EF" w:rsidR="00D10F47" w:rsidRDefault="00556E0E" w:rsidP="004F4B79">
            <w:pPr>
              <w:pStyle w:val="ListParagraph"/>
              <w:numPr>
                <w:ilvl w:val="0"/>
                <w:numId w:val="167"/>
              </w:numPr>
              <w:spacing w:after="0" w:line="252" w:lineRule="auto"/>
              <w:ind w:left="600" w:hanging="437"/>
              <w:rPr>
                <w:rFonts w:ascii="Arial" w:eastAsia="Arial" w:hAnsi="Arial" w:cs="Arial"/>
              </w:rPr>
            </w:pPr>
            <w:r>
              <w:rPr>
                <w:rFonts w:ascii="Arial" w:eastAsia="Arial" w:hAnsi="Arial" w:cs="Arial"/>
              </w:rPr>
              <w:t>UCL</w:t>
            </w:r>
          </w:p>
        </w:tc>
      </w:tr>
      <w:tr w:rsidR="00033CAE" w14:paraId="566FA149" w14:textId="77777777" w:rsidTr="00D10F47">
        <w:trPr>
          <w:trHeight w:val="70"/>
        </w:trPr>
        <w:tc>
          <w:tcPr>
            <w:tcW w:w="567" w:type="dxa"/>
            <w:vAlign w:val="center"/>
          </w:tcPr>
          <w:p w14:paraId="02C7ECD0" w14:textId="77777777" w:rsidR="00033CAE" w:rsidRDefault="00033CAE">
            <w:pPr>
              <w:spacing w:after="0" w:line="240" w:lineRule="auto"/>
              <w:rPr>
                <w:rFonts w:ascii="Arial" w:eastAsia="Arial" w:hAnsi="Arial" w:cs="Arial"/>
                <w:lang w:eastAsia="en-US"/>
              </w:rPr>
            </w:pPr>
          </w:p>
        </w:tc>
        <w:tc>
          <w:tcPr>
            <w:tcW w:w="6095" w:type="dxa"/>
          </w:tcPr>
          <w:p w14:paraId="4AD487EE" w14:textId="23FB863C" w:rsidR="00033CAE" w:rsidRDefault="00033CAE" w:rsidP="004F4B79">
            <w:pPr>
              <w:pStyle w:val="ListParagraph"/>
              <w:numPr>
                <w:ilvl w:val="0"/>
                <w:numId w:val="167"/>
              </w:numPr>
              <w:spacing w:after="0" w:line="252" w:lineRule="auto"/>
              <w:ind w:left="600" w:hanging="437"/>
              <w:rPr>
                <w:rFonts w:ascii="Arial" w:eastAsia="Arial" w:hAnsi="Arial" w:cs="Arial"/>
              </w:rPr>
            </w:pPr>
            <w:r>
              <w:rPr>
                <w:rFonts w:ascii="Arial" w:eastAsia="Arial" w:hAnsi="Arial" w:cs="Arial"/>
              </w:rPr>
              <w:t>NHS England Specialised Commissioning</w:t>
            </w:r>
          </w:p>
        </w:tc>
      </w:tr>
      <w:tr w:rsidR="00D10F47" w14:paraId="0B03463E" w14:textId="77777777" w:rsidTr="00D10F47">
        <w:tc>
          <w:tcPr>
            <w:tcW w:w="567" w:type="dxa"/>
          </w:tcPr>
          <w:p w14:paraId="6B14E089" w14:textId="77777777" w:rsidR="00D10F47" w:rsidRDefault="00D10F47">
            <w:pPr>
              <w:spacing w:after="0"/>
              <w:rPr>
                <w:rFonts w:ascii="Arial" w:eastAsia="Arial" w:hAnsi="Arial" w:cs="Arial"/>
                <w:lang w:eastAsia="en-US"/>
              </w:rPr>
            </w:pPr>
          </w:p>
        </w:tc>
        <w:tc>
          <w:tcPr>
            <w:tcW w:w="6095" w:type="dxa"/>
          </w:tcPr>
          <w:p w14:paraId="1AF6D983" w14:textId="77777777" w:rsidR="00D10F47" w:rsidRDefault="00D10F47">
            <w:pPr>
              <w:spacing w:after="0"/>
              <w:rPr>
                <w:rFonts w:ascii="Arial" w:eastAsia="Arial" w:hAnsi="Arial" w:cs="Arial"/>
                <w:lang w:eastAsia="en-US"/>
              </w:rPr>
            </w:pPr>
          </w:p>
        </w:tc>
      </w:tr>
      <w:tr w:rsidR="00D10F47" w14:paraId="5633222C" w14:textId="77777777" w:rsidTr="00A20127">
        <w:tc>
          <w:tcPr>
            <w:tcW w:w="6662" w:type="dxa"/>
            <w:gridSpan w:val="2"/>
          </w:tcPr>
          <w:p w14:paraId="0079A81D" w14:textId="77777777" w:rsidR="00D10F47" w:rsidRDefault="00D10F47">
            <w:pPr>
              <w:spacing w:after="0"/>
              <w:rPr>
                <w:rFonts w:ascii="Arial" w:eastAsia="Arial" w:hAnsi="Arial" w:cs="Arial"/>
                <w:b/>
                <w:lang w:eastAsia="en-US"/>
              </w:rPr>
            </w:pPr>
            <w:r>
              <w:rPr>
                <w:rFonts w:ascii="Arial" w:eastAsia="Arial" w:hAnsi="Arial" w:cs="Arial"/>
                <w:b/>
                <w:lang w:eastAsia="en-US"/>
              </w:rPr>
              <w:t>Economic case appendices</w:t>
            </w:r>
          </w:p>
        </w:tc>
      </w:tr>
      <w:tr w:rsidR="00D10F47" w14:paraId="0056FA34" w14:textId="77777777" w:rsidTr="00D10F47">
        <w:tc>
          <w:tcPr>
            <w:tcW w:w="567" w:type="dxa"/>
            <w:hideMark/>
          </w:tcPr>
          <w:p w14:paraId="02B2D053" w14:textId="77777777" w:rsidR="00D10F47" w:rsidRDefault="00D10F47">
            <w:pPr>
              <w:spacing w:after="0"/>
              <w:rPr>
                <w:rFonts w:ascii="Arial" w:eastAsia="Arial" w:hAnsi="Arial" w:cs="Arial"/>
                <w:lang w:eastAsia="en-US"/>
              </w:rPr>
            </w:pPr>
            <w:r>
              <w:rPr>
                <w:rFonts w:ascii="Arial" w:eastAsia="Arial" w:hAnsi="Arial" w:cs="Arial"/>
                <w:lang w:eastAsia="en-US"/>
              </w:rPr>
              <w:t>4A</w:t>
            </w:r>
          </w:p>
        </w:tc>
        <w:tc>
          <w:tcPr>
            <w:tcW w:w="6095" w:type="dxa"/>
            <w:hideMark/>
          </w:tcPr>
          <w:p w14:paraId="20EEB308" w14:textId="77777777" w:rsidR="00D10F47" w:rsidRDefault="00D10F47">
            <w:pPr>
              <w:spacing w:after="0"/>
              <w:rPr>
                <w:rFonts w:ascii="Arial" w:eastAsia="Arial" w:hAnsi="Arial" w:cs="Arial"/>
                <w:lang w:eastAsia="en-US"/>
              </w:rPr>
            </w:pPr>
            <w:r>
              <w:rPr>
                <w:rFonts w:ascii="Arial" w:eastAsia="Arial" w:hAnsi="Arial" w:cs="Arial"/>
                <w:lang w:eastAsia="en-US"/>
              </w:rPr>
              <w:t>Stakeholder workshops</w:t>
            </w:r>
          </w:p>
        </w:tc>
      </w:tr>
      <w:tr w:rsidR="00D10F47" w14:paraId="73850C01" w14:textId="77777777" w:rsidTr="00D10F47">
        <w:tc>
          <w:tcPr>
            <w:tcW w:w="567" w:type="dxa"/>
            <w:hideMark/>
          </w:tcPr>
          <w:p w14:paraId="23C93B2A" w14:textId="77777777" w:rsidR="00D10F47" w:rsidRDefault="00D10F47">
            <w:pPr>
              <w:spacing w:after="0"/>
              <w:rPr>
                <w:rFonts w:ascii="Arial" w:eastAsia="Arial" w:hAnsi="Arial" w:cs="Arial"/>
                <w:lang w:eastAsia="en-US"/>
              </w:rPr>
            </w:pPr>
            <w:r>
              <w:rPr>
                <w:rFonts w:ascii="Arial" w:eastAsia="Arial" w:hAnsi="Arial" w:cs="Arial"/>
                <w:lang w:eastAsia="en-US"/>
              </w:rPr>
              <w:t>4B</w:t>
            </w:r>
          </w:p>
        </w:tc>
        <w:tc>
          <w:tcPr>
            <w:tcW w:w="6095" w:type="dxa"/>
            <w:hideMark/>
          </w:tcPr>
          <w:p w14:paraId="79EF7C6B" w14:textId="77777777" w:rsidR="00D10F47" w:rsidRDefault="00D10F47">
            <w:pPr>
              <w:spacing w:after="0"/>
              <w:rPr>
                <w:rFonts w:ascii="Arial" w:eastAsia="Arial" w:hAnsi="Arial" w:cs="Arial"/>
                <w:lang w:eastAsia="en-US"/>
              </w:rPr>
            </w:pPr>
            <w:r>
              <w:rPr>
                <w:rFonts w:ascii="Arial" w:eastAsia="Arial" w:hAnsi="Arial" w:cs="Arial"/>
                <w:lang w:eastAsia="en-US"/>
              </w:rPr>
              <w:t>Do minimum option cost report</w:t>
            </w:r>
          </w:p>
        </w:tc>
      </w:tr>
      <w:tr w:rsidR="00D10F47" w14:paraId="20644817" w14:textId="77777777" w:rsidTr="00D10F47">
        <w:tc>
          <w:tcPr>
            <w:tcW w:w="567" w:type="dxa"/>
            <w:hideMark/>
          </w:tcPr>
          <w:p w14:paraId="522A7B5F" w14:textId="77777777" w:rsidR="00D10F47" w:rsidRDefault="00D10F47">
            <w:pPr>
              <w:spacing w:after="0"/>
              <w:rPr>
                <w:rFonts w:ascii="Arial" w:eastAsia="Arial" w:hAnsi="Arial" w:cs="Arial"/>
                <w:lang w:eastAsia="en-US"/>
              </w:rPr>
            </w:pPr>
            <w:r>
              <w:rPr>
                <w:rFonts w:ascii="Arial" w:eastAsia="Arial" w:hAnsi="Arial" w:cs="Arial"/>
                <w:lang w:eastAsia="en-US"/>
              </w:rPr>
              <w:t>4C</w:t>
            </w:r>
          </w:p>
        </w:tc>
        <w:tc>
          <w:tcPr>
            <w:tcW w:w="6095" w:type="dxa"/>
            <w:hideMark/>
          </w:tcPr>
          <w:p w14:paraId="42CBD2D7" w14:textId="77777777" w:rsidR="00D10F47" w:rsidRDefault="00D10F47">
            <w:pPr>
              <w:spacing w:after="0"/>
              <w:rPr>
                <w:rFonts w:ascii="Arial" w:eastAsia="Arial" w:hAnsi="Arial" w:cs="Arial"/>
                <w:lang w:eastAsia="en-US"/>
              </w:rPr>
            </w:pPr>
            <w:r>
              <w:rPr>
                <w:rFonts w:ascii="Arial" w:eastAsia="Arial" w:hAnsi="Arial" w:cs="Arial"/>
                <w:lang w:eastAsia="en-US"/>
              </w:rPr>
              <w:t>Quantified risk summary</w:t>
            </w:r>
          </w:p>
        </w:tc>
      </w:tr>
      <w:tr w:rsidR="00D10F47" w14:paraId="166F1199" w14:textId="77777777" w:rsidTr="00D10F47">
        <w:tc>
          <w:tcPr>
            <w:tcW w:w="567" w:type="dxa"/>
            <w:hideMark/>
          </w:tcPr>
          <w:p w14:paraId="422E66DC" w14:textId="77777777" w:rsidR="00D10F47" w:rsidRDefault="00D10F47">
            <w:pPr>
              <w:spacing w:after="0"/>
              <w:rPr>
                <w:rFonts w:ascii="Arial" w:eastAsia="Arial" w:hAnsi="Arial" w:cs="Arial"/>
                <w:lang w:eastAsia="en-US"/>
              </w:rPr>
            </w:pPr>
            <w:r>
              <w:rPr>
                <w:rFonts w:ascii="Arial" w:eastAsia="Arial" w:hAnsi="Arial" w:cs="Arial"/>
                <w:lang w:eastAsia="en-US"/>
              </w:rPr>
              <w:t>4D</w:t>
            </w:r>
          </w:p>
        </w:tc>
        <w:tc>
          <w:tcPr>
            <w:tcW w:w="6095" w:type="dxa"/>
            <w:hideMark/>
          </w:tcPr>
          <w:p w14:paraId="092CCADC" w14:textId="77777777" w:rsidR="00D10F47" w:rsidRDefault="00D10F47">
            <w:pPr>
              <w:spacing w:after="0"/>
              <w:rPr>
                <w:rFonts w:ascii="Arial" w:eastAsia="Arial" w:hAnsi="Arial" w:cs="Arial"/>
                <w:lang w:eastAsia="en-US"/>
              </w:rPr>
            </w:pPr>
            <w:r>
              <w:rPr>
                <w:rFonts w:ascii="Arial" w:eastAsia="Arial" w:hAnsi="Arial" w:cs="Arial"/>
                <w:lang w:eastAsia="en-US"/>
              </w:rPr>
              <w:t>Further breakdown of economic appraisal</w:t>
            </w:r>
          </w:p>
        </w:tc>
      </w:tr>
      <w:tr w:rsidR="00D10F47" w14:paraId="1493B9F3" w14:textId="77777777" w:rsidTr="00D10F47">
        <w:tc>
          <w:tcPr>
            <w:tcW w:w="567" w:type="dxa"/>
            <w:hideMark/>
          </w:tcPr>
          <w:p w14:paraId="3E02CC7C" w14:textId="77777777" w:rsidR="00D10F47" w:rsidRDefault="00D10F47">
            <w:pPr>
              <w:spacing w:after="0"/>
              <w:rPr>
                <w:rFonts w:ascii="Arial" w:eastAsia="Arial" w:hAnsi="Arial" w:cs="Arial"/>
                <w:lang w:eastAsia="en-US"/>
              </w:rPr>
            </w:pPr>
            <w:r>
              <w:rPr>
                <w:rFonts w:ascii="Arial" w:eastAsia="Arial" w:hAnsi="Arial" w:cs="Arial"/>
                <w:lang w:eastAsia="en-US"/>
              </w:rPr>
              <w:t>4E</w:t>
            </w:r>
          </w:p>
        </w:tc>
        <w:tc>
          <w:tcPr>
            <w:tcW w:w="6095" w:type="dxa"/>
            <w:hideMark/>
          </w:tcPr>
          <w:p w14:paraId="0C6B89D7" w14:textId="271546B5" w:rsidR="002A7910" w:rsidRDefault="00D10F47">
            <w:pPr>
              <w:spacing w:after="0"/>
              <w:rPr>
                <w:rFonts w:ascii="Arial" w:eastAsia="Arial" w:hAnsi="Arial" w:cs="Arial"/>
                <w:lang w:eastAsia="en-US"/>
              </w:rPr>
            </w:pPr>
            <w:r>
              <w:rPr>
                <w:rFonts w:ascii="Arial" w:eastAsia="Arial" w:hAnsi="Arial" w:cs="Arial"/>
                <w:lang w:eastAsia="en-US"/>
              </w:rPr>
              <w:t>OB forms for each option</w:t>
            </w:r>
          </w:p>
        </w:tc>
      </w:tr>
      <w:tr w:rsidR="002A7910" w14:paraId="2C9204A1" w14:textId="77777777" w:rsidTr="00D10F47">
        <w:tc>
          <w:tcPr>
            <w:tcW w:w="567" w:type="dxa"/>
          </w:tcPr>
          <w:p w14:paraId="281C604F" w14:textId="357C3FE6" w:rsidR="002A7910" w:rsidRDefault="002A7910">
            <w:pPr>
              <w:spacing w:after="0"/>
              <w:rPr>
                <w:rFonts w:ascii="Arial" w:eastAsia="Arial" w:hAnsi="Arial" w:cs="Arial"/>
                <w:lang w:eastAsia="en-US"/>
              </w:rPr>
            </w:pPr>
            <w:r>
              <w:rPr>
                <w:rFonts w:ascii="Arial" w:eastAsia="Arial" w:hAnsi="Arial" w:cs="Arial"/>
                <w:lang w:eastAsia="en-US"/>
              </w:rPr>
              <w:t>4F</w:t>
            </w:r>
          </w:p>
        </w:tc>
        <w:tc>
          <w:tcPr>
            <w:tcW w:w="6095" w:type="dxa"/>
          </w:tcPr>
          <w:p w14:paraId="63A78479" w14:textId="5B923230" w:rsidR="002A7910" w:rsidRDefault="002A7910">
            <w:pPr>
              <w:spacing w:after="0"/>
              <w:rPr>
                <w:rFonts w:ascii="Arial" w:eastAsia="Arial" w:hAnsi="Arial" w:cs="Arial"/>
                <w:lang w:eastAsia="en-US"/>
              </w:rPr>
            </w:pPr>
            <w:r>
              <w:rPr>
                <w:rFonts w:ascii="Arial" w:eastAsia="Arial" w:hAnsi="Arial" w:cs="Arial"/>
                <w:lang w:eastAsia="en-US"/>
              </w:rPr>
              <w:t>Comprehensive Investment Appraisal Model</w:t>
            </w:r>
          </w:p>
        </w:tc>
      </w:tr>
      <w:tr w:rsidR="00D10F47" w14:paraId="42163FDC" w14:textId="77777777" w:rsidTr="00D10F47">
        <w:tc>
          <w:tcPr>
            <w:tcW w:w="567" w:type="dxa"/>
          </w:tcPr>
          <w:p w14:paraId="025165A4" w14:textId="7B6DEADF" w:rsidR="00D10F47" w:rsidRDefault="00880F3B">
            <w:pPr>
              <w:spacing w:after="0"/>
              <w:rPr>
                <w:rFonts w:ascii="Arial" w:eastAsia="Arial" w:hAnsi="Arial" w:cs="Arial"/>
                <w:lang w:eastAsia="en-US"/>
              </w:rPr>
            </w:pPr>
            <w:r>
              <w:rPr>
                <w:rFonts w:ascii="Arial" w:eastAsia="Arial" w:hAnsi="Arial" w:cs="Arial"/>
                <w:lang w:eastAsia="en-US"/>
              </w:rPr>
              <w:t>4G</w:t>
            </w:r>
          </w:p>
        </w:tc>
        <w:tc>
          <w:tcPr>
            <w:tcW w:w="6095" w:type="dxa"/>
          </w:tcPr>
          <w:p w14:paraId="07B4E733" w14:textId="3D327F6C" w:rsidR="00D10F47" w:rsidRPr="00880F3B" w:rsidRDefault="00880F3B">
            <w:pPr>
              <w:spacing w:after="0"/>
              <w:rPr>
                <w:rFonts w:ascii="Arial" w:eastAsia="Arial" w:hAnsi="Arial" w:cs="Arial"/>
                <w:lang w:eastAsia="en-US"/>
              </w:rPr>
            </w:pPr>
            <w:r w:rsidRPr="00880F3B">
              <w:rPr>
                <w:rFonts w:ascii="Arial" w:hAnsi="Arial" w:cs="Arial"/>
              </w:rPr>
              <w:t>Options framework further detail</w:t>
            </w:r>
          </w:p>
        </w:tc>
      </w:tr>
      <w:tr w:rsidR="00880F3B" w14:paraId="4F8BD48C" w14:textId="77777777" w:rsidTr="00D10F47">
        <w:tc>
          <w:tcPr>
            <w:tcW w:w="567" w:type="dxa"/>
          </w:tcPr>
          <w:p w14:paraId="31803834" w14:textId="77777777" w:rsidR="00880F3B" w:rsidRDefault="00880F3B">
            <w:pPr>
              <w:spacing w:after="0"/>
              <w:rPr>
                <w:rFonts w:ascii="Arial" w:eastAsia="Arial" w:hAnsi="Arial" w:cs="Arial"/>
                <w:lang w:eastAsia="en-US"/>
              </w:rPr>
            </w:pPr>
          </w:p>
        </w:tc>
        <w:tc>
          <w:tcPr>
            <w:tcW w:w="6095" w:type="dxa"/>
          </w:tcPr>
          <w:p w14:paraId="1EF8F2EB" w14:textId="77777777" w:rsidR="00880F3B" w:rsidRPr="00880F3B" w:rsidRDefault="00880F3B">
            <w:pPr>
              <w:spacing w:after="0"/>
              <w:rPr>
                <w:rFonts w:ascii="Arial" w:hAnsi="Arial" w:cs="Arial"/>
              </w:rPr>
            </w:pPr>
          </w:p>
        </w:tc>
      </w:tr>
      <w:tr w:rsidR="00D10F47" w14:paraId="70EA4559" w14:textId="77777777" w:rsidTr="00A20127">
        <w:tc>
          <w:tcPr>
            <w:tcW w:w="6662" w:type="dxa"/>
            <w:gridSpan w:val="2"/>
          </w:tcPr>
          <w:p w14:paraId="176AA28A" w14:textId="77777777" w:rsidR="00D10F47" w:rsidRDefault="00D10F47">
            <w:pPr>
              <w:spacing w:after="0"/>
              <w:rPr>
                <w:rFonts w:ascii="Arial" w:eastAsia="Arial" w:hAnsi="Arial" w:cs="Arial"/>
                <w:b/>
                <w:lang w:eastAsia="en-US"/>
              </w:rPr>
            </w:pPr>
            <w:r>
              <w:rPr>
                <w:rFonts w:ascii="Arial" w:eastAsia="Arial" w:hAnsi="Arial" w:cs="Arial"/>
                <w:b/>
                <w:lang w:eastAsia="en-US"/>
              </w:rPr>
              <w:lastRenderedPageBreak/>
              <w:t>Clinical quality case appendices</w:t>
            </w:r>
          </w:p>
        </w:tc>
      </w:tr>
      <w:tr w:rsidR="00D10F47" w14:paraId="27A70002" w14:textId="77777777" w:rsidTr="00D10F47">
        <w:tc>
          <w:tcPr>
            <w:tcW w:w="567" w:type="dxa"/>
            <w:hideMark/>
          </w:tcPr>
          <w:p w14:paraId="66735088" w14:textId="77777777" w:rsidR="00D10F47" w:rsidRDefault="00D10F47">
            <w:pPr>
              <w:spacing w:after="0"/>
              <w:rPr>
                <w:rFonts w:ascii="Arial" w:eastAsia="Arial" w:hAnsi="Arial" w:cs="Arial"/>
                <w:lang w:eastAsia="en-US"/>
              </w:rPr>
            </w:pPr>
            <w:r>
              <w:rPr>
                <w:rFonts w:ascii="Arial" w:eastAsia="Arial" w:hAnsi="Arial" w:cs="Arial"/>
                <w:lang w:eastAsia="en-US"/>
              </w:rPr>
              <w:t>5A</w:t>
            </w:r>
          </w:p>
        </w:tc>
        <w:tc>
          <w:tcPr>
            <w:tcW w:w="6095" w:type="dxa"/>
            <w:hideMark/>
          </w:tcPr>
          <w:p w14:paraId="70E54C24" w14:textId="77777777" w:rsidR="00D10F47" w:rsidRDefault="00D10F47">
            <w:pPr>
              <w:spacing w:after="0"/>
              <w:rPr>
                <w:rFonts w:ascii="Arial" w:eastAsia="Arial" w:hAnsi="Arial" w:cs="Arial"/>
                <w:lang w:eastAsia="en-US"/>
              </w:rPr>
            </w:pPr>
            <w:r>
              <w:rPr>
                <w:rFonts w:ascii="Arial" w:eastAsia="Arial" w:hAnsi="Arial" w:cs="Arial"/>
                <w:lang w:eastAsia="en-US"/>
              </w:rPr>
              <w:t>Service models</w:t>
            </w:r>
          </w:p>
        </w:tc>
      </w:tr>
      <w:tr w:rsidR="00D10F47" w14:paraId="28440258" w14:textId="77777777" w:rsidTr="00D10F47">
        <w:tc>
          <w:tcPr>
            <w:tcW w:w="567" w:type="dxa"/>
            <w:hideMark/>
          </w:tcPr>
          <w:p w14:paraId="4CB81B2D" w14:textId="77777777" w:rsidR="00D10F47" w:rsidRDefault="00D10F47">
            <w:pPr>
              <w:spacing w:after="0"/>
              <w:rPr>
                <w:rFonts w:ascii="Arial" w:eastAsia="Arial" w:hAnsi="Arial" w:cs="Arial"/>
                <w:lang w:eastAsia="en-US"/>
              </w:rPr>
            </w:pPr>
            <w:r>
              <w:rPr>
                <w:rFonts w:ascii="Arial" w:eastAsia="Arial" w:hAnsi="Arial" w:cs="Arial"/>
                <w:lang w:eastAsia="en-US"/>
              </w:rPr>
              <w:t>5B</w:t>
            </w:r>
          </w:p>
        </w:tc>
        <w:tc>
          <w:tcPr>
            <w:tcW w:w="6095" w:type="dxa"/>
            <w:hideMark/>
          </w:tcPr>
          <w:p w14:paraId="4DF76E01" w14:textId="77777777" w:rsidR="00D10F47" w:rsidRDefault="00D10F47">
            <w:pPr>
              <w:spacing w:after="0"/>
              <w:rPr>
                <w:rFonts w:ascii="Arial" w:eastAsia="Arial" w:hAnsi="Arial" w:cs="Arial"/>
                <w:lang w:eastAsia="en-US"/>
              </w:rPr>
            </w:pPr>
            <w:r>
              <w:rPr>
                <w:rFonts w:ascii="Arial" w:eastAsia="Arial" w:hAnsi="Arial" w:cs="Arial"/>
                <w:lang w:eastAsia="en-US"/>
              </w:rPr>
              <w:t>Workforce strategy</w:t>
            </w:r>
          </w:p>
        </w:tc>
      </w:tr>
      <w:tr w:rsidR="00D10F47" w14:paraId="2B006B77" w14:textId="77777777" w:rsidTr="00D10F47">
        <w:tc>
          <w:tcPr>
            <w:tcW w:w="567" w:type="dxa"/>
            <w:hideMark/>
          </w:tcPr>
          <w:p w14:paraId="541AA59C" w14:textId="77777777" w:rsidR="00D10F47" w:rsidRDefault="00D10F47">
            <w:pPr>
              <w:spacing w:after="0"/>
              <w:rPr>
                <w:rFonts w:ascii="Arial" w:eastAsia="Arial" w:hAnsi="Arial" w:cs="Arial"/>
                <w:lang w:eastAsia="en-US"/>
              </w:rPr>
            </w:pPr>
            <w:r>
              <w:rPr>
                <w:rFonts w:ascii="Arial" w:eastAsia="Arial" w:hAnsi="Arial" w:cs="Arial"/>
                <w:lang w:eastAsia="en-US"/>
              </w:rPr>
              <w:t>5C</w:t>
            </w:r>
          </w:p>
        </w:tc>
        <w:tc>
          <w:tcPr>
            <w:tcW w:w="6095" w:type="dxa"/>
            <w:hideMark/>
          </w:tcPr>
          <w:p w14:paraId="1D5041FE" w14:textId="77777777" w:rsidR="00D10F47" w:rsidRDefault="00D10F47">
            <w:pPr>
              <w:spacing w:after="0"/>
              <w:rPr>
                <w:rFonts w:ascii="Arial" w:eastAsia="Arial" w:hAnsi="Arial" w:cs="Arial"/>
                <w:lang w:eastAsia="en-US"/>
              </w:rPr>
            </w:pPr>
            <w:r>
              <w:rPr>
                <w:rFonts w:ascii="Arial" w:eastAsia="Arial" w:hAnsi="Arial" w:cs="Arial"/>
                <w:lang w:eastAsia="en-US"/>
              </w:rPr>
              <w:t>IT in Oriel</w:t>
            </w:r>
          </w:p>
        </w:tc>
      </w:tr>
      <w:tr w:rsidR="00D10F47" w14:paraId="0EA5EC59" w14:textId="77777777" w:rsidTr="00D10F47">
        <w:tc>
          <w:tcPr>
            <w:tcW w:w="567" w:type="dxa"/>
            <w:hideMark/>
          </w:tcPr>
          <w:p w14:paraId="4A2784EE" w14:textId="77777777" w:rsidR="00D10F47" w:rsidRDefault="00D10F47">
            <w:pPr>
              <w:spacing w:after="0"/>
              <w:rPr>
                <w:rFonts w:ascii="Arial" w:eastAsia="Arial" w:hAnsi="Arial" w:cs="Arial"/>
                <w:lang w:eastAsia="en-US"/>
              </w:rPr>
            </w:pPr>
            <w:r>
              <w:rPr>
                <w:rFonts w:ascii="Arial" w:eastAsia="Arial" w:hAnsi="Arial" w:cs="Arial"/>
                <w:lang w:eastAsia="en-US"/>
              </w:rPr>
              <w:t>5D</w:t>
            </w:r>
          </w:p>
        </w:tc>
        <w:tc>
          <w:tcPr>
            <w:tcW w:w="6095" w:type="dxa"/>
            <w:hideMark/>
          </w:tcPr>
          <w:p w14:paraId="692369FD" w14:textId="77777777" w:rsidR="00D10F47" w:rsidRDefault="00D10F47">
            <w:pPr>
              <w:spacing w:after="0"/>
              <w:rPr>
                <w:rFonts w:ascii="Arial" w:eastAsia="Arial" w:hAnsi="Arial" w:cs="Arial"/>
                <w:lang w:eastAsia="en-US"/>
              </w:rPr>
            </w:pPr>
            <w:r>
              <w:rPr>
                <w:rFonts w:ascii="Arial" w:eastAsia="Arial" w:hAnsi="Arial" w:cs="Arial"/>
                <w:lang w:eastAsia="en-US"/>
              </w:rPr>
              <w:t>Design quality and compliance</w:t>
            </w:r>
          </w:p>
        </w:tc>
      </w:tr>
      <w:tr w:rsidR="00D10F47" w14:paraId="31CFD116" w14:textId="77777777" w:rsidTr="00D10F47">
        <w:tc>
          <w:tcPr>
            <w:tcW w:w="567" w:type="dxa"/>
            <w:hideMark/>
          </w:tcPr>
          <w:p w14:paraId="0E68D938" w14:textId="77777777" w:rsidR="00D10F47" w:rsidRDefault="00D10F47">
            <w:pPr>
              <w:spacing w:after="0"/>
              <w:rPr>
                <w:rFonts w:ascii="Arial" w:eastAsia="Arial" w:hAnsi="Arial" w:cs="Arial"/>
                <w:lang w:eastAsia="en-US"/>
              </w:rPr>
            </w:pPr>
            <w:r>
              <w:rPr>
                <w:rFonts w:ascii="Arial" w:eastAsia="Arial" w:hAnsi="Arial" w:cs="Arial"/>
                <w:lang w:eastAsia="en-US"/>
              </w:rPr>
              <w:t>5E</w:t>
            </w:r>
          </w:p>
        </w:tc>
        <w:tc>
          <w:tcPr>
            <w:tcW w:w="6095" w:type="dxa"/>
            <w:hideMark/>
          </w:tcPr>
          <w:p w14:paraId="6761E660" w14:textId="77777777" w:rsidR="00D10F47" w:rsidRDefault="00D10F47">
            <w:pPr>
              <w:spacing w:after="0"/>
              <w:rPr>
                <w:rFonts w:ascii="Arial" w:eastAsia="Arial" w:hAnsi="Arial" w:cs="Arial"/>
                <w:lang w:eastAsia="en-US"/>
              </w:rPr>
            </w:pPr>
            <w:r>
              <w:rPr>
                <w:rFonts w:ascii="Arial" w:eastAsia="Arial" w:hAnsi="Arial" w:cs="Arial"/>
                <w:lang w:eastAsia="en-US"/>
              </w:rPr>
              <w:t>Schedule of accommodation</w:t>
            </w:r>
          </w:p>
        </w:tc>
      </w:tr>
      <w:tr w:rsidR="00D10F47" w14:paraId="66C6CA68" w14:textId="77777777" w:rsidTr="00D10F47">
        <w:tc>
          <w:tcPr>
            <w:tcW w:w="567" w:type="dxa"/>
            <w:hideMark/>
          </w:tcPr>
          <w:p w14:paraId="0C94F52A" w14:textId="77777777" w:rsidR="00D10F47" w:rsidRDefault="00D10F47">
            <w:pPr>
              <w:spacing w:after="0"/>
              <w:rPr>
                <w:rFonts w:ascii="Arial" w:eastAsia="Arial" w:hAnsi="Arial" w:cs="Arial"/>
                <w:lang w:eastAsia="en-US"/>
              </w:rPr>
            </w:pPr>
            <w:r>
              <w:rPr>
                <w:rFonts w:ascii="Arial" w:eastAsia="Arial" w:hAnsi="Arial" w:cs="Arial"/>
                <w:lang w:eastAsia="en-US"/>
              </w:rPr>
              <w:t>5F</w:t>
            </w:r>
          </w:p>
        </w:tc>
        <w:tc>
          <w:tcPr>
            <w:tcW w:w="6095" w:type="dxa"/>
            <w:hideMark/>
          </w:tcPr>
          <w:p w14:paraId="498DFA43" w14:textId="77777777" w:rsidR="00D10F47" w:rsidRDefault="00D10F47">
            <w:pPr>
              <w:spacing w:after="0"/>
              <w:rPr>
                <w:rFonts w:ascii="Arial" w:eastAsia="Arial" w:hAnsi="Arial" w:cs="Arial"/>
                <w:lang w:eastAsia="en-US"/>
              </w:rPr>
            </w:pPr>
            <w:r>
              <w:rPr>
                <w:rFonts w:ascii="Arial" w:eastAsia="Arial" w:hAnsi="Arial" w:cs="Arial"/>
                <w:lang w:eastAsia="en-US"/>
              </w:rPr>
              <w:t>1:200 ‘test to fit’ designs</w:t>
            </w:r>
          </w:p>
        </w:tc>
      </w:tr>
      <w:tr w:rsidR="00D10F47" w14:paraId="60C95152" w14:textId="77777777" w:rsidTr="00D10F47">
        <w:tc>
          <w:tcPr>
            <w:tcW w:w="567" w:type="dxa"/>
          </w:tcPr>
          <w:p w14:paraId="734FF176" w14:textId="77777777" w:rsidR="00D10F47" w:rsidRDefault="00D10F47">
            <w:pPr>
              <w:spacing w:after="0"/>
              <w:rPr>
                <w:rFonts w:ascii="Arial" w:eastAsia="Arial" w:hAnsi="Arial" w:cs="Arial"/>
                <w:lang w:eastAsia="en-US"/>
              </w:rPr>
            </w:pPr>
          </w:p>
        </w:tc>
        <w:tc>
          <w:tcPr>
            <w:tcW w:w="6095" w:type="dxa"/>
          </w:tcPr>
          <w:p w14:paraId="5CEF3B78" w14:textId="77777777" w:rsidR="00D10F47" w:rsidRDefault="00D10F47">
            <w:pPr>
              <w:spacing w:after="0"/>
              <w:rPr>
                <w:rFonts w:ascii="Arial" w:eastAsia="Arial" w:hAnsi="Arial" w:cs="Arial"/>
                <w:lang w:eastAsia="en-US"/>
              </w:rPr>
            </w:pPr>
          </w:p>
        </w:tc>
      </w:tr>
      <w:tr w:rsidR="00D10F47" w14:paraId="4A552CA5" w14:textId="77777777" w:rsidTr="00A20127">
        <w:tc>
          <w:tcPr>
            <w:tcW w:w="6662" w:type="dxa"/>
            <w:gridSpan w:val="2"/>
          </w:tcPr>
          <w:p w14:paraId="3C816039" w14:textId="77777777" w:rsidR="00D10F47" w:rsidRDefault="00D10F47">
            <w:pPr>
              <w:spacing w:after="0"/>
              <w:rPr>
                <w:rFonts w:ascii="Arial" w:eastAsia="Arial" w:hAnsi="Arial" w:cs="Arial"/>
                <w:b/>
                <w:lang w:eastAsia="en-US"/>
              </w:rPr>
            </w:pPr>
            <w:r>
              <w:rPr>
                <w:rFonts w:ascii="Arial" w:eastAsia="Arial" w:hAnsi="Arial" w:cs="Arial"/>
                <w:b/>
                <w:lang w:eastAsia="en-US"/>
              </w:rPr>
              <w:t>Finance case appendices</w:t>
            </w:r>
          </w:p>
        </w:tc>
      </w:tr>
      <w:tr w:rsidR="00D10F47" w14:paraId="5AB101A7" w14:textId="77777777" w:rsidTr="00D10F47">
        <w:tc>
          <w:tcPr>
            <w:tcW w:w="567" w:type="dxa"/>
            <w:hideMark/>
          </w:tcPr>
          <w:p w14:paraId="409E89C9" w14:textId="77777777" w:rsidR="00D10F47" w:rsidRDefault="00D10F47">
            <w:pPr>
              <w:spacing w:after="0"/>
              <w:rPr>
                <w:rFonts w:ascii="Arial" w:eastAsia="Arial" w:hAnsi="Arial" w:cs="Arial"/>
                <w:lang w:eastAsia="en-US"/>
              </w:rPr>
            </w:pPr>
            <w:r>
              <w:rPr>
                <w:rFonts w:ascii="Arial" w:eastAsia="Arial" w:hAnsi="Arial" w:cs="Arial"/>
                <w:lang w:eastAsia="en-US"/>
              </w:rPr>
              <w:t>6A</w:t>
            </w:r>
          </w:p>
        </w:tc>
        <w:tc>
          <w:tcPr>
            <w:tcW w:w="6095" w:type="dxa"/>
            <w:hideMark/>
          </w:tcPr>
          <w:p w14:paraId="1D18C7AD" w14:textId="77777777" w:rsidR="00D10F47" w:rsidRDefault="00D10F47">
            <w:pPr>
              <w:spacing w:after="0"/>
              <w:rPr>
                <w:rFonts w:ascii="Arial" w:eastAsia="Arial" w:hAnsi="Arial" w:cs="Arial"/>
                <w:lang w:eastAsia="en-US"/>
              </w:rPr>
            </w:pPr>
            <w:r>
              <w:rPr>
                <w:rFonts w:ascii="Arial" w:eastAsia="Arial" w:hAnsi="Arial" w:cs="Arial"/>
                <w:lang w:eastAsia="en-US"/>
              </w:rPr>
              <w:t>Year on year surplus bridge</w:t>
            </w:r>
          </w:p>
        </w:tc>
      </w:tr>
      <w:tr w:rsidR="00D10F47" w14:paraId="03B908A6" w14:textId="77777777" w:rsidTr="00D10F47">
        <w:tc>
          <w:tcPr>
            <w:tcW w:w="567" w:type="dxa"/>
            <w:hideMark/>
          </w:tcPr>
          <w:p w14:paraId="53993A49" w14:textId="77777777" w:rsidR="00D10F47" w:rsidRDefault="00D10F47">
            <w:pPr>
              <w:spacing w:after="0"/>
              <w:rPr>
                <w:rFonts w:ascii="Arial" w:eastAsia="Arial" w:hAnsi="Arial" w:cs="Arial"/>
                <w:lang w:eastAsia="en-US"/>
              </w:rPr>
            </w:pPr>
            <w:r>
              <w:rPr>
                <w:rFonts w:ascii="Arial" w:eastAsia="Arial" w:hAnsi="Arial" w:cs="Arial"/>
                <w:lang w:eastAsia="en-US"/>
              </w:rPr>
              <w:t>6B</w:t>
            </w:r>
          </w:p>
        </w:tc>
        <w:tc>
          <w:tcPr>
            <w:tcW w:w="6095" w:type="dxa"/>
            <w:hideMark/>
          </w:tcPr>
          <w:p w14:paraId="385DDB76" w14:textId="77777777" w:rsidR="00D10F47" w:rsidRDefault="00D10F47">
            <w:pPr>
              <w:spacing w:after="0"/>
              <w:rPr>
                <w:rFonts w:ascii="Arial" w:eastAsia="Arial" w:hAnsi="Arial" w:cs="Arial"/>
                <w:lang w:eastAsia="en-US"/>
              </w:rPr>
            </w:pPr>
            <w:r>
              <w:rPr>
                <w:rFonts w:ascii="Arial" w:eastAsia="Arial" w:hAnsi="Arial" w:cs="Arial"/>
                <w:lang w:eastAsia="en-US"/>
              </w:rPr>
              <w:t>Fundraising strategy and governance</w:t>
            </w:r>
          </w:p>
        </w:tc>
      </w:tr>
      <w:tr w:rsidR="002A7910" w14:paraId="15315D84" w14:textId="77777777" w:rsidTr="00D10F47">
        <w:tc>
          <w:tcPr>
            <w:tcW w:w="567" w:type="dxa"/>
          </w:tcPr>
          <w:p w14:paraId="167A9FDD" w14:textId="05C4C8B7" w:rsidR="002A7910" w:rsidRDefault="002A7910">
            <w:pPr>
              <w:spacing w:after="0"/>
              <w:rPr>
                <w:rFonts w:ascii="Arial" w:eastAsia="Arial" w:hAnsi="Arial" w:cs="Arial"/>
                <w:lang w:eastAsia="en-US"/>
              </w:rPr>
            </w:pPr>
            <w:r>
              <w:rPr>
                <w:rFonts w:ascii="Arial" w:eastAsia="Arial" w:hAnsi="Arial" w:cs="Arial"/>
                <w:lang w:eastAsia="en-US"/>
              </w:rPr>
              <w:t>6C</w:t>
            </w:r>
          </w:p>
        </w:tc>
        <w:tc>
          <w:tcPr>
            <w:tcW w:w="6095" w:type="dxa"/>
          </w:tcPr>
          <w:p w14:paraId="79538C11" w14:textId="732A7658" w:rsidR="002A7910" w:rsidRDefault="002A7910">
            <w:pPr>
              <w:spacing w:after="0"/>
              <w:rPr>
                <w:rFonts w:ascii="Arial" w:eastAsia="Arial" w:hAnsi="Arial" w:cs="Arial"/>
                <w:lang w:eastAsia="en-US"/>
              </w:rPr>
            </w:pPr>
            <w:r>
              <w:rPr>
                <w:rFonts w:ascii="Arial" w:eastAsia="Arial" w:hAnsi="Arial" w:cs="Arial"/>
                <w:lang w:eastAsia="en-US"/>
              </w:rPr>
              <w:t>Long Term Financial Model</w:t>
            </w:r>
          </w:p>
        </w:tc>
      </w:tr>
      <w:tr w:rsidR="00D10F47" w14:paraId="72942160" w14:textId="77777777" w:rsidTr="00D10F47">
        <w:tc>
          <w:tcPr>
            <w:tcW w:w="567" w:type="dxa"/>
          </w:tcPr>
          <w:p w14:paraId="6C8D866B" w14:textId="77777777" w:rsidR="00D10F47" w:rsidRDefault="00D10F47">
            <w:pPr>
              <w:spacing w:after="0"/>
              <w:rPr>
                <w:rFonts w:ascii="Arial" w:eastAsia="Arial" w:hAnsi="Arial" w:cs="Arial"/>
                <w:highlight w:val="yellow"/>
                <w:lang w:eastAsia="en-US"/>
              </w:rPr>
            </w:pPr>
          </w:p>
        </w:tc>
        <w:tc>
          <w:tcPr>
            <w:tcW w:w="6095" w:type="dxa"/>
          </w:tcPr>
          <w:p w14:paraId="0C6AA6F8" w14:textId="77777777" w:rsidR="00D10F47" w:rsidRDefault="00D10F47">
            <w:pPr>
              <w:spacing w:after="0"/>
              <w:rPr>
                <w:rFonts w:ascii="Arial" w:eastAsia="Arial" w:hAnsi="Arial" w:cs="Arial"/>
                <w:highlight w:val="yellow"/>
                <w:lang w:eastAsia="en-US"/>
              </w:rPr>
            </w:pPr>
          </w:p>
        </w:tc>
      </w:tr>
      <w:tr w:rsidR="00D10F47" w14:paraId="55ED499E" w14:textId="77777777" w:rsidTr="00A20127">
        <w:tc>
          <w:tcPr>
            <w:tcW w:w="6662" w:type="dxa"/>
            <w:gridSpan w:val="2"/>
          </w:tcPr>
          <w:p w14:paraId="76DB4B86" w14:textId="77777777" w:rsidR="00D10F47" w:rsidRDefault="00D10F47">
            <w:pPr>
              <w:spacing w:after="0"/>
              <w:rPr>
                <w:rFonts w:ascii="Arial" w:eastAsia="Arial" w:hAnsi="Arial" w:cs="Arial"/>
                <w:b/>
                <w:lang w:eastAsia="en-US"/>
              </w:rPr>
            </w:pPr>
            <w:r>
              <w:rPr>
                <w:rFonts w:ascii="Arial" w:eastAsia="Arial" w:hAnsi="Arial" w:cs="Arial"/>
                <w:b/>
                <w:lang w:eastAsia="en-US"/>
              </w:rPr>
              <w:t>Commercial case appendices</w:t>
            </w:r>
          </w:p>
        </w:tc>
      </w:tr>
      <w:tr w:rsidR="00D10F47" w14:paraId="41545704" w14:textId="77777777" w:rsidTr="00D10F47">
        <w:tc>
          <w:tcPr>
            <w:tcW w:w="567" w:type="dxa"/>
            <w:hideMark/>
          </w:tcPr>
          <w:p w14:paraId="0B2E08A5" w14:textId="77777777" w:rsidR="00D10F47" w:rsidRDefault="00D10F47">
            <w:pPr>
              <w:spacing w:after="0"/>
              <w:rPr>
                <w:rFonts w:ascii="Arial" w:eastAsia="Arial" w:hAnsi="Arial" w:cs="Arial"/>
                <w:lang w:eastAsia="en-US"/>
              </w:rPr>
            </w:pPr>
            <w:r>
              <w:rPr>
                <w:rFonts w:ascii="Arial" w:eastAsia="Arial" w:hAnsi="Arial" w:cs="Arial"/>
                <w:lang w:eastAsia="en-US"/>
              </w:rPr>
              <w:t>7A</w:t>
            </w:r>
          </w:p>
        </w:tc>
        <w:tc>
          <w:tcPr>
            <w:tcW w:w="6095" w:type="dxa"/>
            <w:hideMark/>
          </w:tcPr>
          <w:p w14:paraId="000E580B" w14:textId="77777777" w:rsidR="00D10F47" w:rsidRDefault="00D10F47">
            <w:pPr>
              <w:spacing w:after="0"/>
              <w:rPr>
                <w:rFonts w:ascii="Arial" w:eastAsia="Arial" w:hAnsi="Arial" w:cs="Arial"/>
                <w:lang w:eastAsia="en-US"/>
              </w:rPr>
            </w:pPr>
            <w:r>
              <w:rPr>
                <w:rFonts w:ascii="Arial" w:eastAsia="Arial" w:hAnsi="Arial" w:cs="Arial"/>
                <w:lang w:eastAsia="en-US"/>
              </w:rPr>
              <w:t>Procurement strategy</w:t>
            </w:r>
          </w:p>
        </w:tc>
      </w:tr>
      <w:tr w:rsidR="00D10F47" w14:paraId="454EB26E" w14:textId="77777777" w:rsidTr="00D10F47">
        <w:tc>
          <w:tcPr>
            <w:tcW w:w="567" w:type="dxa"/>
            <w:hideMark/>
          </w:tcPr>
          <w:p w14:paraId="5B9B170F" w14:textId="77777777" w:rsidR="00D10F47" w:rsidRDefault="00D10F47">
            <w:pPr>
              <w:spacing w:after="0"/>
              <w:rPr>
                <w:rFonts w:ascii="Arial" w:eastAsia="Arial" w:hAnsi="Arial" w:cs="Arial"/>
                <w:lang w:eastAsia="en-US"/>
              </w:rPr>
            </w:pPr>
            <w:r>
              <w:rPr>
                <w:rFonts w:ascii="Arial" w:eastAsia="Arial" w:hAnsi="Arial" w:cs="Arial"/>
                <w:lang w:eastAsia="en-US"/>
              </w:rPr>
              <w:t>7B</w:t>
            </w:r>
          </w:p>
        </w:tc>
        <w:tc>
          <w:tcPr>
            <w:tcW w:w="6095" w:type="dxa"/>
            <w:hideMark/>
          </w:tcPr>
          <w:p w14:paraId="67D0836C" w14:textId="77777777" w:rsidR="00D10F47" w:rsidRDefault="00D10F47">
            <w:pPr>
              <w:spacing w:after="0"/>
              <w:rPr>
                <w:rFonts w:ascii="Arial" w:eastAsia="Arial" w:hAnsi="Arial" w:cs="Arial"/>
                <w:lang w:eastAsia="en-US"/>
              </w:rPr>
            </w:pPr>
            <w:r>
              <w:rPr>
                <w:rFonts w:ascii="Arial" w:eastAsia="Arial" w:hAnsi="Arial" w:cs="Arial"/>
                <w:lang w:eastAsia="en-US"/>
              </w:rPr>
              <w:t>Equipment strategy and schedule</w:t>
            </w:r>
          </w:p>
        </w:tc>
      </w:tr>
      <w:tr w:rsidR="00D10F47" w14:paraId="1976F5CD" w14:textId="77777777" w:rsidTr="00D10F47">
        <w:tc>
          <w:tcPr>
            <w:tcW w:w="567" w:type="dxa"/>
            <w:hideMark/>
          </w:tcPr>
          <w:p w14:paraId="77200AE3" w14:textId="77777777" w:rsidR="00D10F47" w:rsidRDefault="00D10F47">
            <w:pPr>
              <w:spacing w:after="0"/>
              <w:rPr>
                <w:rFonts w:ascii="Arial" w:eastAsia="Arial" w:hAnsi="Arial" w:cs="Arial"/>
                <w:lang w:eastAsia="en-US"/>
              </w:rPr>
            </w:pPr>
            <w:r>
              <w:rPr>
                <w:rFonts w:ascii="Arial" w:eastAsia="Arial" w:hAnsi="Arial" w:cs="Arial"/>
                <w:lang w:eastAsia="en-US"/>
              </w:rPr>
              <w:t>7C</w:t>
            </w:r>
          </w:p>
        </w:tc>
        <w:tc>
          <w:tcPr>
            <w:tcW w:w="6095" w:type="dxa"/>
            <w:hideMark/>
          </w:tcPr>
          <w:p w14:paraId="234E9A02" w14:textId="77777777" w:rsidR="00D10F47" w:rsidRDefault="00D10F47">
            <w:pPr>
              <w:spacing w:after="0"/>
              <w:rPr>
                <w:rFonts w:ascii="Arial" w:eastAsia="Arial" w:hAnsi="Arial" w:cs="Arial"/>
                <w:lang w:eastAsia="en-US"/>
              </w:rPr>
            </w:pPr>
            <w:r>
              <w:rPr>
                <w:rFonts w:ascii="Arial" w:eastAsia="Arial" w:hAnsi="Arial" w:cs="Arial"/>
                <w:lang w:eastAsia="en-US"/>
              </w:rPr>
              <w:t>Acquisition strategy</w:t>
            </w:r>
          </w:p>
        </w:tc>
      </w:tr>
      <w:tr w:rsidR="00D10F47" w14:paraId="71E3A059" w14:textId="77777777" w:rsidTr="00D10F47">
        <w:tc>
          <w:tcPr>
            <w:tcW w:w="567" w:type="dxa"/>
            <w:hideMark/>
          </w:tcPr>
          <w:p w14:paraId="03C0805C" w14:textId="77777777" w:rsidR="00D10F47" w:rsidRDefault="00D10F47">
            <w:pPr>
              <w:spacing w:after="0"/>
              <w:rPr>
                <w:rFonts w:ascii="Arial" w:eastAsia="Arial" w:hAnsi="Arial" w:cs="Arial"/>
                <w:lang w:eastAsia="en-US"/>
              </w:rPr>
            </w:pPr>
            <w:r>
              <w:rPr>
                <w:rFonts w:ascii="Arial" w:eastAsia="Arial" w:hAnsi="Arial" w:cs="Arial"/>
                <w:lang w:eastAsia="en-US"/>
              </w:rPr>
              <w:t>7D</w:t>
            </w:r>
          </w:p>
        </w:tc>
        <w:tc>
          <w:tcPr>
            <w:tcW w:w="6095" w:type="dxa"/>
            <w:hideMark/>
          </w:tcPr>
          <w:p w14:paraId="0B08F675" w14:textId="77777777" w:rsidR="00D10F47" w:rsidRDefault="00D10F47">
            <w:pPr>
              <w:spacing w:after="0"/>
              <w:rPr>
                <w:rFonts w:ascii="Arial" w:eastAsia="Arial" w:hAnsi="Arial" w:cs="Arial"/>
                <w:lang w:eastAsia="en-US"/>
              </w:rPr>
            </w:pPr>
            <w:r>
              <w:rPr>
                <w:rFonts w:ascii="Arial" w:eastAsia="Arial" w:hAnsi="Arial" w:cs="Arial"/>
                <w:lang w:eastAsia="en-US"/>
              </w:rPr>
              <w:t>Disposal strategy</w:t>
            </w:r>
          </w:p>
        </w:tc>
      </w:tr>
      <w:tr w:rsidR="00D10F47" w14:paraId="2625D69C" w14:textId="77777777" w:rsidTr="00D10F47">
        <w:tc>
          <w:tcPr>
            <w:tcW w:w="567" w:type="dxa"/>
            <w:hideMark/>
          </w:tcPr>
          <w:p w14:paraId="448B58DD" w14:textId="77777777" w:rsidR="00D10F47" w:rsidRDefault="00D10F47">
            <w:pPr>
              <w:spacing w:after="0"/>
              <w:rPr>
                <w:rFonts w:ascii="Arial" w:eastAsia="Arial" w:hAnsi="Arial" w:cs="Arial"/>
                <w:lang w:eastAsia="en-US"/>
              </w:rPr>
            </w:pPr>
            <w:r>
              <w:rPr>
                <w:rFonts w:ascii="Arial" w:eastAsia="Arial" w:hAnsi="Arial" w:cs="Arial"/>
                <w:lang w:eastAsia="en-US"/>
              </w:rPr>
              <w:t>7E</w:t>
            </w:r>
          </w:p>
        </w:tc>
        <w:tc>
          <w:tcPr>
            <w:tcW w:w="6095" w:type="dxa"/>
            <w:hideMark/>
          </w:tcPr>
          <w:p w14:paraId="30DCEABB" w14:textId="77777777" w:rsidR="00D10F47" w:rsidRDefault="00D10F47">
            <w:pPr>
              <w:spacing w:after="0"/>
              <w:rPr>
                <w:rFonts w:ascii="Arial" w:eastAsia="Arial" w:hAnsi="Arial" w:cs="Arial"/>
                <w:lang w:eastAsia="en-US"/>
              </w:rPr>
            </w:pPr>
            <w:r>
              <w:rPr>
                <w:rFonts w:ascii="Arial" w:eastAsia="Arial" w:hAnsi="Arial" w:cs="Arial"/>
                <w:lang w:eastAsia="en-US"/>
              </w:rPr>
              <w:t>Joint Delivery Vehicle (JDV) further detail</w:t>
            </w:r>
          </w:p>
        </w:tc>
      </w:tr>
      <w:tr w:rsidR="00D10F47" w14:paraId="2014A642" w14:textId="77777777" w:rsidTr="00D10F47">
        <w:tc>
          <w:tcPr>
            <w:tcW w:w="567" w:type="dxa"/>
          </w:tcPr>
          <w:p w14:paraId="14A6EDE0" w14:textId="77777777" w:rsidR="00D10F47" w:rsidRDefault="00D10F47">
            <w:pPr>
              <w:spacing w:after="0"/>
              <w:rPr>
                <w:rFonts w:ascii="Arial" w:eastAsia="Arial" w:hAnsi="Arial" w:cs="Arial"/>
                <w:lang w:eastAsia="en-US"/>
              </w:rPr>
            </w:pPr>
          </w:p>
        </w:tc>
        <w:tc>
          <w:tcPr>
            <w:tcW w:w="6095" w:type="dxa"/>
          </w:tcPr>
          <w:p w14:paraId="63005DA0" w14:textId="77777777" w:rsidR="00D10F47" w:rsidRDefault="00D10F47">
            <w:pPr>
              <w:spacing w:after="0"/>
              <w:rPr>
                <w:rFonts w:ascii="Arial" w:eastAsia="Arial" w:hAnsi="Arial" w:cs="Arial"/>
                <w:lang w:eastAsia="en-US"/>
              </w:rPr>
            </w:pPr>
          </w:p>
        </w:tc>
      </w:tr>
      <w:tr w:rsidR="00D10F47" w14:paraId="1DC11D92" w14:textId="77777777" w:rsidTr="00A20127">
        <w:tc>
          <w:tcPr>
            <w:tcW w:w="6662" w:type="dxa"/>
            <w:gridSpan w:val="2"/>
          </w:tcPr>
          <w:p w14:paraId="174A7041" w14:textId="77777777" w:rsidR="00D10F47" w:rsidRDefault="00D10F47">
            <w:pPr>
              <w:spacing w:after="0"/>
              <w:rPr>
                <w:rFonts w:ascii="Arial" w:eastAsia="Arial" w:hAnsi="Arial" w:cs="Arial"/>
                <w:b/>
                <w:lang w:eastAsia="en-US"/>
              </w:rPr>
            </w:pPr>
            <w:r>
              <w:rPr>
                <w:rFonts w:ascii="Arial" w:eastAsia="Arial" w:hAnsi="Arial" w:cs="Arial"/>
                <w:b/>
                <w:lang w:eastAsia="en-US"/>
              </w:rPr>
              <w:t>Management case appendices</w:t>
            </w:r>
          </w:p>
        </w:tc>
      </w:tr>
      <w:tr w:rsidR="00D10F47" w14:paraId="0BBF1F86" w14:textId="77777777" w:rsidTr="00D10F47">
        <w:tc>
          <w:tcPr>
            <w:tcW w:w="567" w:type="dxa"/>
            <w:hideMark/>
          </w:tcPr>
          <w:p w14:paraId="1498271C" w14:textId="77777777" w:rsidR="00D10F47" w:rsidRDefault="00D10F47">
            <w:pPr>
              <w:spacing w:after="0"/>
              <w:rPr>
                <w:rFonts w:ascii="Arial" w:eastAsia="Arial" w:hAnsi="Arial" w:cs="Arial"/>
                <w:lang w:eastAsia="en-US"/>
              </w:rPr>
            </w:pPr>
            <w:r>
              <w:rPr>
                <w:rFonts w:ascii="Arial" w:eastAsia="Arial" w:hAnsi="Arial" w:cs="Arial"/>
                <w:lang w:eastAsia="en-US"/>
              </w:rPr>
              <w:t>8A</w:t>
            </w:r>
          </w:p>
        </w:tc>
        <w:tc>
          <w:tcPr>
            <w:tcW w:w="6095" w:type="dxa"/>
            <w:hideMark/>
          </w:tcPr>
          <w:p w14:paraId="2C211213" w14:textId="77777777" w:rsidR="00D10F47" w:rsidRDefault="00D10F47">
            <w:pPr>
              <w:spacing w:after="0"/>
              <w:rPr>
                <w:rFonts w:ascii="Arial" w:eastAsia="Arial" w:hAnsi="Arial" w:cs="Arial"/>
                <w:lang w:eastAsia="en-US"/>
              </w:rPr>
            </w:pPr>
            <w:r>
              <w:rPr>
                <w:rFonts w:ascii="Arial" w:eastAsia="Arial" w:hAnsi="Arial" w:cs="Arial"/>
                <w:lang w:eastAsia="en-US"/>
              </w:rPr>
              <w:t>Benefits realisation plan</w:t>
            </w:r>
          </w:p>
        </w:tc>
      </w:tr>
      <w:tr w:rsidR="00D10F47" w14:paraId="6AB5AC3B" w14:textId="77777777" w:rsidTr="00D10F47">
        <w:tc>
          <w:tcPr>
            <w:tcW w:w="567" w:type="dxa"/>
            <w:hideMark/>
          </w:tcPr>
          <w:p w14:paraId="3E290922" w14:textId="77777777" w:rsidR="00D10F47" w:rsidRDefault="00D10F47">
            <w:pPr>
              <w:spacing w:after="0"/>
              <w:rPr>
                <w:rFonts w:ascii="Arial" w:eastAsia="Arial" w:hAnsi="Arial" w:cs="Arial"/>
                <w:lang w:eastAsia="en-US"/>
              </w:rPr>
            </w:pPr>
            <w:r>
              <w:rPr>
                <w:rFonts w:ascii="Arial" w:eastAsia="Arial" w:hAnsi="Arial" w:cs="Arial"/>
                <w:lang w:eastAsia="en-US"/>
              </w:rPr>
              <w:t>8B</w:t>
            </w:r>
          </w:p>
        </w:tc>
        <w:tc>
          <w:tcPr>
            <w:tcW w:w="6095" w:type="dxa"/>
            <w:hideMark/>
          </w:tcPr>
          <w:p w14:paraId="475032B2" w14:textId="77777777" w:rsidR="00D10F47" w:rsidRDefault="00D10F47">
            <w:pPr>
              <w:spacing w:after="0" w:line="252" w:lineRule="auto"/>
              <w:rPr>
                <w:rFonts w:ascii="Arial" w:eastAsia="Arial" w:hAnsi="Arial" w:cs="Arial"/>
                <w:lang w:eastAsia="en-US"/>
              </w:rPr>
            </w:pPr>
            <w:r>
              <w:rPr>
                <w:rFonts w:ascii="Arial" w:eastAsia="Arial" w:hAnsi="Arial" w:cs="Arial"/>
                <w:lang w:eastAsia="en-US"/>
              </w:rPr>
              <w:t>Risk register</w:t>
            </w:r>
          </w:p>
        </w:tc>
      </w:tr>
      <w:tr w:rsidR="00D10F47" w14:paraId="27F39A90" w14:textId="77777777" w:rsidTr="00D10F47">
        <w:tc>
          <w:tcPr>
            <w:tcW w:w="567" w:type="dxa"/>
            <w:hideMark/>
          </w:tcPr>
          <w:p w14:paraId="569D3DE8" w14:textId="77777777" w:rsidR="00D10F47" w:rsidRDefault="00D10F47">
            <w:pPr>
              <w:spacing w:after="0"/>
              <w:rPr>
                <w:rFonts w:ascii="Arial" w:eastAsia="Arial" w:hAnsi="Arial" w:cs="Arial"/>
                <w:lang w:eastAsia="en-US"/>
              </w:rPr>
            </w:pPr>
            <w:r>
              <w:rPr>
                <w:rFonts w:ascii="Arial" w:eastAsia="Arial" w:hAnsi="Arial" w:cs="Arial"/>
                <w:lang w:eastAsia="en-US"/>
              </w:rPr>
              <w:t>8C</w:t>
            </w:r>
          </w:p>
        </w:tc>
        <w:tc>
          <w:tcPr>
            <w:tcW w:w="6095" w:type="dxa"/>
            <w:hideMark/>
          </w:tcPr>
          <w:p w14:paraId="695CCB64" w14:textId="77777777" w:rsidR="00D10F47" w:rsidRDefault="00D10F47">
            <w:pPr>
              <w:spacing w:after="0" w:line="252" w:lineRule="auto"/>
              <w:rPr>
                <w:rFonts w:ascii="Arial" w:eastAsia="Arial" w:hAnsi="Arial" w:cs="Arial"/>
                <w:lang w:eastAsia="en-US"/>
              </w:rPr>
            </w:pPr>
            <w:r>
              <w:rPr>
                <w:rFonts w:ascii="Arial" w:eastAsia="Arial" w:hAnsi="Arial" w:cs="Arial"/>
                <w:lang w:eastAsia="en-US"/>
              </w:rPr>
              <w:t>Programme plan</w:t>
            </w:r>
          </w:p>
        </w:tc>
      </w:tr>
      <w:tr w:rsidR="00D10F47" w14:paraId="4E604C0A" w14:textId="77777777" w:rsidTr="00D10F47">
        <w:tc>
          <w:tcPr>
            <w:tcW w:w="567" w:type="dxa"/>
            <w:hideMark/>
          </w:tcPr>
          <w:p w14:paraId="477D5AFB" w14:textId="77777777" w:rsidR="00D10F47" w:rsidRDefault="00D10F47">
            <w:pPr>
              <w:spacing w:after="0"/>
              <w:rPr>
                <w:rFonts w:ascii="Arial" w:eastAsia="Arial" w:hAnsi="Arial" w:cs="Arial"/>
                <w:lang w:eastAsia="en-US"/>
              </w:rPr>
            </w:pPr>
            <w:r>
              <w:rPr>
                <w:rFonts w:ascii="Arial" w:eastAsia="Arial" w:hAnsi="Arial" w:cs="Arial"/>
                <w:lang w:eastAsia="en-US"/>
              </w:rPr>
              <w:t>8D</w:t>
            </w:r>
          </w:p>
        </w:tc>
        <w:tc>
          <w:tcPr>
            <w:tcW w:w="6095" w:type="dxa"/>
            <w:hideMark/>
          </w:tcPr>
          <w:p w14:paraId="2F1832C4" w14:textId="77777777" w:rsidR="00D10F47" w:rsidRDefault="00D10F47">
            <w:pPr>
              <w:spacing w:after="0" w:line="252" w:lineRule="auto"/>
              <w:rPr>
                <w:rFonts w:ascii="Arial" w:eastAsia="Arial" w:hAnsi="Arial" w:cs="Arial"/>
                <w:lang w:eastAsia="en-US"/>
              </w:rPr>
            </w:pPr>
            <w:r>
              <w:rPr>
                <w:rFonts w:ascii="Arial" w:eastAsia="Arial" w:hAnsi="Arial" w:cs="Arial"/>
                <w:lang w:eastAsia="en-US"/>
              </w:rPr>
              <w:t>Oriel workstream responsibilities</w:t>
            </w:r>
          </w:p>
        </w:tc>
      </w:tr>
      <w:tr w:rsidR="00D10F47" w14:paraId="5CFC9490" w14:textId="77777777" w:rsidTr="00D10F47">
        <w:tc>
          <w:tcPr>
            <w:tcW w:w="567" w:type="dxa"/>
            <w:hideMark/>
          </w:tcPr>
          <w:p w14:paraId="5F51F65F" w14:textId="77777777" w:rsidR="00D10F47" w:rsidRDefault="00D10F47">
            <w:pPr>
              <w:spacing w:after="0"/>
              <w:rPr>
                <w:rFonts w:ascii="Arial" w:eastAsia="Arial" w:hAnsi="Arial" w:cs="Arial"/>
                <w:lang w:eastAsia="en-US"/>
              </w:rPr>
            </w:pPr>
            <w:r>
              <w:rPr>
                <w:rFonts w:ascii="Arial" w:eastAsia="Arial" w:hAnsi="Arial" w:cs="Arial"/>
                <w:lang w:eastAsia="en-US"/>
              </w:rPr>
              <w:t>8E</w:t>
            </w:r>
          </w:p>
        </w:tc>
        <w:tc>
          <w:tcPr>
            <w:tcW w:w="6095" w:type="dxa"/>
            <w:hideMark/>
          </w:tcPr>
          <w:p w14:paraId="66657313" w14:textId="77777777" w:rsidR="00D10F47" w:rsidRDefault="00D10F47">
            <w:pPr>
              <w:spacing w:after="0"/>
              <w:rPr>
                <w:rFonts w:ascii="Arial" w:eastAsia="Arial" w:hAnsi="Arial" w:cs="Arial"/>
                <w:lang w:eastAsia="en-US"/>
              </w:rPr>
            </w:pPr>
            <w:r>
              <w:rPr>
                <w:rFonts w:ascii="Arial" w:eastAsia="Arial" w:hAnsi="Arial" w:cs="Arial"/>
                <w:lang w:eastAsia="en-US"/>
              </w:rPr>
              <w:t>Communications strategy and plan</w:t>
            </w:r>
          </w:p>
        </w:tc>
      </w:tr>
      <w:tr w:rsidR="00D10F47" w14:paraId="428A34E7" w14:textId="77777777" w:rsidTr="00D10F47">
        <w:tc>
          <w:tcPr>
            <w:tcW w:w="567" w:type="dxa"/>
            <w:hideMark/>
          </w:tcPr>
          <w:p w14:paraId="60DC5165" w14:textId="77777777" w:rsidR="00D10F47" w:rsidRDefault="00D10F47">
            <w:pPr>
              <w:spacing w:after="0"/>
              <w:rPr>
                <w:rFonts w:ascii="Arial" w:eastAsia="Arial" w:hAnsi="Arial" w:cs="Arial"/>
                <w:lang w:eastAsia="en-US"/>
              </w:rPr>
            </w:pPr>
            <w:r>
              <w:rPr>
                <w:rFonts w:ascii="Arial" w:eastAsia="Arial" w:hAnsi="Arial" w:cs="Arial"/>
                <w:lang w:eastAsia="en-US"/>
              </w:rPr>
              <w:t>8F</w:t>
            </w:r>
          </w:p>
        </w:tc>
        <w:tc>
          <w:tcPr>
            <w:tcW w:w="6095" w:type="dxa"/>
            <w:hideMark/>
          </w:tcPr>
          <w:p w14:paraId="7F2B7DE8" w14:textId="77777777" w:rsidR="00D10F47" w:rsidRDefault="00D10F47">
            <w:pPr>
              <w:spacing w:after="0"/>
              <w:rPr>
                <w:rFonts w:ascii="Arial" w:eastAsia="Arial" w:hAnsi="Arial" w:cs="Arial"/>
                <w:lang w:eastAsia="en-US"/>
              </w:rPr>
            </w:pPr>
            <w:r>
              <w:rPr>
                <w:rFonts w:ascii="Arial" w:eastAsia="Arial" w:hAnsi="Arial" w:cs="Arial"/>
                <w:lang w:eastAsia="en-US"/>
              </w:rPr>
              <w:t>Oriel peer review recommendations</w:t>
            </w:r>
          </w:p>
        </w:tc>
      </w:tr>
    </w:tbl>
    <w:p w14:paraId="1339708C" w14:textId="77777777" w:rsidR="00E47761" w:rsidRPr="00587DF1" w:rsidRDefault="00E47761" w:rsidP="00E47761">
      <w:pPr>
        <w:rPr>
          <w:rFonts w:ascii="Arial" w:eastAsia="Arial" w:hAnsi="Arial" w:cs="Arial"/>
        </w:rPr>
      </w:pPr>
      <w:r w:rsidRPr="00587DF1">
        <w:rPr>
          <w:rFonts w:ascii="Arial" w:hAnsi="Arial" w:cs="Arial"/>
        </w:rPr>
        <w:br w:type="page"/>
      </w:r>
    </w:p>
    <w:tbl>
      <w:tblPr>
        <w:tblW w:w="10031" w:type="dxa"/>
        <w:tblLayout w:type="fixed"/>
        <w:tblLook w:val="0000" w:firstRow="0" w:lastRow="0" w:firstColumn="0" w:lastColumn="0" w:noHBand="0" w:noVBand="0"/>
      </w:tblPr>
      <w:tblGrid>
        <w:gridCol w:w="1843"/>
        <w:gridCol w:w="8188"/>
      </w:tblGrid>
      <w:tr w:rsidR="00E47761" w:rsidRPr="00587DF1" w14:paraId="07B346BE" w14:textId="77777777" w:rsidTr="00D10F47">
        <w:trPr>
          <w:trHeight w:val="340"/>
        </w:trPr>
        <w:tc>
          <w:tcPr>
            <w:tcW w:w="10031" w:type="dxa"/>
            <w:gridSpan w:val="2"/>
          </w:tcPr>
          <w:p w14:paraId="1D9F6A07" w14:textId="77777777" w:rsidR="00E47761" w:rsidRPr="00587DF1" w:rsidRDefault="00E47761" w:rsidP="00E47761">
            <w:pPr>
              <w:spacing w:after="0" w:line="240" w:lineRule="auto"/>
              <w:rPr>
                <w:rFonts w:ascii="Arial" w:eastAsia="Arial" w:hAnsi="Arial" w:cs="Arial"/>
              </w:rPr>
            </w:pPr>
            <w:r w:rsidRPr="00587DF1">
              <w:rPr>
                <w:rFonts w:ascii="Arial" w:eastAsia="Arial" w:hAnsi="Arial" w:cs="Arial"/>
                <w:sz w:val="28"/>
                <w:szCs w:val="28"/>
              </w:rPr>
              <w:lastRenderedPageBreak/>
              <w:t>Abbreviations</w:t>
            </w:r>
          </w:p>
        </w:tc>
      </w:tr>
      <w:tr w:rsidR="00087085" w:rsidRPr="00E5260B" w14:paraId="7E282A78" w14:textId="77777777" w:rsidTr="00D10F47">
        <w:trPr>
          <w:trHeight w:val="340"/>
        </w:trPr>
        <w:tc>
          <w:tcPr>
            <w:tcW w:w="1843" w:type="dxa"/>
          </w:tcPr>
          <w:p w14:paraId="03ADA358"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A&amp;E</w:t>
            </w:r>
          </w:p>
        </w:tc>
        <w:tc>
          <w:tcPr>
            <w:tcW w:w="8188" w:type="dxa"/>
          </w:tcPr>
          <w:p w14:paraId="376022EA"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Accident &amp; Emergency department</w:t>
            </w:r>
          </w:p>
        </w:tc>
      </w:tr>
      <w:tr w:rsidR="00087085" w:rsidRPr="00E5260B" w14:paraId="24B29435" w14:textId="77777777" w:rsidTr="00D10F47">
        <w:trPr>
          <w:trHeight w:val="340"/>
        </w:trPr>
        <w:tc>
          <w:tcPr>
            <w:tcW w:w="1843" w:type="dxa"/>
          </w:tcPr>
          <w:p w14:paraId="65F23806"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AMD</w:t>
            </w:r>
          </w:p>
        </w:tc>
        <w:tc>
          <w:tcPr>
            <w:tcW w:w="8188" w:type="dxa"/>
          </w:tcPr>
          <w:p w14:paraId="185C36E4"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 xml:space="preserve">Age-related Macular </w:t>
            </w:r>
            <w:r w:rsidR="00D60A93" w:rsidRPr="00E5260B">
              <w:rPr>
                <w:rFonts w:ascii="Arial" w:eastAsia="Arial" w:hAnsi="Arial" w:cs="Arial"/>
              </w:rPr>
              <w:t>Degeneration</w:t>
            </w:r>
          </w:p>
        </w:tc>
      </w:tr>
      <w:tr w:rsidR="00087085" w:rsidRPr="00E5260B" w14:paraId="372889CF" w14:textId="77777777" w:rsidTr="00D10F47">
        <w:trPr>
          <w:trHeight w:val="340"/>
        </w:trPr>
        <w:tc>
          <w:tcPr>
            <w:tcW w:w="1843" w:type="dxa"/>
          </w:tcPr>
          <w:p w14:paraId="71EC84C0"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BIM</w:t>
            </w:r>
          </w:p>
        </w:tc>
        <w:tc>
          <w:tcPr>
            <w:tcW w:w="8188" w:type="dxa"/>
          </w:tcPr>
          <w:p w14:paraId="19ADAF3D"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Building Information Modelling</w:t>
            </w:r>
          </w:p>
        </w:tc>
      </w:tr>
      <w:tr w:rsidR="00087085" w:rsidRPr="00E5260B" w14:paraId="61A1FD22" w14:textId="77777777" w:rsidTr="00D10F47">
        <w:trPr>
          <w:trHeight w:val="340"/>
        </w:trPr>
        <w:tc>
          <w:tcPr>
            <w:tcW w:w="1843" w:type="dxa"/>
          </w:tcPr>
          <w:p w14:paraId="293B8B17"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BRC</w:t>
            </w:r>
          </w:p>
        </w:tc>
        <w:tc>
          <w:tcPr>
            <w:tcW w:w="8188" w:type="dxa"/>
          </w:tcPr>
          <w:p w14:paraId="6C53B05E"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Biomedical Research Centre</w:t>
            </w:r>
          </w:p>
        </w:tc>
      </w:tr>
      <w:tr w:rsidR="00087085" w:rsidRPr="00E5260B" w14:paraId="31D1226B" w14:textId="77777777" w:rsidTr="00D10F47">
        <w:trPr>
          <w:trHeight w:val="340"/>
        </w:trPr>
        <w:tc>
          <w:tcPr>
            <w:tcW w:w="1843" w:type="dxa"/>
          </w:tcPr>
          <w:p w14:paraId="1E78EC47"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BREEAM</w:t>
            </w:r>
          </w:p>
        </w:tc>
        <w:tc>
          <w:tcPr>
            <w:tcW w:w="8188" w:type="dxa"/>
          </w:tcPr>
          <w:p w14:paraId="200D1AFD"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Building Research Establishment Environmental Assessment Methodology</w:t>
            </w:r>
          </w:p>
        </w:tc>
      </w:tr>
      <w:tr w:rsidR="00087085" w:rsidRPr="00E5260B" w14:paraId="3B987409" w14:textId="77777777" w:rsidTr="00D10F47">
        <w:trPr>
          <w:trHeight w:val="340"/>
        </w:trPr>
        <w:tc>
          <w:tcPr>
            <w:tcW w:w="1843" w:type="dxa"/>
          </w:tcPr>
          <w:p w14:paraId="3F2239CA"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C&amp;I</w:t>
            </w:r>
          </w:p>
        </w:tc>
        <w:tc>
          <w:tcPr>
            <w:tcW w:w="8188" w:type="dxa"/>
          </w:tcPr>
          <w:p w14:paraId="1F0FC8D6"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 xml:space="preserve">Camden and Islington NHS Foundation </w:t>
            </w:r>
            <w:r w:rsidR="00FA2D12" w:rsidRPr="00E5260B">
              <w:rPr>
                <w:rFonts w:ascii="Arial" w:eastAsia="Arial" w:hAnsi="Arial" w:cs="Arial"/>
              </w:rPr>
              <w:t>trust</w:t>
            </w:r>
          </w:p>
        </w:tc>
      </w:tr>
      <w:tr w:rsidR="00087085" w:rsidRPr="00E5260B" w14:paraId="66C3A025" w14:textId="77777777" w:rsidTr="00D10F47">
        <w:trPr>
          <w:trHeight w:val="340"/>
        </w:trPr>
        <w:tc>
          <w:tcPr>
            <w:tcW w:w="1843" w:type="dxa"/>
          </w:tcPr>
          <w:p w14:paraId="62A8633F"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CCG</w:t>
            </w:r>
          </w:p>
        </w:tc>
        <w:tc>
          <w:tcPr>
            <w:tcW w:w="8188" w:type="dxa"/>
          </w:tcPr>
          <w:p w14:paraId="70F449E4"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Clinical Commissioning Group</w:t>
            </w:r>
          </w:p>
        </w:tc>
      </w:tr>
      <w:tr w:rsidR="00087085" w:rsidRPr="00E5260B" w14:paraId="6331EACF" w14:textId="77777777" w:rsidTr="00D10F47">
        <w:trPr>
          <w:trHeight w:val="340"/>
        </w:trPr>
        <w:tc>
          <w:tcPr>
            <w:tcW w:w="1843" w:type="dxa"/>
          </w:tcPr>
          <w:p w14:paraId="79E39011"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CIP</w:t>
            </w:r>
          </w:p>
        </w:tc>
        <w:tc>
          <w:tcPr>
            <w:tcW w:w="8188" w:type="dxa"/>
          </w:tcPr>
          <w:p w14:paraId="2A1ADA35"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Cost Improvement Plan</w:t>
            </w:r>
          </w:p>
        </w:tc>
      </w:tr>
      <w:tr w:rsidR="00087085" w:rsidRPr="00E5260B" w14:paraId="69ED7B97" w14:textId="77777777" w:rsidTr="00D10F47">
        <w:trPr>
          <w:trHeight w:val="340"/>
        </w:trPr>
        <w:tc>
          <w:tcPr>
            <w:tcW w:w="1843" w:type="dxa"/>
          </w:tcPr>
          <w:p w14:paraId="0D09F2F3"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CQC</w:t>
            </w:r>
          </w:p>
        </w:tc>
        <w:tc>
          <w:tcPr>
            <w:tcW w:w="8188" w:type="dxa"/>
          </w:tcPr>
          <w:p w14:paraId="51BA0F65"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Care Quality Commission</w:t>
            </w:r>
          </w:p>
        </w:tc>
      </w:tr>
      <w:tr w:rsidR="00087085" w:rsidRPr="00E5260B" w14:paraId="470919E7" w14:textId="77777777" w:rsidTr="00D10F47">
        <w:trPr>
          <w:trHeight w:val="340"/>
        </w:trPr>
        <w:tc>
          <w:tcPr>
            <w:tcW w:w="1843" w:type="dxa"/>
          </w:tcPr>
          <w:p w14:paraId="56AB5141"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DDA</w:t>
            </w:r>
          </w:p>
        </w:tc>
        <w:tc>
          <w:tcPr>
            <w:tcW w:w="8188" w:type="dxa"/>
          </w:tcPr>
          <w:p w14:paraId="05591F0E"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Disability Discrimination Act</w:t>
            </w:r>
          </w:p>
        </w:tc>
      </w:tr>
      <w:tr w:rsidR="00087085" w:rsidRPr="00E5260B" w14:paraId="28564565" w14:textId="77777777" w:rsidTr="00D10F47">
        <w:trPr>
          <w:trHeight w:val="340"/>
        </w:trPr>
        <w:tc>
          <w:tcPr>
            <w:tcW w:w="1843" w:type="dxa"/>
          </w:tcPr>
          <w:p w14:paraId="43338723"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DHSC</w:t>
            </w:r>
          </w:p>
        </w:tc>
        <w:tc>
          <w:tcPr>
            <w:tcW w:w="8188" w:type="dxa"/>
          </w:tcPr>
          <w:p w14:paraId="2AD429D9"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Department of Health and Social Care</w:t>
            </w:r>
          </w:p>
        </w:tc>
      </w:tr>
      <w:tr w:rsidR="00087085" w:rsidRPr="00E5260B" w14:paraId="275A22A0" w14:textId="77777777" w:rsidTr="00D10F47">
        <w:trPr>
          <w:trHeight w:val="340"/>
        </w:trPr>
        <w:tc>
          <w:tcPr>
            <w:tcW w:w="1843" w:type="dxa"/>
          </w:tcPr>
          <w:p w14:paraId="10B10C2F"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DMBC</w:t>
            </w:r>
          </w:p>
        </w:tc>
        <w:tc>
          <w:tcPr>
            <w:tcW w:w="8188" w:type="dxa"/>
          </w:tcPr>
          <w:p w14:paraId="732D2E67"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Decision-Making Business Case</w:t>
            </w:r>
          </w:p>
        </w:tc>
      </w:tr>
      <w:tr w:rsidR="00087085" w:rsidRPr="00E5260B" w14:paraId="68BB117C" w14:textId="77777777" w:rsidTr="00D10F47">
        <w:trPr>
          <w:trHeight w:val="340"/>
        </w:trPr>
        <w:tc>
          <w:tcPr>
            <w:tcW w:w="1843" w:type="dxa"/>
          </w:tcPr>
          <w:p w14:paraId="47EF1BAE"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DQI</w:t>
            </w:r>
          </w:p>
        </w:tc>
        <w:tc>
          <w:tcPr>
            <w:tcW w:w="8188" w:type="dxa"/>
          </w:tcPr>
          <w:p w14:paraId="3B05CDF5"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Design Quality Indicator</w:t>
            </w:r>
          </w:p>
        </w:tc>
      </w:tr>
      <w:tr w:rsidR="00087085" w:rsidRPr="00E5260B" w14:paraId="0EF52194" w14:textId="77777777" w:rsidTr="00D10F47">
        <w:trPr>
          <w:trHeight w:val="340"/>
        </w:trPr>
        <w:tc>
          <w:tcPr>
            <w:tcW w:w="1843" w:type="dxa"/>
          </w:tcPr>
          <w:p w14:paraId="6B9AA7F2"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EBITDA</w:t>
            </w:r>
          </w:p>
        </w:tc>
        <w:tc>
          <w:tcPr>
            <w:tcW w:w="8188" w:type="dxa"/>
          </w:tcPr>
          <w:p w14:paraId="2729F051"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Earnings Before Interest, Tax, Depreciation and Amortisation</w:t>
            </w:r>
          </w:p>
        </w:tc>
      </w:tr>
      <w:tr w:rsidR="00087085" w:rsidRPr="00E5260B" w14:paraId="28DF5E60" w14:textId="77777777" w:rsidTr="00D10F47">
        <w:trPr>
          <w:trHeight w:val="340"/>
        </w:trPr>
        <w:tc>
          <w:tcPr>
            <w:tcW w:w="1843" w:type="dxa"/>
          </w:tcPr>
          <w:p w14:paraId="6D15EF8C"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EIA</w:t>
            </w:r>
          </w:p>
        </w:tc>
        <w:tc>
          <w:tcPr>
            <w:tcW w:w="8188" w:type="dxa"/>
          </w:tcPr>
          <w:p w14:paraId="7D93C451"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Equality Impact Assessment</w:t>
            </w:r>
          </w:p>
        </w:tc>
      </w:tr>
      <w:tr w:rsidR="00087085" w:rsidRPr="00E5260B" w14:paraId="7BCD55E2" w14:textId="77777777" w:rsidTr="00D10F47">
        <w:trPr>
          <w:trHeight w:val="340"/>
        </w:trPr>
        <w:tc>
          <w:tcPr>
            <w:tcW w:w="1843" w:type="dxa"/>
          </w:tcPr>
          <w:p w14:paraId="1C344199"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FBC</w:t>
            </w:r>
          </w:p>
        </w:tc>
        <w:tc>
          <w:tcPr>
            <w:tcW w:w="8188" w:type="dxa"/>
          </w:tcPr>
          <w:p w14:paraId="1BC55151"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Full Business Case</w:t>
            </w:r>
          </w:p>
        </w:tc>
      </w:tr>
      <w:tr w:rsidR="00087085" w:rsidRPr="00E5260B" w14:paraId="0131F785" w14:textId="77777777" w:rsidTr="00D10F47">
        <w:trPr>
          <w:trHeight w:val="340"/>
        </w:trPr>
        <w:tc>
          <w:tcPr>
            <w:tcW w:w="1843" w:type="dxa"/>
          </w:tcPr>
          <w:p w14:paraId="0F64A78E"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FM</w:t>
            </w:r>
          </w:p>
        </w:tc>
        <w:tc>
          <w:tcPr>
            <w:tcW w:w="8188" w:type="dxa"/>
          </w:tcPr>
          <w:p w14:paraId="237CAE28"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Facilities Management</w:t>
            </w:r>
          </w:p>
        </w:tc>
      </w:tr>
      <w:tr w:rsidR="00087085" w:rsidRPr="00E5260B" w14:paraId="55C33926" w14:textId="77777777" w:rsidTr="00D10F47">
        <w:trPr>
          <w:trHeight w:val="340"/>
        </w:trPr>
        <w:tc>
          <w:tcPr>
            <w:tcW w:w="1843" w:type="dxa"/>
          </w:tcPr>
          <w:p w14:paraId="74F16BA0"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FRR</w:t>
            </w:r>
          </w:p>
        </w:tc>
        <w:tc>
          <w:tcPr>
            <w:tcW w:w="8188" w:type="dxa"/>
          </w:tcPr>
          <w:p w14:paraId="6CBACFCF"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Financial Risk Rating</w:t>
            </w:r>
          </w:p>
        </w:tc>
      </w:tr>
      <w:tr w:rsidR="00087085" w:rsidRPr="00E5260B" w14:paraId="67345987" w14:textId="77777777" w:rsidTr="00D10F47">
        <w:trPr>
          <w:trHeight w:val="340"/>
        </w:trPr>
        <w:tc>
          <w:tcPr>
            <w:tcW w:w="1843" w:type="dxa"/>
          </w:tcPr>
          <w:p w14:paraId="3D7457DF"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FTE</w:t>
            </w:r>
          </w:p>
        </w:tc>
        <w:tc>
          <w:tcPr>
            <w:tcW w:w="8188" w:type="dxa"/>
          </w:tcPr>
          <w:p w14:paraId="335BE386"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Full Time Equivalent</w:t>
            </w:r>
          </w:p>
        </w:tc>
      </w:tr>
      <w:tr w:rsidR="00087085" w:rsidRPr="00E5260B" w14:paraId="226FFEC2" w14:textId="77777777" w:rsidTr="00D10F47">
        <w:trPr>
          <w:trHeight w:val="340"/>
        </w:trPr>
        <w:tc>
          <w:tcPr>
            <w:tcW w:w="1843" w:type="dxa"/>
          </w:tcPr>
          <w:p w14:paraId="5E5B85AE"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FY</w:t>
            </w:r>
          </w:p>
        </w:tc>
        <w:tc>
          <w:tcPr>
            <w:tcW w:w="8188" w:type="dxa"/>
          </w:tcPr>
          <w:p w14:paraId="782444CA"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Financial Year, e.g. FY19 means 2018/19</w:t>
            </w:r>
          </w:p>
        </w:tc>
      </w:tr>
      <w:tr w:rsidR="00087085" w:rsidRPr="00E5260B" w14:paraId="1F8DE986" w14:textId="77777777" w:rsidTr="00D10F47">
        <w:trPr>
          <w:trHeight w:val="340"/>
        </w:trPr>
        <w:tc>
          <w:tcPr>
            <w:tcW w:w="1843" w:type="dxa"/>
          </w:tcPr>
          <w:p w14:paraId="3D8D183E"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FYFV</w:t>
            </w:r>
          </w:p>
        </w:tc>
        <w:tc>
          <w:tcPr>
            <w:tcW w:w="8188" w:type="dxa"/>
          </w:tcPr>
          <w:p w14:paraId="68E7CC1A"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Fiver Year Forward View</w:t>
            </w:r>
          </w:p>
        </w:tc>
      </w:tr>
      <w:tr w:rsidR="00087085" w:rsidRPr="00E5260B" w14:paraId="6312128D" w14:textId="77777777" w:rsidTr="00D10F47">
        <w:trPr>
          <w:trHeight w:val="340"/>
        </w:trPr>
        <w:tc>
          <w:tcPr>
            <w:tcW w:w="1843" w:type="dxa"/>
          </w:tcPr>
          <w:p w14:paraId="2244789F"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GIFA</w:t>
            </w:r>
          </w:p>
        </w:tc>
        <w:tc>
          <w:tcPr>
            <w:tcW w:w="8188" w:type="dxa"/>
          </w:tcPr>
          <w:p w14:paraId="37D4356B"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Gross Internal Floor Area</w:t>
            </w:r>
          </w:p>
        </w:tc>
      </w:tr>
      <w:tr w:rsidR="00087085" w:rsidRPr="00E5260B" w14:paraId="752C5FB8" w14:textId="77777777" w:rsidTr="00D10F47">
        <w:trPr>
          <w:trHeight w:val="340"/>
        </w:trPr>
        <w:tc>
          <w:tcPr>
            <w:tcW w:w="1843" w:type="dxa"/>
          </w:tcPr>
          <w:p w14:paraId="475E8C68"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GIRFT</w:t>
            </w:r>
          </w:p>
        </w:tc>
        <w:tc>
          <w:tcPr>
            <w:tcW w:w="8188" w:type="dxa"/>
          </w:tcPr>
          <w:p w14:paraId="113D3BD0"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Getting It Right First Time</w:t>
            </w:r>
          </w:p>
        </w:tc>
      </w:tr>
      <w:tr w:rsidR="00087085" w:rsidRPr="00E5260B" w14:paraId="11A04165" w14:textId="77777777" w:rsidTr="00D10F47">
        <w:trPr>
          <w:trHeight w:val="340"/>
        </w:trPr>
        <w:tc>
          <w:tcPr>
            <w:tcW w:w="1843" w:type="dxa"/>
          </w:tcPr>
          <w:p w14:paraId="426108C9"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GMP</w:t>
            </w:r>
          </w:p>
        </w:tc>
        <w:tc>
          <w:tcPr>
            <w:tcW w:w="8188" w:type="dxa"/>
          </w:tcPr>
          <w:p w14:paraId="1F9AD313"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Guaranteed Maximum Price</w:t>
            </w:r>
          </w:p>
        </w:tc>
      </w:tr>
      <w:tr w:rsidR="00087085" w:rsidRPr="00E5260B" w14:paraId="24239A6A" w14:textId="77777777" w:rsidTr="00D10F47">
        <w:trPr>
          <w:trHeight w:val="340"/>
        </w:trPr>
        <w:tc>
          <w:tcPr>
            <w:tcW w:w="1843" w:type="dxa"/>
          </w:tcPr>
          <w:p w14:paraId="4BF969BA"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GSL</w:t>
            </w:r>
          </w:p>
        </w:tc>
        <w:tc>
          <w:tcPr>
            <w:tcW w:w="8188" w:type="dxa"/>
          </w:tcPr>
          <w:p w14:paraId="3A59DA97"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Government Soft Landings</w:t>
            </w:r>
          </w:p>
        </w:tc>
      </w:tr>
      <w:tr w:rsidR="00087085" w:rsidRPr="00E5260B" w14:paraId="73C43999" w14:textId="77777777" w:rsidTr="00D10F47">
        <w:trPr>
          <w:trHeight w:val="340"/>
        </w:trPr>
        <w:tc>
          <w:tcPr>
            <w:tcW w:w="1843" w:type="dxa"/>
          </w:tcPr>
          <w:p w14:paraId="04E799E5"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HBN</w:t>
            </w:r>
          </w:p>
        </w:tc>
        <w:tc>
          <w:tcPr>
            <w:tcW w:w="8188" w:type="dxa"/>
          </w:tcPr>
          <w:p w14:paraId="4407A14F"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Health Building Note</w:t>
            </w:r>
          </w:p>
        </w:tc>
      </w:tr>
      <w:tr w:rsidR="00087085" w:rsidRPr="00E5260B" w14:paraId="70553FCF" w14:textId="77777777" w:rsidTr="00D10F47">
        <w:trPr>
          <w:trHeight w:val="340"/>
        </w:trPr>
        <w:tc>
          <w:tcPr>
            <w:tcW w:w="1843" w:type="dxa"/>
          </w:tcPr>
          <w:p w14:paraId="49E2A3FC"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HTM</w:t>
            </w:r>
          </w:p>
        </w:tc>
        <w:tc>
          <w:tcPr>
            <w:tcW w:w="8188" w:type="dxa"/>
          </w:tcPr>
          <w:p w14:paraId="16B9C8B3"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Health Technical Memorandum</w:t>
            </w:r>
          </w:p>
        </w:tc>
      </w:tr>
      <w:tr w:rsidR="00087085" w:rsidRPr="00E5260B" w14:paraId="6E5E2AD4" w14:textId="77777777" w:rsidTr="00D10F47">
        <w:trPr>
          <w:trHeight w:val="340"/>
        </w:trPr>
        <w:tc>
          <w:tcPr>
            <w:tcW w:w="1843" w:type="dxa"/>
          </w:tcPr>
          <w:p w14:paraId="117DDEAA"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HWB</w:t>
            </w:r>
          </w:p>
        </w:tc>
        <w:tc>
          <w:tcPr>
            <w:tcW w:w="8188" w:type="dxa"/>
          </w:tcPr>
          <w:p w14:paraId="24D3D9FB"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Health and Wellbeing Board</w:t>
            </w:r>
          </w:p>
        </w:tc>
      </w:tr>
      <w:tr w:rsidR="00087085" w:rsidRPr="00E5260B" w14:paraId="654F7DC3" w14:textId="77777777" w:rsidTr="00D10F47">
        <w:trPr>
          <w:trHeight w:val="340"/>
        </w:trPr>
        <w:tc>
          <w:tcPr>
            <w:tcW w:w="1843" w:type="dxa"/>
          </w:tcPr>
          <w:p w14:paraId="2D9DED25"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I&amp;E</w:t>
            </w:r>
          </w:p>
        </w:tc>
        <w:tc>
          <w:tcPr>
            <w:tcW w:w="8188" w:type="dxa"/>
          </w:tcPr>
          <w:p w14:paraId="1E9F6E19"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Income and Expenditure</w:t>
            </w:r>
          </w:p>
        </w:tc>
      </w:tr>
      <w:tr w:rsidR="00087085" w:rsidRPr="00E5260B" w14:paraId="61A3A7C6" w14:textId="77777777" w:rsidTr="00D10F47">
        <w:trPr>
          <w:trHeight w:val="340"/>
        </w:trPr>
        <w:tc>
          <w:tcPr>
            <w:tcW w:w="1843" w:type="dxa"/>
          </w:tcPr>
          <w:p w14:paraId="35988306"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IMD</w:t>
            </w:r>
          </w:p>
        </w:tc>
        <w:tc>
          <w:tcPr>
            <w:tcW w:w="8188" w:type="dxa"/>
          </w:tcPr>
          <w:p w14:paraId="36E74736"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Index of Multiple Deprivation</w:t>
            </w:r>
          </w:p>
        </w:tc>
      </w:tr>
      <w:tr w:rsidR="002412EA" w:rsidRPr="00E5260B" w14:paraId="6BC3D9EB" w14:textId="77777777" w:rsidTr="00D10F47">
        <w:trPr>
          <w:trHeight w:val="340"/>
        </w:trPr>
        <w:tc>
          <w:tcPr>
            <w:tcW w:w="1843" w:type="dxa"/>
          </w:tcPr>
          <w:p w14:paraId="5E6849DE" w14:textId="77777777" w:rsidR="002412EA" w:rsidRPr="00E5260B" w:rsidRDefault="002412EA" w:rsidP="00730491">
            <w:pPr>
              <w:spacing w:after="0" w:line="240" w:lineRule="auto"/>
              <w:rPr>
                <w:rFonts w:ascii="Arial" w:eastAsia="Arial" w:hAnsi="Arial" w:cs="Arial"/>
              </w:rPr>
            </w:pPr>
            <w:r w:rsidRPr="00E5260B">
              <w:rPr>
                <w:rFonts w:ascii="Arial" w:eastAsia="Arial" w:hAnsi="Arial" w:cs="Arial"/>
              </w:rPr>
              <w:t>IoO</w:t>
            </w:r>
          </w:p>
        </w:tc>
        <w:tc>
          <w:tcPr>
            <w:tcW w:w="8188" w:type="dxa"/>
          </w:tcPr>
          <w:p w14:paraId="61E6BBEA" w14:textId="77777777" w:rsidR="002412EA" w:rsidRPr="00E5260B" w:rsidRDefault="002412EA" w:rsidP="00730491">
            <w:pPr>
              <w:spacing w:after="0" w:line="240" w:lineRule="auto"/>
              <w:rPr>
                <w:rFonts w:ascii="Arial" w:eastAsia="Arial" w:hAnsi="Arial" w:cs="Arial"/>
              </w:rPr>
            </w:pPr>
            <w:r w:rsidRPr="00E5260B">
              <w:rPr>
                <w:rFonts w:ascii="Arial" w:eastAsia="Arial" w:hAnsi="Arial" w:cs="Arial"/>
              </w:rPr>
              <w:t>Institute of Ophthalmology</w:t>
            </w:r>
          </w:p>
        </w:tc>
      </w:tr>
      <w:tr w:rsidR="00087085" w:rsidRPr="00E5260B" w14:paraId="305C34EA" w14:textId="77777777" w:rsidTr="00D10F47">
        <w:trPr>
          <w:trHeight w:val="340"/>
        </w:trPr>
        <w:tc>
          <w:tcPr>
            <w:tcW w:w="1843" w:type="dxa"/>
          </w:tcPr>
          <w:p w14:paraId="538C0B60"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JHOSC</w:t>
            </w:r>
          </w:p>
        </w:tc>
        <w:tc>
          <w:tcPr>
            <w:tcW w:w="8188" w:type="dxa"/>
          </w:tcPr>
          <w:p w14:paraId="3E9D3738"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Joint Health Overview and Scrutiny Committee</w:t>
            </w:r>
          </w:p>
        </w:tc>
      </w:tr>
      <w:tr w:rsidR="002412EA" w:rsidRPr="00E5260B" w14:paraId="6E6635F5" w14:textId="77777777" w:rsidTr="00D10F47">
        <w:trPr>
          <w:trHeight w:val="340"/>
        </w:trPr>
        <w:tc>
          <w:tcPr>
            <w:tcW w:w="1843" w:type="dxa"/>
          </w:tcPr>
          <w:p w14:paraId="5C66B91E" w14:textId="77777777" w:rsidR="002412EA" w:rsidRPr="00E5260B" w:rsidRDefault="002412EA" w:rsidP="00DD1752">
            <w:pPr>
              <w:spacing w:after="0" w:line="240" w:lineRule="auto"/>
              <w:rPr>
                <w:rFonts w:ascii="Arial" w:eastAsia="Arial" w:hAnsi="Arial" w:cs="Arial"/>
              </w:rPr>
            </w:pPr>
            <w:r w:rsidRPr="00E5260B">
              <w:rPr>
                <w:rFonts w:ascii="Arial" w:eastAsia="Arial" w:hAnsi="Arial" w:cs="Arial"/>
              </w:rPr>
              <w:t>JDV</w:t>
            </w:r>
          </w:p>
        </w:tc>
        <w:tc>
          <w:tcPr>
            <w:tcW w:w="8188" w:type="dxa"/>
          </w:tcPr>
          <w:p w14:paraId="6BD89202" w14:textId="77777777" w:rsidR="002412EA" w:rsidRPr="00E5260B" w:rsidRDefault="002412EA" w:rsidP="00DD1752">
            <w:pPr>
              <w:spacing w:after="0" w:line="240" w:lineRule="auto"/>
              <w:rPr>
                <w:rFonts w:ascii="Arial" w:eastAsia="Arial" w:hAnsi="Arial" w:cs="Arial"/>
              </w:rPr>
            </w:pPr>
            <w:r w:rsidRPr="00E5260B">
              <w:rPr>
                <w:rFonts w:ascii="Arial" w:eastAsia="Arial" w:hAnsi="Arial" w:cs="Arial"/>
              </w:rPr>
              <w:t>Joint Development Vehicle</w:t>
            </w:r>
          </w:p>
        </w:tc>
      </w:tr>
      <w:tr w:rsidR="00087085" w:rsidRPr="00E5260B" w14:paraId="03604ECC" w14:textId="77777777" w:rsidTr="00D10F47">
        <w:trPr>
          <w:trHeight w:val="340"/>
        </w:trPr>
        <w:tc>
          <w:tcPr>
            <w:tcW w:w="1843" w:type="dxa"/>
          </w:tcPr>
          <w:p w14:paraId="6230F31C"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JV</w:t>
            </w:r>
          </w:p>
        </w:tc>
        <w:tc>
          <w:tcPr>
            <w:tcW w:w="8188" w:type="dxa"/>
          </w:tcPr>
          <w:p w14:paraId="0AEB63CC"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Joint Venture</w:t>
            </w:r>
          </w:p>
        </w:tc>
      </w:tr>
      <w:tr w:rsidR="00087085" w:rsidRPr="00E5260B" w14:paraId="2F75BBCE" w14:textId="77777777" w:rsidTr="00D10F47">
        <w:trPr>
          <w:trHeight w:val="340"/>
        </w:trPr>
        <w:tc>
          <w:tcPr>
            <w:tcW w:w="1843" w:type="dxa"/>
          </w:tcPr>
          <w:p w14:paraId="20BB98BD"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LA</w:t>
            </w:r>
          </w:p>
        </w:tc>
        <w:tc>
          <w:tcPr>
            <w:tcW w:w="8188" w:type="dxa"/>
          </w:tcPr>
          <w:p w14:paraId="57DF6014"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Local Authority</w:t>
            </w:r>
          </w:p>
        </w:tc>
      </w:tr>
      <w:tr w:rsidR="00087085" w:rsidRPr="00E5260B" w14:paraId="0813386E" w14:textId="77777777" w:rsidTr="00D10F47">
        <w:trPr>
          <w:trHeight w:val="340"/>
        </w:trPr>
        <w:tc>
          <w:tcPr>
            <w:tcW w:w="1843" w:type="dxa"/>
          </w:tcPr>
          <w:p w14:paraId="52B28DD3"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LTFM</w:t>
            </w:r>
          </w:p>
        </w:tc>
        <w:tc>
          <w:tcPr>
            <w:tcW w:w="8188" w:type="dxa"/>
          </w:tcPr>
          <w:p w14:paraId="26F7B624"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Long Term Financial Model</w:t>
            </w:r>
          </w:p>
        </w:tc>
      </w:tr>
      <w:tr w:rsidR="00087085" w:rsidRPr="00E5260B" w14:paraId="72AA1171" w14:textId="77777777" w:rsidTr="00D10F47">
        <w:trPr>
          <w:trHeight w:val="340"/>
        </w:trPr>
        <w:tc>
          <w:tcPr>
            <w:tcW w:w="1843" w:type="dxa"/>
          </w:tcPr>
          <w:p w14:paraId="64689406"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MEC</w:t>
            </w:r>
          </w:p>
        </w:tc>
        <w:tc>
          <w:tcPr>
            <w:tcW w:w="8188" w:type="dxa"/>
          </w:tcPr>
          <w:p w14:paraId="1B038FA3"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Moorfields Eye Charity</w:t>
            </w:r>
          </w:p>
        </w:tc>
      </w:tr>
      <w:tr w:rsidR="00087085" w:rsidRPr="00E5260B" w14:paraId="16D37FFA" w14:textId="77777777" w:rsidTr="00D10F47">
        <w:trPr>
          <w:trHeight w:val="340"/>
        </w:trPr>
        <w:tc>
          <w:tcPr>
            <w:tcW w:w="1843" w:type="dxa"/>
          </w:tcPr>
          <w:p w14:paraId="016C02DB"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NCL</w:t>
            </w:r>
          </w:p>
        </w:tc>
        <w:tc>
          <w:tcPr>
            <w:tcW w:w="8188" w:type="dxa"/>
          </w:tcPr>
          <w:p w14:paraId="27B64721"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North Central London</w:t>
            </w:r>
          </w:p>
        </w:tc>
      </w:tr>
      <w:tr w:rsidR="00087085" w:rsidRPr="00E5260B" w14:paraId="082DBE14" w14:textId="77777777" w:rsidTr="00D10F47">
        <w:trPr>
          <w:trHeight w:val="340"/>
        </w:trPr>
        <w:tc>
          <w:tcPr>
            <w:tcW w:w="1843" w:type="dxa"/>
          </w:tcPr>
          <w:p w14:paraId="4AE167A2"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lastRenderedPageBreak/>
              <w:t>NHSE</w:t>
            </w:r>
            <w:r w:rsidR="00E07D96" w:rsidRPr="00E5260B">
              <w:rPr>
                <w:rFonts w:ascii="Arial" w:eastAsia="Arial" w:hAnsi="Arial" w:cs="Arial"/>
              </w:rPr>
              <w:t>/I</w:t>
            </w:r>
          </w:p>
        </w:tc>
        <w:tc>
          <w:tcPr>
            <w:tcW w:w="8188" w:type="dxa"/>
          </w:tcPr>
          <w:p w14:paraId="445190D3"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NHS England</w:t>
            </w:r>
            <w:r w:rsidR="00E07D96" w:rsidRPr="00E5260B">
              <w:rPr>
                <w:rFonts w:ascii="Arial" w:eastAsia="Arial" w:hAnsi="Arial" w:cs="Arial"/>
              </w:rPr>
              <w:t xml:space="preserve"> and Improvement</w:t>
            </w:r>
          </w:p>
        </w:tc>
      </w:tr>
      <w:tr w:rsidR="00E5260B" w:rsidRPr="00E5260B" w14:paraId="60616956" w14:textId="77777777" w:rsidTr="00D10F47">
        <w:trPr>
          <w:trHeight w:val="340"/>
        </w:trPr>
        <w:tc>
          <w:tcPr>
            <w:tcW w:w="1843" w:type="dxa"/>
          </w:tcPr>
          <w:p w14:paraId="35DA0B5C" w14:textId="58D4FDDD" w:rsidR="00E5260B" w:rsidRPr="00E5260B" w:rsidRDefault="00E5260B" w:rsidP="00DD1752">
            <w:pPr>
              <w:spacing w:after="0" w:line="240" w:lineRule="auto"/>
              <w:rPr>
                <w:rFonts w:ascii="Arial" w:eastAsia="Arial" w:hAnsi="Arial" w:cs="Arial"/>
              </w:rPr>
            </w:pPr>
            <w:r>
              <w:rPr>
                <w:rFonts w:ascii="Arial" w:eastAsia="Arial" w:hAnsi="Arial" w:cs="Arial"/>
              </w:rPr>
              <w:t>NPSV</w:t>
            </w:r>
          </w:p>
        </w:tc>
        <w:tc>
          <w:tcPr>
            <w:tcW w:w="8188" w:type="dxa"/>
          </w:tcPr>
          <w:p w14:paraId="08F2A99C" w14:textId="4B698969" w:rsidR="00E5260B" w:rsidRPr="00E5260B" w:rsidRDefault="00E5260B" w:rsidP="00DD1752">
            <w:pPr>
              <w:spacing w:after="0" w:line="240" w:lineRule="auto"/>
              <w:rPr>
                <w:rFonts w:ascii="Arial" w:eastAsia="Arial" w:hAnsi="Arial" w:cs="Arial"/>
              </w:rPr>
            </w:pPr>
            <w:r>
              <w:rPr>
                <w:rFonts w:ascii="Arial" w:eastAsia="Arial" w:hAnsi="Arial" w:cs="Arial"/>
              </w:rPr>
              <w:t>Net Present Social Value</w:t>
            </w:r>
          </w:p>
        </w:tc>
      </w:tr>
      <w:tr w:rsidR="00087085" w:rsidRPr="00E5260B" w14:paraId="211F09E1" w14:textId="77777777" w:rsidTr="00D10F47">
        <w:trPr>
          <w:trHeight w:val="340"/>
        </w:trPr>
        <w:tc>
          <w:tcPr>
            <w:tcW w:w="1843" w:type="dxa"/>
          </w:tcPr>
          <w:p w14:paraId="5DE1CD6C"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OBC</w:t>
            </w:r>
          </w:p>
        </w:tc>
        <w:tc>
          <w:tcPr>
            <w:tcW w:w="8188" w:type="dxa"/>
          </w:tcPr>
          <w:p w14:paraId="3A927F01"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Outline Business Case</w:t>
            </w:r>
          </w:p>
        </w:tc>
      </w:tr>
      <w:tr w:rsidR="00857596" w:rsidRPr="00E5260B" w14:paraId="6863A714" w14:textId="77777777" w:rsidTr="00D10F47">
        <w:trPr>
          <w:trHeight w:val="340"/>
        </w:trPr>
        <w:tc>
          <w:tcPr>
            <w:tcW w:w="1843" w:type="dxa"/>
          </w:tcPr>
          <w:p w14:paraId="3ECABF46" w14:textId="77777777" w:rsidR="00857596" w:rsidRPr="00E5260B" w:rsidRDefault="00857596" w:rsidP="00DD1752">
            <w:pPr>
              <w:spacing w:after="0" w:line="240" w:lineRule="auto"/>
              <w:rPr>
                <w:rFonts w:ascii="Arial" w:eastAsia="Arial" w:hAnsi="Arial" w:cs="Arial"/>
              </w:rPr>
            </w:pPr>
            <w:r w:rsidRPr="00E5260B">
              <w:rPr>
                <w:rFonts w:ascii="Arial" w:eastAsia="Arial" w:hAnsi="Arial" w:cs="Arial"/>
              </w:rPr>
              <w:t>OJEU</w:t>
            </w:r>
          </w:p>
        </w:tc>
        <w:tc>
          <w:tcPr>
            <w:tcW w:w="8188" w:type="dxa"/>
          </w:tcPr>
          <w:p w14:paraId="0318C5A9" w14:textId="77777777" w:rsidR="00857596" w:rsidRPr="00E5260B" w:rsidRDefault="00857596" w:rsidP="00DD1752">
            <w:pPr>
              <w:spacing w:after="0" w:line="240" w:lineRule="auto"/>
              <w:rPr>
                <w:rFonts w:ascii="Arial" w:eastAsia="Arial" w:hAnsi="Arial" w:cs="Arial"/>
              </w:rPr>
            </w:pPr>
            <w:r w:rsidRPr="00E5260B">
              <w:rPr>
                <w:rFonts w:ascii="Arial" w:eastAsia="Arial" w:hAnsi="Arial" w:cs="Arial"/>
              </w:rPr>
              <w:t>Official Journal of the European Union</w:t>
            </w:r>
          </w:p>
        </w:tc>
      </w:tr>
      <w:tr w:rsidR="002412EA" w:rsidRPr="00E5260B" w14:paraId="70887C69" w14:textId="77777777" w:rsidTr="00D10F47">
        <w:trPr>
          <w:trHeight w:val="340"/>
        </w:trPr>
        <w:tc>
          <w:tcPr>
            <w:tcW w:w="1843" w:type="dxa"/>
          </w:tcPr>
          <w:p w14:paraId="520D9D6F" w14:textId="77777777" w:rsidR="002412EA" w:rsidRPr="00E5260B" w:rsidRDefault="002412EA" w:rsidP="00DD1752">
            <w:pPr>
              <w:spacing w:after="0" w:line="240" w:lineRule="auto"/>
              <w:rPr>
                <w:rFonts w:ascii="Arial" w:eastAsia="Arial" w:hAnsi="Arial" w:cs="Arial"/>
              </w:rPr>
            </w:pPr>
            <w:r w:rsidRPr="00E5260B">
              <w:rPr>
                <w:rFonts w:ascii="Arial" w:eastAsia="Arial" w:hAnsi="Arial" w:cs="Arial"/>
              </w:rPr>
              <w:t>OpCo</w:t>
            </w:r>
          </w:p>
        </w:tc>
        <w:tc>
          <w:tcPr>
            <w:tcW w:w="8188" w:type="dxa"/>
          </w:tcPr>
          <w:p w14:paraId="6F5D7CC5" w14:textId="77777777" w:rsidR="002412EA" w:rsidRPr="00E5260B" w:rsidRDefault="002412EA" w:rsidP="00DD1752">
            <w:pPr>
              <w:spacing w:after="0" w:line="240" w:lineRule="auto"/>
              <w:rPr>
                <w:rFonts w:ascii="Arial" w:eastAsia="Arial" w:hAnsi="Arial" w:cs="Arial"/>
              </w:rPr>
            </w:pPr>
            <w:r w:rsidRPr="00E5260B">
              <w:rPr>
                <w:rFonts w:ascii="Arial" w:eastAsia="Arial" w:hAnsi="Arial" w:cs="Arial"/>
              </w:rPr>
              <w:t>Operating Company</w:t>
            </w:r>
          </w:p>
        </w:tc>
      </w:tr>
      <w:tr w:rsidR="00087085" w:rsidRPr="00E5260B" w14:paraId="4CB36650" w14:textId="77777777" w:rsidTr="00D10F47">
        <w:trPr>
          <w:trHeight w:val="340"/>
        </w:trPr>
        <w:tc>
          <w:tcPr>
            <w:tcW w:w="1843" w:type="dxa"/>
          </w:tcPr>
          <w:p w14:paraId="3F19C93F"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P22</w:t>
            </w:r>
          </w:p>
        </w:tc>
        <w:tc>
          <w:tcPr>
            <w:tcW w:w="8188" w:type="dxa"/>
          </w:tcPr>
          <w:p w14:paraId="5B4A4E87"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ProCure 22</w:t>
            </w:r>
          </w:p>
        </w:tc>
      </w:tr>
      <w:tr w:rsidR="00087085" w:rsidRPr="00E5260B" w14:paraId="6845C5A5" w14:textId="77777777" w:rsidTr="00D10F47">
        <w:trPr>
          <w:trHeight w:val="340"/>
        </w:trPr>
        <w:tc>
          <w:tcPr>
            <w:tcW w:w="1843" w:type="dxa"/>
          </w:tcPr>
          <w:p w14:paraId="1968D9AA"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PCBC</w:t>
            </w:r>
          </w:p>
        </w:tc>
        <w:tc>
          <w:tcPr>
            <w:tcW w:w="8188" w:type="dxa"/>
          </w:tcPr>
          <w:p w14:paraId="667316FD"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Pre-Consultation Business Case</w:t>
            </w:r>
          </w:p>
        </w:tc>
      </w:tr>
      <w:tr w:rsidR="00087085" w:rsidRPr="00E5260B" w14:paraId="3BA84EE5" w14:textId="77777777" w:rsidTr="00D10F47">
        <w:trPr>
          <w:trHeight w:val="340"/>
        </w:trPr>
        <w:tc>
          <w:tcPr>
            <w:tcW w:w="1843" w:type="dxa"/>
          </w:tcPr>
          <w:p w14:paraId="57BC2DB2"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PDC</w:t>
            </w:r>
          </w:p>
        </w:tc>
        <w:tc>
          <w:tcPr>
            <w:tcW w:w="8188" w:type="dxa"/>
          </w:tcPr>
          <w:p w14:paraId="6931EEF0"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Public Dividend Capital</w:t>
            </w:r>
          </w:p>
        </w:tc>
      </w:tr>
      <w:tr w:rsidR="00087085" w:rsidRPr="00E5260B" w14:paraId="3105FC07" w14:textId="77777777" w:rsidTr="00D10F47">
        <w:trPr>
          <w:trHeight w:val="340"/>
        </w:trPr>
        <w:tc>
          <w:tcPr>
            <w:tcW w:w="1843" w:type="dxa"/>
          </w:tcPr>
          <w:p w14:paraId="42E77BA3"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PEST</w:t>
            </w:r>
          </w:p>
        </w:tc>
        <w:tc>
          <w:tcPr>
            <w:tcW w:w="8188" w:type="dxa"/>
          </w:tcPr>
          <w:p w14:paraId="457EEAE4"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Political, Economic, Sociological and Technological analysis</w:t>
            </w:r>
          </w:p>
        </w:tc>
      </w:tr>
      <w:tr w:rsidR="00087085" w:rsidRPr="00E5260B" w14:paraId="2F1D7826" w14:textId="77777777" w:rsidTr="00D10F47">
        <w:trPr>
          <w:trHeight w:val="340"/>
        </w:trPr>
        <w:tc>
          <w:tcPr>
            <w:tcW w:w="1843" w:type="dxa"/>
          </w:tcPr>
          <w:p w14:paraId="4DA27228"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PMO</w:t>
            </w:r>
          </w:p>
        </w:tc>
        <w:tc>
          <w:tcPr>
            <w:tcW w:w="8188" w:type="dxa"/>
          </w:tcPr>
          <w:p w14:paraId="6C024BA9"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Project Management Office</w:t>
            </w:r>
          </w:p>
        </w:tc>
      </w:tr>
      <w:tr w:rsidR="002412EA" w:rsidRPr="00E5260B" w14:paraId="2CB5DCCB" w14:textId="77777777" w:rsidTr="00D10F47">
        <w:trPr>
          <w:trHeight w:val="340"/>
        </w:trPr>
        <w:tc>
          <w:tcPr>
            <w:tcW w:w="1843" w:type="dxa"/>
          </w:tcPr>
          <w:p w14:paraId="1897170F" w14:textId="77777777" w:rsidR="002412EA" w:rsidRPr="00E5260B" w:rsidRDefault="002412EA" w:rsidP="00DD1752">
            <w:pPr>
              <w:spacing w:after="0" w:line="240" w:lineRule="auto"/>
              <w:rPr>
                <w:rFonts w:ascii="Arial" w:eastAsia="Arial" w:hAnsi="Arial" w:cs="Arial"/>
              </w:rPr>
            </w:pPr>
            <w:r w:rsidRPr="00E5260B">
              <w:rPr>
                <w:rFonts w:ascii="Arial" w:eastAsia="Arial" w:hAnsi="Arial" w:cs="Arial"/>
              </w:rPr>
              <w:t>PropCo</w:t>
            </w:r>
          </w:p>
        </w:tc>
        <w:tc>
          <w:tcPr>
            <w:tcW w:w="8188" w:type="dxa"/>
          </w:tcPr>
          <w:p w14:paraId="775C5856" w14:textId="77777777" w:rsidR="002412EA" w:rsidRPr="00E5260B" w:rsidRDefault="002412EA" w:rsidP="00DD1752">
            <w:pPr>
              <w:spacing w:after="0" w:line="240" w:lineRule="auto"/>
              <w:rPr>
                <w:rFonts w:ascii="Arial" w:eastAsia="Arial" w:hAnsi="Arial" w:cs="Arial"/>
              </w:rPr>
            </w:pPr>
            <w:r w:rsidRPr="00E5260B">
              <w:rPr>
                <w:rFonts w:ascii="Arial" w:eastAsia="Arial" w:hAnsi="Arial" w:cs="Arial"/>
              </w:rPr>
              <w:t>Property Company</w:t>
            </w:r>
          </w:p>
        </w:tc>
      </w:tr>
      <w:tr w:rsidR="00087085" w:rsidRPr="00E5260B" w14:paraId="29C5A25E" w14:textId="77777777" w:rsidTr="00D10F47">
        <w:trPr>
          <w:trHeight w:val="340"/>
        </w:trPr>
        <w:tc>
          <w:tcPr>
            <w:tcW w:w="1843" w:type="dxa"/>
          </w:tcPr>
          <w:p w14:paraId="57E433D5"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REF</w:t>
            </w:r>
          </w:p>
        </w:tc>
        <w:tc>
          <w:tcPr>
            <w:tcW w:w="8188" w:type="dxa"/>
          </w:tcPr>
          <w:p w14:paraId="68A55548"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Research Excellence Framework</w:t>
            </w:r>
          </w:p>
        </w:tc>
      </w:tr>
      <w:tr w:rsidR="00087085" w:rsidRPr="00E5260B" w14:paraId="15F7DC11" w14:textId="77777777" w:rsidTr="00D10F47">
        <w:trPr>
          <w:trHeight w:val="340"/>
        </w:trPr>
        <w:tc>
          <w:tcPr>
            <w:tcW w:w="1843" w:type="dxa"/>
          </w:tcPr>
          <w:p w14:paraId="1DF2C99D"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RDCEC</w:t>
            </w:r>
          </w:p>
        </w:tc>
        <w:tc>
          <w:tcPr>
            <w:tcW w:w="8188" w:type="dxa"/>
          </w:tcPr>
          <w:p w14:paraId="062D613C"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Richard Desmond Children’s Eye Centre</w:t>
            </w:r>
          </w:p>
        </w:tc>
      </w:tr>
      <w:tr w:rsidR="00087085" w:rsidRPr="00E5260B" w14:paraId="006D71B3" w14:textId="77777777" w:rsidTr="00D10F47">
        <w:trPr>
          <w:trHeight w:val="340"/>
        </w:trPr>
        <w:tc>
          <w:tcPr>
            <w:tcW w:w="1843" w:type="dxa"/>
          </w:tcPr>
          <w:p w14:paraId="60C24487"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RIBA</w:t>
            </w:r>
          </w:p>
        </w:tc>
        <w:tc>
          <w:tcPr>
            <w:tcW w:w="8188" w:type="dxa"/>
          </w:tcPr>
          <w:p w14:paraId="17CBCC68"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 xml:space="preserve">Royal Institute of </w:t>
            </w:r>
            <w:r w:rsidR="00D60A93" w:rsidRPr="00E5260B">
              <w:rPr>
                <w:rFonts w:ascii="Arial" w:eastAsia="Arial" w:hAnsi="Arial" w:cs="Arial"/>
              </w:rPr>
              <w:t>British</w:t>
            </w:r>
            <w:r w:rsidRPr="00E5260B">
              <w:rPr>
                <w:rFonts w:ascii="Arial" w:eastAsia="Arial" w:hAnsi="Arial" w:cs="Arial"/>
              </w:rPr>
              <w:t xml:space="preserve"> Architects</w:t>
            </w:r>
          </w:p>
        </w:tc>
      </w:tr>
      <w:tr w:rsidR="00087085" w:rsidRPr="00E5260B" w14:paraId="004DD30D" w14:textId="77777777" w:rsidTr="00D10F47">
        <w:trPr>
          <w:trHeight w:val="340"/>
        </w:trPr>
        <w:tc>
          <w:tcPr>
            <w:tcW w:w="1843" w:type="dxa"/>
          </w:tcPr>
          <w:p w14:paraId="01AF912F"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RNIB</w:t>
            </w:r>
          </w:p>
        </w:tc>
        <w:tc>
          <w:tcPr>
            <w:tcW w:w="8188" w:type="dxa"/>
          </w:tcPr>
          <w:p w14:paraId="4761718C"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Royal National Institute for the Blind</w:t>
            </w:r>
          </w:p>
        </w:tc>
      </w:tr>
      <w:tr w:rsidR="00087085" w:rsidRPr="00E5260B" w14:paraId="4E7A835A" w14:textId="77777777" w:rsidTr="00D10F47">
        <w:trPr>
          <w:trHeight w:val="340"/>
        </w:trPr>
        <w:tc>
          <w:tcPr>
            <w:tcW w:w="1843" w:type="dxa"/>
          </w:tcPr>
          <w:p w14:paraId="44A65404"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RTT</w:t>
            </w:r>
          </w:p>
        </w:tc>
        <w:tc>
          <w:tcPr>
            <w:tcW w:w="8188" w:type="dxa"/>
          </w:tcPr>
          <w:p w14:paraId="3BF2036F"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Referral to Treat</w:t>
            </w:r>
          </w:p>
        </w:tc>
      </w:tr>
      <w:tr w:rsidR="003C5DEA" w:rsidRPr="00E5260B" w14:paraId="2D42D0A3" w14:textId="77777777" w:rsidTr="00D10F47">
        <w:trPr>
          <w:trHeight w:val="340"/>
        </w:trPr>
        <w:tc>
          <w:tcPr>
            <w:tcW w:w="1843" w:type="dxa"/>
          </w:tcPr>
          <w:p w14:paraId="4D0DFF38" w14:textId="77777777" w:rsidR="003C5DEA" w:rsidRPr="00E5260B" w:rsidRDefault="003C5DEA" w:rsidP="00DD1752">
            <w:pPr>
              <w:spacing w:after="0" w:line="240" w:lineRule="auto"/>
              <w:rPr>
                <w:rFonts w:ascii="Arial" w:eastAsia="Arial" w:hAnsi="Arial" w:cs="Arial"/>
              </w:rPr>
            </w:pPr>
            <w:r w:rsidRPr="00E5260B">
              <w:rPr>
                <w:rFonts w:ascii="Arial" w:eastAsia="Arial" w:hAnsi="Arial" w:cs="Arial"/>
              </w:rPr>
              <w:t>SEP</w:t>
            </w:r>
          </w:p>
        </w:tc>
        <w:tc>
          <w:tcPr>
            <w:tcW w:w="8188" w:type="dxa"/>
          </w:tcPr>
          <w:p w14:paraId="2D04D3EC" w14:textId="77777777" w:rsidR="003C5DEA" w:rsidRPr="00E5260B" w:rsidRDefault="003C5DEA" w:rsidP="00DD1752">
            <w:pPr>
              <w:spacing w:after="0" w:line="240" w:lineRule="auto"/>
              <w:rPr>
                <w:rFonts w:ascii="Arial" w:eastAsia="Arial" w:hAnsi="Arial" w:cs="Arial"/>
              </w:rPr>
            </w:pPr>
            <w:r w:rsidRPr="00E5260B">
              <w:rPr>
                <w:rFonts w:ascii="Arial" w:eastAsia="Arial" w:hAnsi="Arial" w:cs="Arial"/>
              </w:rPr>
              <w:t>Strategic Estates Partnership</w:t>
            </w:r>
          </w:p>
        </w:tc>
      </w:tr>
      <w:tr w:rsidR="00087085" w:rsidRPr="00E5260B" w14:paraId="681526D4" w14:textId="77777777" w:rsidTr="00D10F47">
        <w:trPr>
          <w:trHeight w:val="340"/>
        </w:trPr>
        <w:tc>
          <w:tcPr>
            <w:tcW w:w="1843" w:type="dxa"/>
          </w:tcPr>
          <w:p w14:paraId="774AD720"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SOC</w:t>
            </w:r>
          </w:p>
        </w:tc>
        <w:tc>
          <w:tcPr>
            <w:tcW w:w="8188" w:type="dxa"/>
          </w:tcPr>
          <w:p w14:paraId="0D2BE5A2"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Strategic Outline Case</w:t>
            </w:r>
          </w:p>
        </w:tc>
      </w:tr>
      <w:tr w:rsidR="00087085" w:rsidRPr="00E5260B" w14:paraId="48C9E813" w14:textId="77777777" w:rsidTr="00D10F47">
        <w:trPr>
          <w:trHeight w:val="340"/>
        </w:trPr>
        <w:tc>
          <w:tcPr>
            <w:tcW w:w="1843" w:type="dxa"/>
          </w:tcPr>
          <w:p w14:paraId="0E7F8EF3"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SPV</w:t>
            </w:r>
          </w:p>
        </w:tc>
        <w:tc>
          <w:tcPr>
            <w:tcW w:w="8188" w:type="dxa"/>
          </w:tcPr>
          <w:p w14:paraId="4E9BC463"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Special Purpose Vehicle</w:t>
            </w:r>
          </w:p>
        </w:tc>
      </w:tr>
      <w:tr w:rsidR="00087085" w:rsidRPr="00E5260B" w14:paraId="22DF7A2F" w14:textId="77777777" w:rsidTr="00D10F47">
        <w:trPr>
          <w:trHeight w:val="340"/>
        </w:trPr>
        <w:tc>
          <w:tcPr>
            <w:tcW w:w="1843" w:type="dxa"/>
          </w:tcPr>
          <w:p w14:paraId="04D90024"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STP</w:t>
            </w:r>
          </w:p>
        </w:tc>
        <w:tc>
          <w:tcPr>
            <w:tcW w:w="8188" w:type="dxa"/>
          </w:tcPr>
          <w:p w14:paraId="13E71363"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Sustainability and Transformation Partnership</w:t>
            </w:r>
          </w:p>
        </w:tc>
      </w:tr>
      <w:tr w:rsidR="00E5260B" w:rsidRPr="00E5260B" w14:paraId="30398D7F" w14:textId="77777777" w:rsidTr="00D10F47">
        <w:trPr>
          <w:trHeight w:val="340"/>
        </w:trPr>
        <w:tc>
          <w:tcPr>
            <w:tcW w:w="1843" w:type="dxa"/>
          </w:tcPr>
          <w:p w14:paraId="2E92EF16" w14:textId="38E758E1" w:rsidR="00E5260B" w:rsidRPr="00E5260B" w:rsidRDefault="00E5260B" w:rsidP="00DD1752">
            <w:pPr>
              <w:spacing w:after="0" w:line="240" w:lineRule="auto"/>
              <w:rPr>
                <w:rFonts w:ascii="Arial" w:eastAsia="Arial" w:hAnsi="Arial" w:cs="Arial"/>
              </w:rPr>
            </w:pPr>
            <w:r>
              <w:rPr>
                <w:rFonts w:ascii="Arial" w:eastAsia="Arial" w:hAnsi="Arial" w:cs="Arial"/>
              </w:rPr>
              <w:t>QIPP</w:t>
            </w:r>
          </w:p>
        </w:tc>
        <w:tc>
          <w:tcPr>
            <w:tcW w:w="8188" w:type="dxa"/>
          </w:tcPr>
          <w:p w14:paraId="55EAEAAB" w14:textId="09F1ADC3" w:rsidR="00E5260B" w:rsidRPr="00E5260B" w:rsidRDefault="00E5260B" w:rsidP="00DD1752">
            <w:pPr>
              <w:spacing w:after="0" w:line="240" w:lineRule="auto"/>
              <w:rPr>
                <w:rFonts w:ascii="Arial" w:eastAsia="Arial" w:hAnsi="Arial" w:cs="Arial"/>
              </w:rPr>
            </w:pPr>
            <w:r>
              <w:rPr>
                <w:rFonts w:ascii="Arial" w:eastAsia="Arial" w:hAnsi="Arial" w:cs="Arial"/>
              </w:rPr>
              <w:t>Quality, Innovation, Productivity and Prevention</w:t>
            </w:r>
          </w:p>
        </w:tc>
      </w:tr>
      <w:tr w:rsidR="00087085" w:rsidRPr="00E5260B" w14:paraId="3A46703E" w14:textId="77777777" w:rsidTr="00D10F47">
        <w:trPr>
          <w:trHeight w:val="340"/>
        </w:trPr>
        <w:tc>
          <w:tcPr>
            <w:tcW w:w="1843" w:type="dxa"/>
          </w:tcPr>
          <w:p w14:paraId="725F1FE8"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UCL</w:t>
            </w:r>
          </w:p>
        </w:tc>
        <w:tc>
          <w:tcPr>
            <w:tcW w:w="8188" w:type="dxa"/>
          </w:tcPr>
          <w:p w14:paraId="46580862"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University College London</w:t>
            </w:r>
          </w:p>
        </w:tc>
      </w:tr>
      <w:tr w:rsidR="00087085" w:rsidRPr="00E5260B" w14:paraId="198BB791" w14:textId="77777777" w:rsidTr="00D10F47">
        <w:trPr>
          <w:trHeight w:val="340"/>
        </w:trPr>
        <w:tc>
          <w:tcPr>
            <w:tcW w:w="1843" w:type="dxa"/>
          </w:tcPr>
          <w:p w14:paraId="3B4CCFCB"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WHT</w:t>
            </w:r>
          </w:p>
        </w:tc>
        <w:tc>
          <w:tcPr>
            <w:tcW w:w="8188" w:type="dxa"/>
          </w:tcPr>
          <w:p w14:paraId="0CCC6D59" w14:textId="77777777" w:rsidR="00087085" w:rsidRPr="00E5260B" w:rsidRDefault="00087085" w:rsidP="00DD1752">
            <w:pPr>
              <w:spacing w:after="0" w:line="240" w:lineRule="auto"/>
              <w:rPr>
                <w:rFonts w:ascii="Arial" w:eastAsia="Arial" w:hAnsi="Arial" w:cs="Arial"/>
              </w:rPr>
            </w:pPr>
            <w:r w:rsidRPr="00E5260B">
              <w:rPr>
                <w:rFonts w:ascii="Arial" w:eastAsia="Arial" w:hAnsi="Arial" w:cs="Arial"/>
              </w:rPr>
              <w:t xml:space="preserve">Whittington Health NHS Foundation </w:t>
            </w:r>
            <w:r w:rsidR="00FA2D12" w:rsidRPr="00E5260B">
              <w:rPr>
                <w:rFonts w:ascii="Arial" w:eastAsia="Arial" w:hAnsi="Arial" w:cs="Arial"/>
              </w:rPr>
              <w:t>trust</w:t>
            </w:r>
          </w:p>
        </w:tc>
      </w:tr>
    </w:tbl>
    <w:p w14:paraId="200DED0D" w14:textId="77777777" w:rsidR="00087085" w:rsidRPr="00587DF1" w:rsidRDefault="00087085" w:rsidP="00E47761">
      <w:pPr>
        <w:spacing w:after="0" w:line="240" w:lineRule="auto"/>
        <w:rPr>
          <w:rFonts w:ascii="Arial" w:eastAsia="Arial" w:hAnsi="Arial" w:cs="Arial"/>
        </w:rPr>
      </w:pPr>
    </w:p>
    <w:p w14:paraId="514BC81D" w14:textId="77777777" w:rsidR="00087085" w:rsidRPr="00587DF1" w:rsidRDefault="00087085">
      <w:pPr>
        <w:rPr>
          <w:rFonts w:ascii="Arial" w:eastAsia="Arial" w:hAnsi="Arial" w:cs="Arial"/>
        </w:rPr>
      </w:pPr>
      <w:r w:rsidRPr="00587DF1">
        <w:rPr>
          <w:rFonts w:ascii="Arial" w:eastAsia="Arial" w:hAnsi="Arial" w:cs="Arial"/>
        </w:rPr>
        <w:br w:type="page"/>
      </w:r>
    </w:p>
    <w:p w14:paraId="6348E9CF" w14:textId="77777777" w:rsidR="00587DF1" w:rsidRDefault="00E47761" w:rsidP="005E0D57">
      <w:pPr>
        <w:pStyle w:val="Heading1"/>
        <w:numPr>
          <w:ilvl w:val="0"/>
          <w:numId w:val="1"/>
        </w:numPr>
        <w:ind w:hanging="720"/>
        <w:rPr>
          <w:rFonts w:ascii="Arial" w:eastAsia="Arial" w:hAnsi="Arial" w:cs="Arial"/>
        </w:rPr>
      </w:pPr>
      <w:bookmarkStart w:id="0" w:name="_Toc32842660"/>
      <w:r w:rsidRPr="00587DF1">
        <w:rPr>
          <w:rFonts w:ascii="Arial" w:eastAsia="Arial" w:hAnsi="Arial" w:cs="Arial"/>
        </w:rPr>
        <w:lastRenderedPageBreak/>
        <w:t>Executive summary</w:t>
      </w:r>
      <w:bookmarkEnd w:id="0"/>
    </w:p>
    <w:p w14:paraId="7F3E8BE7" w14:textId="77777777" w:rsidR="00587DF1" w:rsidRPr="00587DF1" w:rsidRDefault="00587DF1" w:rsidP="00587DF1"/>
    <w:p w14:paraId="1D8A17BA" w14:textId="77777777" w:rsidR="00587DF1" w:rsidRPr="00587DF1" w:rsidRDefault="00587DF1" w:rsidP="005E0D57">
      <w:pPr>
        <w:pStyle w:val="Heading2"/>
        <w:numPr>
          <w:ilvl w:val="1"/>
          <w:numId w:val="1"/>
        </w:numPr>
        <w:rPr>
          <w:rFonts w:ascii="Arial" w:eastAsia="Arial" w:hAnsi="Arial" w:cs="Arial"/>
        </w:rPr>
      </w:pPr>
      <w:bookmarkStart w:id="1" w:name="_Toc32842661"/>
      <w:r w:rsidRPr="00587DF1">
        <w:rPr>
          <w:rFonts w:ascii="Arial" w:eastAsia="Arial" w:hAnsi="Arial" w:cs="Arial"/>
        </w:rPr>
        <w:t>Introduction</w:t>
      </w:r>
      <w:bookmarkEnd w:id="1"/>
    </w:p>
    <w:p w14:paraId="55BD0952" w14:textId="77777777" w:rsidR="00587DF1" w:rsidRDefault="00587DF1" w:rsidP="00587DF1">
      <w:pPr>
        <w:spacing w:after="0"/>
        <w:rPr>
          <w:rFonts w:ascii="Arial" w:eastAsia="Arial" w:hAnsi="Arial" w:cs="Arial"/>
        </w:rPr>
      </w:pPr>
    </w:p>
    <w:p w14:paraId="501B64F5" w14:textId="62E0B5AE" w:rsidR="00587DF1" w:rsidRPr="00587DF1" w:rsidRDefault="00587DF1" w:rsidP="00587DF1">
      <w:pPr>
        <w:spacing w:after="0"/>
        <w:rPr>
          <w:rFonts w:ascii="Arial" w:eastAsia="Arial" w:hAnsi="Arial" w:cs="Arial"/>
        </w:rPr>
      </w:pPr>
      <w:r w:rsidRPr="00587DF1">
        <w:rPr>
          <w:rFonts w:ascii="Arial" w:eastAsia="Arial" w:hAnsi="Arial" w:cs="Arial"/>
        </w:rPr>
        <w:t>This Outline Business Case (OBC) sets out the case for investment in the relocation of Moorfields’ ophthalmology services from their current location at City Road, to a new centre on the St Pancras Hospital site. This new centre will deliver integrated clinical, research and education services. The project is known as Oriel.</w:t>
      </w:r>
    </w:p>
    <w:p w14:paraId="45FCE07F" w14:textId="77777777" w:rsidR="00587DF1" w:rsidRPr="00587DF1" w:rsidRDefault="00587DF1" w:rsidP="00587DF1">
      <w:pPr>
        <w:spacing w:after="0"/>
        <w:rPr>
          <w:rFonts w:ascii="Arial" w:eastAsia="Arial" w:hAnsi="Arial" w:cs="Arial"/>
        </w:rPr>
      </w:pPr>
    </w:p>
    <w:p w14:paraId="113D4BA5" w14:textId="1B6ADA06" w:rsidR="00587DF1" w:rsidRPr="00587DF1" w:rsidRDefault="00570EAB" w:rsidP="00587DF1">
      <w:pPr>
        <w:spacing w:after="0"/>
        <w:rPr>
          <w:rFonts w:ascii="Arial" w:eastAsia="Arial" w:hAnsi="Arial" w:cs="Arial"/>
        </w:rPr>
      </w:pPr>
      <w:r>
        <w:rPr>
          <w:rFonts w:ascii="Arial" w:eastAsia="Arial" w:hAnsi="Arial" w:cs="Arial"/>
        </w:rPr>
        <w:t>Oriel</w:t>
      </w:r>
      <w:r w:rsidR="00587DF1" w:rsidRPr="00587DF1">
        <w:rPr>
          <w:rFonts w:ascii="Arial" w:eastAsia="Arial" w:hAnsi="Arial" w:cs="Arial"/>
        </w:rPr>
        <w:t xml:space="preserve"> is a joint project between Moorfields Eye Hospital NHS Foundation Trust (Moorfields)</w:t>
      </w:r>
      <w:r w:rsidR="00975CD0">
        <w:rPr>
          <w:rFonts w:ascii="Arial" w:eastAsia="Arial" w:hAnsi="Arial" w:cs="Arial"/>
        </w:rPr>
        <w:t xml:space="preserve"> and</w:t>
      </w:r>
      <w:r w:rsidR="00587DF1" w:rsidRPr="00587DF1">
        <w:rPr>
          <w:rFonts w:ascii="Arial" w:eastAsia="Arial" w:hAnsi="Arial" w:cs="Arial"/>
        </w:rPr>
        <w:t xml:space="preserve"> the University College London (UCL) Institute of Ophthalmology (IoO)</w:t>
      </w:r>
      <w:r w:rsidR="00975CD0">
        <w:rPr>
          <w:rFonts w:ascii="Arial" w:eastAsia="Arial" w:hAnsi="Arial" w:cs="Arial"/>
        </w:rPr>
        <w:t xml:space="preserve">, </w:t>
      </w:r>
      <w:r w:rsidR="00975CD0" w:rsidRPr="00587DF1">
        <w:rPr>
          <w:rFonts w:ascii="Arial" w:eastAsia="Arial" w:hAnsi="Arial" w:cs="Arial"/>
        </w:rPr>
        <w:t>referred to as ‘the partners’</w:t>
      </w:r>
      <w:r w:rsidR="00975CD0">
        <w:rPr>
          <w:rFonts w:ascii="Arial" w:eastAsia="Arial" w:hAnsi="Arial" w:cs="Arial"/>
        </w:rPr>
        <w:t xml:space="preserve">. </w:t>
      </w:r>
      <w:r w:rsidR="00587DF1" w:rsidRPr="00587DF1">
        <w:rPr>
          <w:rFonts w:ascii="Arial" w:eastAsia="Arial" w:hAnsi="Arial" w:cs="Arial"/>
        </w:rPr>
        <w:t xml:space="preserve">Moorfields and UCL IoO will occupy the building, and while </w:t>
      </w:r>
      <w:r>
        <w:rPr>
          <w:rFonts w:ascii="Arial" w:eastAsia="Arial" w:hAnsi="Arial" w:cs="Arial"/>
        </w:rPr>
        <w:t>the partners</w:t>
      </w:r>
      <w:r w:rsidR="00587DF1" w:rsidRPr="00587DF1">
        <w:rPr>
          <w:rFonts w:ascii="Arial" w:eastAsia="Arial" w:hAnsi="Arial" w:cs="Arial"/>
        </w:rPr>
        <w:t xml:space="preserve"> will split the capital and revenue costs according to area occupied, the vision for the project is that the two organisations be truly integrated. </w:t>
      </w:r>
      <w:r w:rsidR="00975CD0" w:rsidRPr="00587DF1">
        <w:rPr>
          <w:rFonts w:ascii="Arial" w:eastAsia="Arial" w:hAnsi="Arial" w:cs="Arial"/>
        </w:rPr>
        <w:t>Moorfields Eye Charity (MEC)</w:t>
      </w:r>
      <w:r w:rsidR="00975CD0">
        <w:rPr>
          <w:rFonts w:ascii="Arial" w:eastAsia="Arial" w:hAnsi="Arial" w:cs="Arial"/>
        </w:rPr>
        <w:t xml:space="preserve"> are an important </w:t>
      </w:r>
      <w:r>
        <w:rPr>
          <w:rFonts w:ascii="Arial" w:eastAsia="Arial" w:hAnsi="Arial" w:cs="Arial"/>
        </w:rPr>
        <w:t>contributor</w:t>
      </w:r>
      <w:r w:rsidR="00975CD0">
        <w:rPr>
          <w:rFonts w:ascii="Arial" w:eastAsia="Arial" w:hAnsi="Arial" w:cs="Arial"/>
        </w:rPr>
        <w:t xml:space="preserve"> </w:t>
      </w:r>
      <w:r>
        <w:rPr>
          <w:rFonts w:ascii="Arial" w:eastAsia="Arial" w:hAnsi="Arial" w:cs="Arial"/>
        </w:rPr>
        <w:t xml:space="preserve">to </w:t>
      </w:r>
      <w:r w:rsidR="00975CD0">
        <w:rPr>
          <w:rFonts w:ascii="Arial" w:eastAsia="Arial" w:hAnsi="Arial" w:cs="Arial"/>
        </w:rPr>
        <w:t xml:space="preserve">the project, and have </w:t>
      </w:r>
      <w:r w:rsidR="00587DF1" w:rsidRPr="00587DF1">
        <w:rPr>
          <w:rFonts w:ascii="Arial" w:eastAsia="Arial" w:hAnsi="Arial" w:cs="Arial"/>
        </w:rPr>
        <w:t>committed to raise capital and revenue funds for both Moorfields and UCL.</w:t>
      </w:r>
    </w:p>
    <w:p w14:paraId="778BB4CE" w14:textId="77777777" w:rsidR="00587DF1" w:rsidRPr="00587DF1" w:rsidRDefault="00587DF1" w:rsidP="00587DF1">
      <w:pPr>
        <w:spacing w:after="0"/>
        <w:rPr>
          <w:rFonts w:ascii="Arial" w:eastAsia="Arial" w:hAnsi="Arial" w:cs="Arial"/>
        </w:rPr>
      </w:pPr>
    </w:p>
    <w:p w14:paraId="45A4480F" w14:textId="3E0059FA" w:rsidR="00587DF1" w:rsidRPr="00587DF1" w:rsidRDefault="00587DF1" w:rsidP="00587DF1">
      <w:pPr>
        <w:spacing w:after="0"/>
        <w:rPr>
          <w:rFonts w:ascii="Arial" w:eastAsia="Arial" w:hAnsi="Arial" w:cs="Arial"/>
        </w:rPr>
      </w:pPr>
      <w:r w:rsidRPr="00587DF1">
        <w:rPr>
          <w:rFonts w:ascii="Arial" w:eastAsia="Arial" w:hAnsi="Arial" w:cs="Arial"/>
        </w:rPr>
        <w:t xml:space="preserve">The total capital cost of the project </w:t>
      </w:r>
      <w:r w:rsidR="00F92B17">
        <w:rPr>
          <w:rFonts w:ascii="Arial" w:eastAsia="Arial" w:hAnsi="Arial" w:cs="Arial"/>
        </w:rPr>
        <w:t>to Moorfields</w:t>
      </w:r>
      <w:r w:rsidRPr="00587DF1">
        <w:rPr>
          <w:rFonts w:ascii="Arial" w:eastAsia="Arial" w:hAnsi="Arial" w:cs="Arial"/>
        </w:rPr>
        <w:t xml:space="preserve"> is </w:t>
      </w:r>
      <w:r w:rsidR="006B30A3">
        <w:rPr>
          <w:rFonts w:ascii="Arial" w:eastAsia="Arial" w:hAnsi="Arial" w:cs="Arial"/>
          <w:b/>
          <w:bCs/>
        </w:rPr>
        <w:t>£</w:t>
      </w:r>
      <w:r w:rsidR="00AC38C4">
        <w:rPr>
          <w:rFonts w:ascii="Arial" w:eastAsia="Arial" w:hAnsi="Arial" w:cs="Arial"/>
          <w:b/>
          <w:bCs/>
        </w:rPr>
        <w:t>XXX</w:t>
      </w:r>
      <w:r w:rsidRPr="00587DF1">
        <w:rPr>
          <w:rFonts w:ascii="Arial" w:eastAsia="Arial" w:hAnsi="Arial" w:cs="Arial"/>
          <w:b/>
          <w:bCs/>
        </w:rPr>
        <w:t>m</w:t>
      </w:r>
      <w:r w:rsidRPr="00587DF1">
        <w:rPr>
          <w:rFonts w:ascii="Arial" w:eastAsia="Arial" w:hAnsi="Arial" w:cs="Arial"/>
        </w:rPr>
        <w:t>.</w:t>
      </w:r>
    </w:p>
    <w:p w14:paraId="4A6D3FCA" w14:textId="77777777" w:rsidR="00587DF1" w:rsidRPr="00587DF1" w:rsidRDefault="00587DF1" w:rsidP="00587DF1">
      <w:pPr>
        <w:spacing w:after="0"/>
        <w:rPr>
          <w:rFonts w:ascii="Arial" w:eastAsia="Arial" w:hAnsi="Arial" w:cs="Arial"/>
        </w:rPr>
      </w:pPr>
    </w:p>
    <w:p w14:paraId="5C350824" w14:textId="2A6A3607" w:rsidR="00587DF1" w:rsidRDefault="00587DF1" w:rsidP="00587DF1">
      <w:pPr>
        <w:spacing w:after="0"/>
        <w:rPr>
          <w:rFonts w:ascii="Arial" w:eastAsia="Arial" w:hAnsi="Arial" w:cs="Arial"/>
        </w:rPr>
      </w:pPr>
      <w:r w:rsidRPr="00587DF1">
        <w:rPr>
          <w:rFonts w:ascii="Arial" w:eastAsia="Arial" w:hAnsi="Arial" w:cs="Arial"/>
        </w:rPr>
        <w:t xml:space="preserve">This OBC follows the SOC (also called the Land Acquisition Business Case) which was approved by NHSI in January 2018, and the public consultation on the proposals which was undertaken </w:t>
      </w:r>
      <w:r w:rsidR="00C9177D">
        <w:rPr>
          <w:rFonts w:ascii="Arial" w:eastAsia="Arial" w:hAnsi="Arial" w:cs="Arial"/>
        </w:rPr>
        <w:t>from</w:t>
      </w:r>
      <w:r w:rsidRPr="00587DF1">
        <w:rPr>
          <w:rFonts w:ascii="Arial" w:eastAsia="Arial" w:hAnsi="Arial" w:cs="Arial"/>
        </w:rPr>
        <w:t xml:space="preserve"> May</w:t>
      </w:r>
      <w:r w:rsidR="00C9177D">
        <w:rPr>
          <w:rFonts w:ascii="Arial" w:eastAsia="Arial" w:hAnsi="Arial" w:cs="Arial"/>
        </w:rPr>
        <w:t xml:space="preserve"> to </w:t>
      </w:r>
      <w:r w:rsidRPr="00587DF1">
        <w:rPr>
          <w:rFonts w:ascii="Arial" w:eastAsia="Arial" w:hAnsi="Arial" w:cs="Arial"/>
        </w:rPr>
        <w:t>September 2019.</w:t>
      </w:r>
      <w:r w:rsidR="00570EAB">
        <w:rPr>
          <w:rFonts w:ascii="Arial" w:eastAsia="Arial" w:hAnsi="Arial" w:cs="Arial"/>
        </w:rPr>
        <w:t xml:space="preserve"> A Decision-Making Business Case (DMBC) on the </w:t>
      </w:r>
      <w:r w:rsidR="00570EAB" w:rsidRPr="00D76672">
        <w:rPr>
          <w:rFonts w:ascii="Arial" w:eastAsia="Arial" w:hAnsi="Arial" w:cs="Arial"/>
        </w:rPr>
        <w:t>consultation was approved by commissioners on 12 February 2020.</w:t>
      </w:r>
    </w:p>
    <w:p w14:paraId="47A77D90" w14:textId="7F88E10A" w:rsidR="00C23C98" w:rsidRDefault="00C23C98" w:rsidP="00587DF1">
      <w:pPr>
        <w:spacing w:after="0"/>
        <w:rPr>
          <w:rFonts w:ascii="Arial" w:eastAsia="Arial" w:hAnsi="Arial" w:cs="Arial"/>
        </w:rPr>
      </w:pPr>
    </w:p>
    <w:p w14:paraId="412E33C5" w14:textId="4F226402" w:rsidR="00C23C98" w:rsidRPr="00C23C98" w:rsidRDefault="00C23C98" w:rsidP="00587DF1">
      <w:pPr>
        <w:spacing w:after="0"/>
        <w:rPr>
          <w:rFonts w:ascii="Arial" w:eastAsia="Arial" w:hAnsi="Arial" w:cs="Arial"/>
          <w:b/>
          <w:bCs/>
        </w:rPr>
      </w:pPr>
      <w:r w:rsidRPr="00C23C98">
        <w:rPr>
          <w:rFonts w:ascii="Arial" w:eastAsia="Arial" w:hAnsi="Arial" w:cs="Arial"/>
          <w:b/>
          <w:bCs/>
        </w:rPr>
        <w:t xml:space="preserve">Trust Board </w:t>
      </w:r>
      <w:r w:rsidR="0009374F">
        <w:rPr>
          <w:rFonts w:ascii="Arial" w:eastAsia="Arial" w:hAnsi="Arial" w:cs="Arial"/>
          <w:b/>
          <w:bCs/>
        </w:rPr>
        <w:t>approved the following on 27 February 2020</w:t>
      </w:r>
      <w:r w:rsidRPr="00C23C98">
        <w:rPr>
          <w:rFonts w:ascii="Arial" w:eastAsia="Arial" w:hAnsi="Arial" w:cs="Arial"/>
          <w:b/>
          <w:bCs/>
        </w:rPr>
        <w:t>:</w:t>
      </w:r>
    </w:p>
    <w:p w14:paraId="389B6463" w14:textId="5C19EF6E" w:rsidR="00C23C98" w:rsidRDefault="00C23C98" w:rsidP="004F4B79">
      <w:pPr>
        <w:pStyle w:val="ListParagraph"/>
        <w:numPr>
          <w:ilvl w:val="0"/>
          <w:numId w:val="164"/>
        </w:numPr>
        <w:spacing w:after="0"/>
        <w:rPr>
          <w:rFonts w:ascii="Arial" w:eastAsia="Arial" w:hAnsi="Arial" w:cs="Arial"/>
          <w:b/>
          <w:bCs/>
        </w:rPr>
      </w:pPr>
      <w:r>
        <w:rPr>
          <w:rFonts w:ascii="Arial" w:eastAsia="Arial" w:hAnsi="Arial" w:cs="Arial"/>
          <w:b/>
          <w:bCs/>
        </w:rPr>
        <w:t>Approve</w:t>
      </w:r>
      <w:r w:rsidR="0009374F">
        <w:rPr>
          <w:rFonts w:ascii="Arial" w:eastAsia="Arial" w:hAnsi="Arial" w:cs="Arial"/>
          <w:b/>
          <w:bCs/>
        </w:rPr>
        <w:t>d</w:t>
      </w:r>
      <w:r>
        <w:rPr>
          <w:rFonts w:ascii="Arial" w:eastAsia="Arial" w:hAnsi="Arial" w:cs="Arial"/>
          <w:b/>
          <w:bCs/>
        </w:rPr>
        <w:t xml:space="preserve"> </w:t>
      </w:r>
      <w:r w:rsidR="00CA07CA">
        <w:rPr>
          <w:rFonts w:ascii="Arial" w:eastAsia="Arial" w:hAnsi="Arial" w:cs="Arial"/>
          <w:b/>
          <w:bCs/>
        </w:rPr>
        <w:t>version 1.0 of this OBC</w:t>
      </w:r>
      <w:r>
        <w:rPr>
          <w:rFonts w:ascii="Arial" w:eastAsia="Arial" w:hAnsi="Arial" w:cs="Arial"/>
          <w:b/>
          <w:bCs/>
        </w:rPr>
        <w:t>, for submission to NHSE/I and DHSC</w:t>
      </w:r>
      <w:r w:rsidR="00CA07CA">
        <w:rPr>
          <w:rFonts w:ascii="Arial" w:eastAsia="Arial" w:hAnsi="Arial" w:cs="Arial"/>
          <w:b/>
          <w:bCs/>
        </w:rPr>
        <w:t xml:space="preserve"> to undertake their assurance process.</w:t>
      </w:r>
    </w:p>
    <w:p w14:paraId="3F75D868" w14:textId="2E88ADC1" w:rsidR="00C23C98" w:rsidRPr="00C23C98" w:rsidRDefault="00C23C98" w:rsidP="004F4B79">
      <w:pPr>
        <w:pStyle w:val="ListParagraph"/>
        <w:numPr>
          <w:ilvl w:val="0"/>
          <w:numId w:val="164"/>
        </w:numPr>
        <w:spacing w:after="0"/>
        <w:rPr>
          <w:rFonts w:ascii="Arial" w:eastAsia="Arial" w:hAnsi="Arial" w:cs="Arial"/>
          <w:b/>
          <w:bCs/>
        </w:rPr>
      </w:pPr>
      <w:r>
        <w:rPr>
          <w:rFonts w:ascii="Arial" w:eastAsia="Arial" w:hAnsi="Arial" w:cs="Arial"/>
          <w:b/>
          <w:bCs/>
        </w:rPr>
        <w:t>Approve</w:t>
      </w:r>
      <w:r w:rsidR="0009374F">
        <w:rPr>
          <w:rFonts w:ascii="Arial" w:eastAsia="Arial" w:hAnsi="Arial" w:cs="Arial"/>
          <w:b/>
          <w:bCs/>
        </w:rPr>
        <w:t>d</w:t>
      </w:r>
      <w:r>
        <w:rPr>
          <w:rFonts w:ascii="Arial" w:eastAsia="Arial" w:hAnsi="Arial" w:cs="Arial"/>
          <w:b/>
          <w:bCs/>
        </w:rPr>
        <w:t xml:space="preserve"> the spend of £</w:t>
      </w:r>
      <w:r w:rsidR="00AC38C4">
        <w:rPr>
          <w:rFonts w:ascii="Arial" w:eastAsia="Arial" w:hAnsi="Arial" w:cs="Arial"/>
          <w:b/>
          <w:bCs/>
        </w:rPr>
        <w:t>XXX</w:t>
      </w:r>
      <w:r>
        <w:rPr>
          <w:rFonts w:ascii="Arial" w:eastAsia="Arial" w:hAnsi="Arial" w:cs="Arial"/>
          <w:b/>
          <w:bCs/>
        </w:rPr>
        <w:t>m of fees prior to FBC approval</w:t>
      </w:r>
      <w:r w:rsidR="0009374F">
        <w:rPr>
          <w:rFonts w:ascii="Arial" w:eastAsia="Arial" w:hAnsi="Arial" w:cs="Arial"/>
          <w:b/>
          <w:bCs/>
        </w:rPr>
        <w:t>.</w:t>
      </w:r>
    </w:p>
    <w:p w14:paraId="12FB614F" w14:textId="77777777" w:rsidR="00CA07CA" w:rsidRDefault="00CA07CA" w:rsidP="00CA07CA">
      <w:pPr>
        <w:spacing w:after="0"/>
        <w:rPr>
          <w:rFonts w:ascii="Arial" w:eastAsia="Arial" w:hAnsi="Arial" w:cs="Arial"/>
          <w:b/>
          <w:bCs/>
        </w:rPr>
      </w:pPr>
    </w:p>
    <w:p w14:paraId="25B6B668" w14:textId="1DA4D6A8" w:rsidR="00CA07CA" w:rsidRPr="00CA07CA" w:rsidRDefault="00CA07CA" w:rsidP="00CA07CA">
      <w:pPr>
        <w:spacing w:after="0"/>
        <w:rPr>
          <w:rFonts w:ascii="Arial" w:hAnsi="Arial" w:cs="Arial"/>
        </w:rPr>
      </w:pPr>
      <w:r w:rsidRPr="00C23C98">
        <w:rPr>
          <w:rFonts w:ascii="Arial" w:eastAsia="Arial" w:hAnsi="Arial" w:cs="Arial"/>
          <w:b/>
          <w:bCs/>
        </w:rPr>
        <w:t xml:space="preserve">Trust Board </w:t>
      </w:r>
      <w:r>
        <w:rPr>
          <w:rFonts w:ascii="Arial" w:eastAsia="Arial" w:hAnsi="Arial" w:cs="Arial"/>
          <w:b/>
          <w:bCs/>
        </w:rPr>
        <w:t>is now asked to approve this revised OBC (version 2.0), for submission to NHSE/I and DHSC’s Joint Investment Committee.</w:t>
      </w:r>
    </w:p>
    <w:p w14:paraId="5AF31614" w14:textId="77777777" w:rsidR="00CA07CA" w:rsidRDefault="00CA07CA" w:rsidP="00587DF1">
      <w:pPr>
        <w:rPr>
          <w:rFonts w:ascii="Arial" w:hAnsi="Arial" w:cs="Arial"/>
        </w:rPr>
      </w:pPr>
    </w:p>
    <w:p w14:paraId="1A070A66" w14:textId="77777777" w:rsidR="00CA07CA" w:rsidRPr="00587DF1" w:rsidRDefault="00CA07CA" w:rsidP="00587DF1">
      <w:pPr>
        <w:rPr>
          <w:rFonts w:ascii="Arial" w:hAnsi="Arial" w:cs="Arial"/>
        </w:rPr>
      </w:pPr>
    </w:p>
    <w:p w14:paraId="2B590DFE" w14:textId="77777777" w:rsidR="00587DF1" w:rsidRPr="00587DF1" w:rsidRDefault="00587DF1" w:rsidP="005E0D57">
      <w:pPr>
        <w:pStyle w:val="Heading2"/>
        <w:numPr>
          <w:ilvl w:val="1"/>
          <w:numId w:val="1"/>
        </w:numPr>
        <w:rPr>
          <w:rFonts w:ascii="Arial" w:eastAsia="Arial" w:hAnsi="Arial" w:cs="Arial"/>
        </w:rPr>
      </w:pPr>
      <w:bookmarkStart w:id="2" w:name="_Toc32842662"/>
      <w:r w:rsidRPr="00587DF1">
        <w:rPr>
          <w:rFonts w:ascii="Arial" w:eastAsia="Arial" w:hAnsi="Arial" w:cs="Arial"/>
        </w:rPr>
        <w:t>Strategic case</w:t>
      </w:r>
      <w:bookmarkEnd w:id="2"/>
    </w:p>
    <w:p w14:paraId="127A8EBC" w14:textId="77777777" w:rsidR="00587DF1" w:rsidRPr="00587DF1" w:rsidRDefault="00587DF1" w:rsidP="00587DF1">
      <w:pPr>
        <w:spacing w:after="0"/>
        <w:rPr>
          <w:rFonts w:ascii="Arial" w:eastAsia="Arial" w:hAnsi="Arial" w:cs="Arial"/>
        </w:rPr>
      </w:pPr>
    </w:p>
    <w:p w14:paraId="02C28463" w14:textId="77777777" w:rsidR="00587DF1" w:rsidRPr="00587DF1" w:rsidRDefault="00587DF1" w:rsidP="005E0D57">
      <w:pPr>
        <w:numPr>
          <w:ilvl w:val="2"/>
          <w:numId w:val="1"/>
        </w:numPr>
        <w:pBdr>
          <w:top w:val="nil"/>
          <w:left w:val="nil"/>
          <w:bottom w:val="nil"/>
          <w:right w:val="nil"/>
          <w:between w:val="nil"/>
        </w:pBdr>
        <w:spacing w:after="0" w:line="240" w:lineRule="auto"/>
        <w:ind w:left="567" w:hanging="567"/>
        <w:jc w:val="both"/>
        <w:rPr>
          <w:rFonts w:ascii="Arial" w:eastAsia="Arial" w:hAnsi="Arial" w:cs="Arial"/>
          <w:b/>
        </w:rPr>
      </w:pPr>
      <w:r w:rsidRPr="00587DF1">
        <w:rPr>
          <w:rFonts w:ascii="Arial" w:eastAsia="Arial" w:hAnsi="Arial" w:cs="Arial"/>
          <w:b/>
        </w:rPr>
        <w:t>Strategic context</w:t>
      </w:r>
    </w:p>
    <w:p w14:paraId="7B5D8561" w14:textId="77777777" w:rsidR="00587DF1" w:rsidRDefault="00587DF1" w:rsidP="00587DF1">
      <w:pPr>
        <w:spacing w:after="0"/>
        <w:rPr>
          <w:rFonts w:ascii="Arial" w:eastAsia="Arial" w:hAnsi="Arial" w:cs="Arial"/>
        </w:rPr>
      </w:pPr>
    </w:p>
    <w:p w14:paraId="4DD2DC04" w14:textId="2EA9156E" w:rsidR="00DE28A0" w:rsidRPr="00DE28A0" w:rsidRDefault="00DE28A0" w:rsidP="00DE28A0">
      <w:pPr>
        <w:pBdr>
          <w:top w:val="nil"/>
          <w:left w:val="nil"/>
          <w:bottom w:val="nil"/>
          <w:right w:val="nil"/>
          <w:between w:val="nil"/>
        </w:pBdr>
        <w:spacing w:after="0"/>
        <w:rPr>
          <w:rFonts w:ascii="Arial" w:hAnsi="Arial" w:cs="Arial"/>
        </w:rPr>
      </w:pPr>
      <w:r w:rsidRPr="00DE28A0">
        <w:rPr>
          <w:rFonts w:ascii="Arial" w:hAnsi="Arial" w:cs="Arial"/>
        </w:rPr>
        <w:t xml:space="preserve">A number of </w:t>
      </w:r>
      <w:r w:rsidR="00570EAB">
        <w:rPr>
          <w:rFonts w:ascii="Arial" w:hAnsi="Arial" w:cs="Arial"/>
        </w:rPr>
        <w:t>strategic</w:t>
      </w:r>
      <w:r w:rsidRPr="00DE28A0">
        <w:rPr>
          <w:rFonts w:ascii="Arial" w:hAnsi="Arial" w:cs="Arial"/>
        </w:rPr>
        <w:t xml:space="preserve"> drivers have been identified:</w:t>
      </w:r>
    </w:p>
    <w:p w14:paraId="2D4F6716" w14:textId="432BF8D3" w:rsidR="00DE28A0" w:rsidRPr="00DE28A0" w:rsidRDefault="00DE28A0" w:rsidP="005E0D57">
      <w:pPr>
        <w:pStyle w:val="ListParagraph"/>
        <w:numPr>
          <w:ilvl w:val="0"/>
          <w:numId w:val="55"/>
        </w:numPr>
        <w:spacing w:after="120" w:line="240" w:lineRule="auto"/>
        <w:contextualSpacing w:val="0"/>
        <w:rPr>
          <w:rFonts w:ascii="Arial" w:hAnsi="Arial" w:cs="Arial"/>
        </w:rPr>
      </w:pPr>
      <w:r w:rsidRPr="00DE28A0">
        <w:rPr>
          <w:rFonts w:ascii="Arial" w:hAnsi="Arial" w:cs="Arial"/>
        </w:rPr>
        <w:t xml:space="preserve">NHS Long Term Plan – </w:t>
      </w:r>
      <w:r w:rsidR="00570EAB">
        <w:rPr>
          <w:rFonts w:ascii="Arial" w:hAnsi="Arial" w:cs="Arial"/>
        </w:rPr>
        <w:t xml:space="preserve">Oriel must </w:t>
      </w:r>
      <w:r w:rsidRPr="00DE28A0">
        <w:rPr>
          <w:rFonts w:ascii="Arial" w:hAnsi="Arial" w:cs="Arial"/>
        </w:rPr>
        <w:t>meet the requirements of a changing service model re-emphasising the importance of; a focus on prevention and health inequalities; services for children and young people; better care for major health conditions; supporting staff; and mainstreaming digitally enabled care.</w:t>
      </w:r>
    </w:p>
    <w:p w14:paraId="5A328477" w14:textId="770F80DD" w:rsidR="00DE28A0" w:rsidRPr="00DE28A0" w:rsidRDefault="00DE28A0" w:rsidP="005E0D57">
      <w:pPr>
        <w:pStyle w:val="ListParagraph"/>
        <w:numPr>
          <w:ilvl w:val="0"/>
          <w:numId w:val="55"/>
        </w:numPr>
        <w:spacing w:after="120" w:line="240" w:lineRule="auto"/>
        <w:contextualSpacing w:val="0"/>
        <w:rPr>
          <w:rFonts w:ascii="Arial" w:hAnsi="Arial" w:cs="Arial"/>
        </w:rPr>
      </w:pPr>
      <w:r w:rsidRPr="00DE28A0">
        <w:rPr>
          <w:rFonts w:ascii="Arial" w:hAnsi="Arial" w:cs="Arial"/>
        </w:rPr>
        <w:t xml:space="preserve">Service Transformation – </w:t>
      </w:r>
      <w:r w:rsidR="00570EAB">
        <w:rPr>
          <w:rFonts w:ascii="Arial" w:hAnsi="Arial" w:cs="Arial"/>
        </w:rPr>
        <w:t xml:space="preserve">Oriel must </w:t>
      </w:r>
      <w:r w:rsidRPr="00DE28A0">
        <w:rPr>
          <w:rFonts w:ascii="Arial" w:hAnsi="Arial" w:cs="Arial"/>
        </w:rPr>
        <w:t>deliver world class clinical services and meet the changing needs and expectations of our wide population base.</w:t>
      </w:r>
    </w:p>
    <w:p w14:paraId="5F10C263" w14:textId="0EF71445" w:rsidR="00DE28A0" w:rsidRPr="00DE28A0" w:rsidRDefault="00DE28A0" w:rsidP="005E0D57">
      <w:pPr>
        <w:pStyle w:val="ListParagraph"/>
        <w:numPr>
          <w:ilvl w:val="0"/>
          <w:numId w:val="56"/>
        </w:numPr>
        <w:pBdr>
          <w:top w:val="nil"/>
          <w:left w:val="nil"/>
          <w:bottom w:val="nil"/>
          <w:right w:val="nil"/>
          <w:between w:val="nil"/>
        </w:pBdr>
        <w:spacing w:after="0" w:line="240" w:lineRule="auto"/>
        <w:contextualSpacing w:val="0"/>
        <w:rPr>
          <w:rFonts w:ascii="Arial" w:eastAsia="Arial" w:hAnsi="Arial" w:cs="Arial"/>
          <w:i/>
          <w:iCs/>
        </w:rPr>
      </w:pPr>
      <w:r w:rsidRPr="00DE28A0">
        <w:rPr>
          <w:rFonts w:ascii="Arial" w:hAnsi="Arial" w:cs="Arial"/>
        </w:rPr>
        <w:lastRenderedPageBreak/>
        <w:t xml:space="preserve">Estates Transformation – </w:t>
      </w:r>
      <w:r w:rsidR="00570EAB">
        <w:rPr>
          <w:rFonts w:ascii="Arial" w:hAnsi="Arial" w:cs="Arial"/>
        </w:rPr>
        <w:t xml:space="preserve">A </w:t>
      </w:r>
      <w:r w:rsidRPr="00DE28A0">
        <w:rPr>
          <w:rFonts w:ascii="Arial" w:hAnsi="Arial" w:cs="Arial"/>
        </w:rPr>
        <w:t xml:space="preserve">fit-for-purpose facility </w:t>
      </w:r>
      <w:r w:rsidR="00570EAB">
        <w:rPr>
          <w:rFonts w:ascii="Arial" w:hAnsi="Arial" w:cs="Arial"/>
        </w:rPr>
        <w:t xml:space="preserve">is required </w:t>
      </w:r>
      <w:r w:rsidRPr="00DE28A0">
        <w:rPr>
          <w:rFonts w:ascii="Arial" w:hAnsi="Arial" w:cs="Arial"/>
        </w:rPr>
        <w:t>that enables better service configuration</w:t>
      </w:r>
      <w:r w:rsidR="00570EAB">
        <w:rPr>
          <w:rFonts w:ascii="Arial" w:hAnsi="Arial" w:cs="Arial"/>
        </w:rPr>
        <w:t>,</w:t>
      </w:r>
      <w:r w:rsidRPr="00DE28A0">
        <w:rPr>
          <w:rFonts w:ascii="Arial" w:hAnsi="Arial" w:cs="Arial"/>
        </w:rPr>
        <w:t xml:space="preserve"> meet</w:t>
      </w:r>
      <w:r w:rsidR="00570EAB">
        <w:rPr>
          <w:rFonts w:ascii="Arial" w:hAnsi="Arial" w:cs="Arial"/>
        </w:rPr>
        <w:t>ing</w:t>
      </w:r>
      <w:r w:rsidRPr="00DE28A0">
        <w:rPr>
          <w:rFonts w:ascii="Arial" w:hAnsi="Arial" w:cs="Arial"/>
        </w:rPr>
        <w:t xml:space="preserve"> the needs and expectations of patients, carers and staff.</w:t>
      </w:r>
      <w:r w:rsidRPr="00DE28A0">
        <w:rPr>
          <w:rFonts w:ascii="Arial" w:eastAsia="Arial" w:hAnsi="Arial" w:cs="Arial"/>
          <w:i/>
          <w:iCs/>
        </w:rPr>
        <w:t xml:space="preserve"> </w:t>
      </w:r>
    </w:p>
    <w:p w14:paraId="20FE4528" w14:textId="77777777" w:rsidR="00DE28A0" w:rsidRPr="00DE28A0" w:rsidRDefault="00DE28A0" w:rsidP="00587DF1">
      <w:pPr>
        <w:spacing w:after="0"/>
        <w:rPr>
          <w:rFonts w:ascii="Arial" w:eastAsia="Arial" w:hAnsi="Arial" w:cs="Arial"/>
        </w:rPr>
      </w:pPr>
    </w:p>
    <w:p w14:paraId="55AFC64E" w14:textId="77777777" w:rsidR="00587DF1" w:rsidRPr="00587DF1" w:rsidRDefault="00587DF1" w:rsidP="00587DF1">
      <w:pPr>
        <w:spacing w:after="0"/>
        <w:rPr>
          <w:rFonts w:ascii="Arial" w:eastAsia="Arial" w:hAnsi="Arial" w:cs="Arial"/>
        </w:rPr>
      </w:pPr>
      <w:r w:rsidRPr="00DE28A0">
        <w:rPr>
          <w:rFonts w:ascii="Arial" w:eastAsia="Arial" w:hAnsi="Arial" w:cs="Arial"/>
        </w:rPr>
        <w:t>Plans for Oriel have been developed in</w:t>
      </w:r>
      <w:r w:rsidRPr="00587DF1">
        <w:rPr>
          <w:rFonts w:ascii="Arial" w:eastAsia="Arial" w:hAnsi="Arial" w:cs="Arial"/>
        </w:rPr>
        <w:t xml:space="preserve"> the context of:</w:t>
      </w:r>
    </w:p>
    <w:p w14:paraId="53576FB5" w14:textId="51C0060F" w:rsidR="00587DF1" w:rsidRPr="00587DF1" w:rsidRDefault="00587DF1" w:rsidP="00190084">
      <w:pPr>
        <w:pStyle w:val="ListParagraph"/>
        <w:numPr>
          <w:ilvl w:val="0"/>
          <w:numId w:val="88"/>
        </w:numPr>
        <w:spacing w:after="0" w:line="259" w:lineRule="auto"/>
        <w:rPr>
          <w:rFonts w:ascii="Arial" w:eastAsia="Arial" w:hAnsi="Arial" w:cs="Arial"/>
        </w:rPr>
      </w:pPr>
      <w:r w:rsidRPr="00587DF1">
        <w:rPr>
          <w:rFonts w:ascii="Arial" w:eastAsia="Arial" w:hAnsi="Arial" w:cs="Arial"/>
        </w:rPr>
        <w:t xml:space="preserve">National strategy, </w:t>
      </w:r>
      <w:r w:rsidR="00570EAB">
        <w:rPr>
          <w:rFonts w:ascii="Arial" w:eastAsia="Arial" w:hAnsi="Arial" w:cs="Arial"/>
        </w:rPr>
        <w:t>relating to</w:t>
      </w:r>
      <w:r w:rsidRPr="00587DF1">
        <w:rPr>
          <w:rFonts w:ascii="Arial" w:eastAsia="Arial" w:hAnsi="Arial" w:cs="Arial"/>
        </w:rPr>
        <w:t>:</w:t>
      </w:r>
    </w:p>
    <w:p w14:paraId="5C6556A2" w14:textId="77777777" w:rsidR="00F2004F" w:rsidRPr="00F2004F" w:rsidRDefault="00F2004F" w:rsidP="00190084">
      <w:pPr>
        <w:pStyle w:val="ListParagraph"/>
        <w:numPr>
          <w:ilvl w:val="1"/>
          <w:numId w:val="88"/>
        </w:numPr>
        <w:spacing w:after="0" w:line="259" w:lineRule="auto"/>
        <w:rPr>
          <w:rFonts w:ascii="Arial" w:eastAsia="Arial" w:hAnsi="Arial" w:cs="Arial"/>
        </w:rPr>
      </w:pPr>
      <w:r>
        <w:rPr>
          <w:rFonts w:ascii="Arial" w:eastAsia="Arial" w:hAnsi="Arial" w:cs="Arial"/>
        </w:rPr>
        <w:t xml:space="preserve">NHS estates, including the Naylor report which </w:t>
      </w:r>
      <w:r w:rsidRPr="00F2004F">
        <w:rPr>
          <w:rFonts w:ascii="Arial" w:eastAsia="Arial" w:hAnsi="Arial" w:cs="Arial"/>
        </w:rPr>
        <w:t>challenge</w:t>
      </w:r>
      <w:r>
        <w:rPr>
          <w:rFonts w:ascii="Arial" w:eastAsia="Arial" w:hAnsi="Arial" w:cs="Arial"/>
        </w:rPr>
        <w:t>s</w:t>
      </w:r>
      <w:r w:rsidRPr="00F2004F">
        <w:rPr>
          <w:rFonts w:ascii="Arial" w:eastAsia="Arial" w:hAnsi="Arial" w:cs="Arial"/>
        </w:rPr>
        <w:t xml:space="preserve"> the NHS to bring</w:t>
      </w:r>
      <w:r>
        <w:rPr>
          <w:rFonts w:ascii="Arial" w:eastAsia="Arial" w:hAnsi="Arial" w:cs="Arial"/>
        </w:rPr>
        <w:t xml:space="preserve"> </w:t>
      </w:r>
      <w:r w:rsidRPr="00F2004F">
        <w:rPr>
          <w:rFonts w:ascii="Arial" w:eastAsia="Arial" w:hAnsi="Arial" w:cs="Arial"/>
        </w:rPr>
        <w:t xml:space="preserve">forward disposal of </w:t>
      </w:r>
      <w:r>
        <w:rPr>
          <w:rFonts w:ascii="Arial" w:eastAsia="Arial" w:hAnsi="Arial" w:cs="Arial"/>
        </w:rPr>
        <w:t xml:space="preserve">high value estate </w:t>
      </w:r>
      <w:r w:rsidRPr="00F2004F">
        <w:rPr>
          <w:rFonts w:ascii="Arial" w:eastAsia="Arial" w:hAnsi="Arial" w:cs="Arial"/>
        </w:rPr>
        <w:t xml:space="preserve">and reinvest </w:t>
      </w:r>
      <w:r>
        <w:rPr>
          <w:rFonts w:ascii="Arial" w:eastAsia="Arial" w:hAnsi="Arial" w:cs="Arial"/>
        </w:rPr>
        <w:t xml:space="preserve">receipts </w:t>
      </w:r>
      <w:r w:rsidRPr="00F2004F">
        <w:rPr>
          <w:rFonts w:ascii="Arial" w:eastAsia="Arial" w:hAnsi="Arial" w:cs="Arial"/>
        </w:rPr>
        <w:t xml:space="preserve">into </w:t>
      </w:r>
      <w:r>
        <w:rPr>
          <w:rFonts w:ascii="Arial" w:eastAsia="Arial" w:hAnsi="Arial" w:cs="Arial"/>
        </w:rPr>
        <w:t>clinical improvements.</w:t>
      </w:r>
    </w:p>
    <w:p w14:paraId="36B96390" w14:textId="4C092A7C" w:rsidR="00587DF1" w:rsidRPr="00587DF1" w:rsidRDefault="00587DF1" w:rsidP="00190084">
      <w:pPr>
        <w:pStyle w:val="ListParagraph"/>
        <w:numPr>
          <w:ilvl w:val="1"/>
          <w:numId w:val="88"/>
        </w:numPr>
        <w:spacing w:after="0" w:line="259" w:lineRule="auto"/>
        <w:rPr>
          <w:rFonts w:ascii="Arial" w:eastAsia="Arial" w:hAnsi="Arial" w:cs="Arial"/>
        </w:rPr>
      </w:pPr>
      <w:r w:rsidRPr="00587DF1">
        <w:rPr>
          <w:rFonts w:ascii="Arial" w:eastAsia="Arial" w:hAnsi="Arial" w:cs="Arial"/>
        </w:rPr>
        <w:t xml:space="preserve">Ophthalmology (the Way Forward and </w:t>
      </w:r>
      <w:r w:rsidRPr="00587DF1">
        <w:rPr>
          <w:rFonts w:ascii="Arial" w:hAnsi="Arial" w:cs="Arial"/>
          <w:bCs/>
        </w:rPr>
        <w:t xml:space="preserve">Getting It Right First Time) which project increasing demand for services as the population ages, and make recommendations around improving care quality and productivity which Moorfields are unable to </w:t>
      </w:r>
      <w:r w:rsidR="004040D3">
        <w:rPr>
          <w:rFonts w:ascii="Arial" w:hAnsi="Arial" w:cs="Arial"/>
          <w:bCs/>
        </w:rPr>
        <w:t xml:space="preserve">implement </w:t>
      </w:r>
      <w:r w:rsidRPr="00587DF1">
        <w:rPr>
          <w:rFonts w:ascii="Arial" w:hAnsi="Arial" w:cs="Arial"/>
          <w:bCs/>
        </w:rPr>
        <w:t>in the current City Road site.</w:t>
      </w:r>
    </w:p>
    <w:p w14:paraId="012D5592" w14:textId="77777777" w:rsidR="00587DF1" w:rsidRPr="00587DF1" w:rsidRDefault="00587DF1" w:rsidP="00190084">
      <w:pPr>
        <w:pStyle w:val="ListParagraph"/>
        <w:numPr>
          <w:ilvl w:val="1"/>
          <w:numId w:val="88"/>
        </w:numPr>
        <w:spacing w:after="0" w:line="259" w:lineRule="auto"/>
        <w:rPr>
          <w:rFonts w:ascii="Arial" w:eastAsia="Arial" w:hAnsi="Arial" w:cs="Arial"/>
        </w:rPr>
      </w:pPr>
      <w:r w:rsidRPr="00587DF1">
        <w:rPr>
          <w:rFonts w:ascii="Arial" w:hAnsi="Arial" w:cs="Arial"/>
          <w:bCs/>
        </w:rPr>
        <w:t xml:space="preserve">The NHS overall, </w:t>
      </w:r>
      <w:r w:rsidRPr="00587DF1">
        <w:rPr>
          <w:rFonts w:ascii="Arial" w:eastAsia="Arial" w:hAnsi="Arial" w:cs="Arial"/>
        </w:rPr>
        <w:t>including the NHS Long Term Plan.</w:t>
      </w:r>
    </w:p>
    <w:p w14:paraId="433875BD" w14:textId="77777777" w:rsidR="00587DF1" w:rsidRPr="00587DF1" w:rsidRDefault="00587DF1" w:rsidP="00190084">
      <w:pPr>
        <w:pStyle w:val="ListParagraph"/>
        <w:numPr>
          <w:ilvl w:val="1"/>
          <w:numId w:val="88"/>
        </w:numPr>
        <w:spacing w:after="0" w:line="259" w:lineRule="auto"/>
        <w:rPr>
          <w:rFonts w:ascii="Arial" w:eastAsia="Arial" w:hAnsi="Arial" w:cs="Arial"/>
        </w:rPr>
      </w:pPr>
      <w:r w:rsidRPr="00587DF1">
        <w:rPr>
          <w:rFonts w:ascii="Arial" w:eastAsia="Arial" w:hAnsi="Arial" w:cs="Arial"/>
        </w:rPr>
        <w:t>Research and innovation (</w:t>
      </w:r>
      <w:r w:rsidRPr="00587DF1">
        <w:rPr>
          <w:rFonts w:ascii="Arial" w:hAnsi="Arial" w:cs="Arial"/>
        </w:rPr>
        <w:t>International Research and Innovation Strategy and Life Sciences Industrial Strategy) which aim to maintain and build upon the UK’s role as a global leader in science.</w:t>
      </w:r>
    </w:p>
    <w:p w14:paraId="6809BA3C" w14:textId="77777777" w:rsidR="00587DF1" w:rsidRPr="00587DF1" w:rsidRDefault="00587DF1" w:rsidP="00190084">
      <w:pPr>
        <w:pStyle w:val="ListParagraph"/>
        <w:numPr>
          <w:ilvl w:val="0"/>
          <w:numId w:val="88"/>
        </w:numPr>
        <w:spacing w:after="0" w:line="259" w:lineRule="auto"/>
        <w:rPr>
          <w:rFonts w:ascii="Arial" w:eastAsia="Arial" w:hAnsi="Arial" w:cs="Arial"/>
        </w:rPr>
      </w:pPr>
      <w:r w:rsidRPr="00587DF1">
        <w:rPr>
          <w:rFonts w:ascii="Arial" w:eastAsia="Arial" w:hAnsi="Arial" w:cs="Arial"/>
        </w:rPr>
        <w:t>Regional strategy, including:</w:t>
      </w:r>
    </w:p>
    <w:p w14:paraId="583A8EA6" w14:textId="77777777" w:rsidR="00587DF1" w:rsidRPr="00587DF1" w:rsidRDefault="00587DF1" w:rsidP="00190084">
      <w:pPr>
        <w:pStyle w:val="ListParagraph"/>
        <w:numPr>
          <w:ilvl w:val="1"/>
          <w:numId w:val="88"/>
        </w:numPr>
        <w:spacing w:after="0" w:line="259" w:lineRule="auto"/>
        <w:rPr>
          <w:rFonts w:ascii="Arial" w:eastAsia="Arial" w:hAnsi="Arial" w:cs="Arial"/>
        </w:rPr>
      </w:pPr>
      <w:r w:rsidRPr="00587DF1">
        <w:rPr>
          <w:rFonts w:ascii="Arial" w:eastAsia="Arial" w:hAnsi="Arial" w:cs="Arial"/>
        </w:rPr>
        <w:t>Commissioner intentions across the 14 CCGs who commission over £2m p.a. of activity from City Road, and NHS England Specialised Commissioning.</w:t>
      </w:r>
    </w:p>
    <w:p w14:paraId="597F6400" w14:textId="7A693FEB" w:rsidR="00587DF1" w:rsidRPr="00587DF1" w:rsidRDefault="00587DF1" w:rsidP="00190084">
      <w:pPr>
        <w:pStyle w:val="ListParagraph"/>
        <w:numPr>
          <w:ilvl w:val="1"/>
          <w:numId w:val="88"/>
        </w:numPr>
        <w:spacing w:after="0" w:line="259" w:lineRule="auto"/>
        <w:rPr>
          <w:rFonts w:ascii="Arial" w:eastAsia="Arial" w:hAnsi="Arial" w:cs="Arial"/>
        </w:rPr>
      </w:pPr>
      <w:r w:rsidRPr="00587DF1">
        <w:rPr>
          <w:rFonts w:ascii="Arial" w:eastAsia="Arial" w:hAnsi="Arial" w:cs="Arial"/>
        </w:rPr>
        <w:t xml:space="preserve">The north central London (NCL) STP estates strategy, which describes support for the wider St Pancras Redevelopment. This involves </w:t>
      </w:r>
      <w:r w:rsidR="00C9177D">
        <w:rPr>
          <w:rFonts w:ascii="Arial" w:eastAsia="Arial" w:hAnsi="Arial" w:cs="Arial"/>
        </w:rPr>
        <w:t>Camden and Islington NHS Foundation Trust</w:t>
      </w:r>
      <w:r w:rsidRPr="00587DF1">
        <w:rPr>
          <w:rFonts w:ascii="Arial" w:eastAsia="Arial" w:hAnsi="Arial" w:cs="Arial"/>
        </w:rPr>
        <w:t xml:space="preserve"> (C&amp;I) </w:t>
      </w:r>
      <w:r w:rsidR="00C9177D">
        <w:rPr>
          <w:rFonts w:ascii="Arial" w:eastAsia="Arial" w:hAnsi="Arial" w:cs="Arial"/>
        </w:rPr>
        <w:t xml:space="preserve">inpatient </w:t>
      </w:r>
      <w:r w:rsidRPr="00587DF1">
        <w:rPr>
          <w:rFonts w:ascii="Arial" w:eastAsia="Arial" w:hAnsi="Arial" w:cs="Arial"/>
        </w:rPr>
        <w:t>services moving from St Pancras to the Whittington Hospital site, releasing land for development by a commercial partner (3 acres of the site) and the Oriel partners (2 acres).</w:t>
      </w:r>
    </w:p>
    <w:p w14:paraId="072C2AD8" w14:textId="77777777" w:rsidR="00BC5C16" w:rsidRPr="00DE28A0" w:rsidRDefault="00587DF1" w:rsidP="00190084">
      <w:pPr>
        <w:pStyle w:val="ListParagraph"/>
        <w:numPr>
          <w:ilvl w:val="0"/>
          <w:numId w:val="88"/>
        </w:numPr>
        <w:spacing w:after="0" w:line="259" w:lineRule="auto"/>
        <w:rPr>
          <w:rFonts w:ascii="Arial" w:eastAsia="Arial" w:hAnsi="Arial" w:cs="Arial"/>
        </w:rPr>
      </w:pPr>
      <w:r w:rsidRPr="00587DF1">
        <w:rPr>
          <w:rFonts w:ascii="Arial" w:eastAsia="Arial" w:hAnsi="Arial" w:cs="Arial"/>
        </w:rPr>
        <w:t>Moorfields organisational and clinical strategies, UCL strategy and the partners’ joint research and education strategies.</w:t>
      </w:r>
    </w:p>
    <w:p w14:paraId="447467F3" w14:textId="77777777" w:rsidR="00587DF1" w:rsidRPr="00587DF1" w:rsidRDefault="00587DF1" w:rsidP="00587DF1">
      <w:pPr>
        <w:spacing w:after="0"/>
        <w:rPr>
          <w:rFonts w:ascii="Arial" w:eastAsia="Arial" w:hAnsi="Arial" w:cs="Arial"/>
        </w:rPr>
      </w:pPr>
    </w:p>
    <w:p w14:paraId="40C4BA0E" w14:textId="77777777" w:rsidR="00587DF1" w:rsidRPr="00587DF1" w:rsidRDefault="00587DF1" w:rsidP="005E0D57">
      <w:pPr>
        <w:numPr>
          <w:ilvl w:val="2"/>
          <w:numId w:val="1"/>
        </w:numPr>
        <w:pBdr>
          <w:top w:val="nil"/>
          <w:left w:val="nil"/>
          <w:bottom w:val="nil"/>
          <w:right w:val="nil"/>
          <w:between w:val="nil"/>
        </w:pBdr>
        <w:spacing w:after="0" w:line="240" w:lineRule="auto"/>
        <w:ind w:left="567" w:hanging="567"/>
        <w:jc w:val="both"/>
        <w:rPr>
          <w:rFonts w:ascii="Arial" w:eastAsia="Arial" w:hAnsi="Arial" w:cs="Arial"/>
          <w:b/>
        </w:rPr>
      </w:pPr>
      <w:r w:rsidRPr="00587DF1">
        <w:rPr>
          <w:rFonts w:ascii="Arial" w:eastAsia="Arial" w:hAnsi="Arial" w:cs="Arial"/>
          <w:b/>
        </w:rPr>
        <w:t>Case for change</w:t>
      </w:r>
    </w:p>
    <w:p w14:paraId="562290B0" w14:textId="77777777" w:rsidR="00587DF1" w:rsidRDefault="00587DF1" w:rsidP="00587DF1">
      <w:pPr>
        <w:spacing w:after="0"/>
        <w:rPr>
          <w:rFonts w:ascii="Arial" w:eastAsia="Arial" w:hAnsi="Arial" w:cs="Arial"/>
        </w:rPr>
      </w:pPr>
    </w:p>
    <w:p w14:paraId="07159578" w14:textId="39AC9BEF" w:rsidR="00587DF1" w:rsidRPr="00587DF1" w:rsidRDefault="00587DF1" w:rsidP="00587DF1">
      <w:pPr>
        <w:rPr>
          <w:rFonts w:ascii="Arial" w:eastAsia="Arial" w:hAnsi="Arial" w:cs="Arial"/>
        </w:rPr>
      </w:pPr>
      <w:r w:rsidRPr="00587DF1">
        <w:rPr>
          <w:rFonts w:ascii="Arial" w:eastAsia="Arial" w:hAnsi="Arial" w:cs="Arial"/>
        </w:rPr>
        <w:t>Moorfields and UCL IoO are at the forefront of research and treatment for ophthalmology nationally</w:t>
      </w:r>
      <w:r w:rsidR="0073455F">
        <w:rPr>
          <w:rFonts w:ascii="Arial" w:eastAsia="Arial" w:hAnsi="Arial" w:cs="Arial"/>
        </w:rPr>
        <w:t xml:space="preserve"> and internationally</w:t>
      </w:r>
      <w:r w:rsidRPr="00587DF1">
        <w:rPr>
          <w:rFonts w:ascii="Arial" w:eastAsia="Arial" w:hAnsi="Arial" w:cs="Arial"/>
        </w:rPr>
        <w:t xml:space="preserve">, providing globally-recognised research, excellent education and outstanding clinical care. Jointly the partners’ aim is to continue to be world-leading in eye-disorder prevention and treatment using a translational model of ‘bench-to-bedside’ research and care. Translational research requires close working between clinicians and researchers to with the aim of increasing the scale and speed of progress from scientific discovery to clinical practice, improving clinical outcomes for patients. </w:t>
      </w:r>
    </w:p>
    <w:p w14:paraId="6213D4CA" w14:textId="2363412E" w:rsidR="00587DF1" w:rsidRPr="00587DF1" w:rsidRDefault="00587DF1" w:rsidP="0073455F">
      <w:pPr>
        <w:rPr>
          <w:rFonts w:ascii="Arial" w:eastAsia="Arial" w:hAnsi="Arial" w:cs="Arial"/>
        </w:rPr>
      </w:pPr>
      <w:r w:rsidRPr="00587DF1">
        <w:rPr>
          <w:rFonts w:ascii="Arial" w:eastAsia="Arial" w:hAnsi="Arial" w:cs="Arial"/>
        </w:rPr>
        <w:t xml:space="preserve">Moorfields operates from a network of </w:t>
      </w:r>
      <w:r w:rsidR="00C9177D">
        <w:rPr>
          <w:rFonts w:ascii="Arial" w:eastAsia="Arial" w:hAnsi="Arial" w:cs="Arial"/>
        </w:rPr>
        <w:t>around</w:t>
      </w:r>
      <w:r w:rsidRPr="00587DF1">
        <w:rPr>
          <w:rFonts w:ascii="Arial" w:eastAsia="Arial" w:hAnsi="Arial" w:cs="Arial"/>
        </w:rPr>
        <w:t xml:space="preserve"> 30 sites. The trust organises services across this network to deliver care closer to home where appropriate, while concentrating specialised services and </w:t>
      </w:r>
      <w:r w:rsidR="0073455F">
        <w:rPr>
          <w:rFonts w:ascii="Arial" w:eastAsia="Arial" w:hAnsi="Arial" w:cs="Arial"/>
        </w:rPr>
        <w:t xml:space="preserve">the majority of </w:t>
      </w:r>
      <w:r w:rsidRPr="00587DF1">
        <w:rPr>
          <w:rFonts w:ascii="Arial" w:eastAsia="Arial" w:hAnsi="Arial" w:cs="Arial"/>
        </w:rPr>
        <w:t>research activities at City Road. The trust</w:t>
      </w:r>
      <w:r w:rsidR="003A1814">
        <w:rPr>
          <w:rFonts w:ascii="Arial" w:eastAsia="Arial" w:hAnsi="Arial" w:cs="Arial"/>
        </w:rPr>
        <w:t>’s</w:t>
      </w:r>
      <w:r w:rsidRPr="00587DF1">
        <w:rPr>
          <w:rFonts w:ascii="Arial" w:eastAsia="Arial" w:hAnsi="Arial" w:cs="Arial"/>
        </w:rPr>
        <w:t xml:space="preserve"> strong clinical outcomes and research outputs</w:t>
      </w:r>
      <w:r w:rsidR="003A1814">
        <w:rPr>
          <w:rFonts w:ascii="Arial" w:eastAsia="Arial" w:hAnsi="Arial" w:cs="Arial"/>
        </w:rPr>
        <w:t xml:space="preserve"> are </w:t>
      </w:r>
      <w:r w:rsidRPr="00587DF1">
        <w:rPr>
          <w:rFonts w:ascii="Arial" w:eastAsia="Arial" w:hAnsi="Arial" w:cs="Arial"/>
        </w:rPr>
        <w:t xml:space="preserve">achieved despite the constraints of the buildings at City Road, most of which are </w:t>
      </w:r>
      <w:r w:rsidR="004040D3">
        <w:rPr>
          <w:rFonts w:ascii="Arial" w:eastAsia="Arial" w:hAnsi="Arial" w:cs="Arial"/>
        </w:rPr>
        <w:t>around</w:t>
      </w:r>
      <w:r w:rsidRPr="00587DF1">
        <w:rPr>
          <w:rFonts w:ascii="Arial" w:eastAsia="Arial" w:hAnsi="Arial" w:cs="Arial"/>
        </w:rPr>
        <w:t xml:space="preserve"> 125 years old. The case for change is</w:t>
      </w:r>
      <w:r w:rsidR="003A1814">
        <w:rPr>
          <w:rFonts w:ascii="Arial" w:eastAsia="Arial" w:hAnsi="Arial" w:cs="Arial"/>
        </w:rPr>
        <w:t xml:space="preserve"> as follows</w:t>
      </w:r>
      <w:r w:rsidRPr="00587DF1">
        <w:rPr>
          <w:rFonts w:ascii="Arial" w:eastAsia="Arial" w:hAnsi="Arial" w:cs="Arial"/>
        </w:rPr>
        <w:t>:</w:t>
      </w:r>
    </w:p>
    <w:p w14:paraId="2DD72C11" w14:textId="1C34BC8D" w:rsidR="00587DF1" w:rsidRPr="00587DF1" w:rsidRDefault="00587DF1" w:rsidP="005E0D57">
      <w:pPr>
        <w:pStyle w:val="ListParagraph"/>
        <w:numPr>
          <w:ilvl w:val="0"/>
          <w:numId w:val="4"/>
        </w:numPr>
        <w:rPr>
          <w:rFonts w:ascii="Arial" w:eastAsia="Arial" w:hAnsi="Arial" w:cs="Arial"/>
          <w:color w:val="000000"/>
        </w:rPr>
      </w:pPr>
      <w:r w:rsidRPr="00587DF1">
        <w:rPr>
          <w:rFonts w:ascii="Arial" w:eastAsia="Arial" w:hAnsi="Arial" w:cs="Arial"/>
          <w:b/>
          <w:bCs/>
          <w:color w:val="000000"/>
        </w:rPr>
        <w:t>Poor patient experience arising from the estate</w:t>
      </w:r>
      <w:r w:rsidRPr="00587DF1">
        <w:rPr>
          <w:rFonts w:ascii="Arial" w:eastAsia="Arial" w:hAnsi="Arial" w:cs="Arial"/>
          <w:color w:val="000000"/>
        </w:rPr>
        <w:t xml:space="preserve"> – current issues include </w:t>
      </w:r>
      <w:r w:rsidRPr="00587DF1">
        <w:rPr>
          <w:rFonts w:ascii="Arial" w:eastAsia="Arial" w:hAnsi="Arial" w:cs="Arial"/>
        </w:rPr>
        <w:t xml:space="preserve">challenging wayfinding presenting a particular </w:t>
      </w:r>
      <w:r w:rsidR="00C9177D">
        <w:rPr>
          <w:rFonts w:ascii="Arial" w:eastAsia="Arial" w:hAnsi="Arial" w:cs="Arial"/>
        </w:rPr>
        <w:t>issue</w:t>
      </w:r>
      <w:r w:rsidRPr="00587DF1">
        <w:rPr>
          <w:rFonts w:ascii="Arial" w:eastAsia="Arial" w:hAnsi="Arial" w:cs="Arial"/>
        </w:rPr>
        <w:t xml:space="preserve"> for visitors with sight-loss, basement clinics with insufficient waiting space, outpatient clinics provided from </w:t>
      </w:r>
      <w:r w:rsidRPr="00587DF1">
        <w:rPr>
          <w:rFonts w:ascii="Arial" w:eastAsia="Arial" w:hAnsi="Arial" w:cs="Arial"/>
        </w:rPr>
        <w:lastRenderedPageBreak/>
        <w:t>cubicles rather than rooms, and long travel distances between clinical areas (such as outpatients and diagnostics). These issues were echoed through the public consultation, through which 73% of survey respondents expressed their support for a new centre, and many people provided valuable insights into how Moorfields can provide an excellent patient experience in a new centre.</w:t>
      </w:r>
    </w:p>
    <w:p w14:paraId="32C2441F" w14:textId="58216399" w:rsidR="00587DF1" w:rsidRPr="00587DF1" w:rsidRDefault="00587DF1" w:rsidP="005E0D57">
      <w:pPr>
        <w:pStyle w:val="ListParagraph"/>
        <w:numPr>
          <w:ilvl w:val="0"/>
          <w:numId w:val="4"/>
        </w:numPr>
        <w:rPr>
          <w:rFonts w:ascii="Arial" w:eastAsia="Arial" w:hAnsi="Arial" w:cs="Arial"/>
          <w:color w:val="000000"/>
        </w:rPr>
      </w:pPr>
      <w:r w:rsidRPr="00587DF1">
        <w:rPr>
          <w:rFonts w:ascii="Arial" w:eastAsia="Arial" w:hAnsi="Arial" w:cs="Arial"/>
          <w:b/>
          <w:bCs/>
          <w:color w:val="000000"/>
        </w:rPr>
        <w:t>Risk of future service failure due to inability to support change and loss of staff</w:t>
      </w:r>
      <w:r w:rsidRPr="00587DF1">
        <w:rPr>
          <w:rFonts w:ascii="Arial" w:eastAsia="Arial" w:hAnsi="Arial" w:cs="Arial"/>
          <w:color w:val="000000"/>
        </w:rPr>
        <w:t xml:space="preserve"> – the site is not capable of </w:t>
      </w:r>
      <w:r w:rsidRPr="00587DF1">
        <w:rPr>
          <w:rFonts w:ascii="Arial" w:eastAsia="Arial" w:hAnsi="Arial" w:cs="Arial"/>
        </w:rPr>
        <w:t xml:space="preserve">supporting the trust in the step-change it plans to implement in terms of an integrated (with the IoO) and digitally-focused campus for the long term future, which can keep pace with the rapidly changing field of ophthalmology. </w:t>
      </w:r>
      <w:r w:rsidR="00A6277A">
        <w:rPr>
          <w:rFonts w:ascii="Arial" w:eastAsia="Arial" w:hAnsi="Arial" w:cs="Arial"/>
        </w:rPr>
        <w:t>While some</w:t>
      </w:r>
      <w:r w:rsidR="00A512E7">
        <w:rPr>
          <w:rFonts w:ascii="Arial" w:eastAsia="Arial" w:hAnsi="Arial" w:cs="Arial"/>
        </w:rPr>
        <w:t xml:space="preserve"> service</w:t>
      </w:r>
      <w:r w:rsidR="00A6277A">
        <w:rPr>
          <w:rFonts w:ascii="Arial" w:eastAsia="Arial" w:hAnsi="Arial" w:cs="Arial"/>
        </w:rPr>
        <w:t xml:space="preserve"> improvements can be made in the current building (e.g. implementation of some virtual clinics) the trust is increasingly unable to compete with top institutions </w:t>
      </w:r>
      <w:r w:rsidR="00A512E7">
        <w:rPr>
          <w:rFonts w:ascii="Arial" w:eastAsia="Arial" w:hAnsi="Arial" w:cs="Arial"/>
        </w:rPr>
        <w:t>in responding in an agile way to emerging technologies or in providing modern, collaborative workspace for its staff</w:t>
      </w:r>
      <w:r w:rsidR="00A6277A">
        <w:rPr>
          <w:rFonts w:ascii="Arial" w:eastAsia="Arial" w:hAnsi="Arial" w:cs="Arial"/>
        </w:rPr>
        <w:t xml:space="preserve">. </w:t>
      </w:r>
      <w:r w:rsidRPr="00587DF1">
        <w:rPr>
          <w:rFonts w:ascii="Arial" w:eastAsia="Arial" w:hAnsi="Arial" w:cs="Arial"/>
        </w:rPr>
        <w:t xml:space="preserve">There is a real risk that the trust could lose its excellent clinicians and researchers if improvements are not made to the working environment. As the City Road site continues to deteriorate, and </w:t>
      </w:r>
      <w:r w:rsidR="003A1814">
        <w:rPr>
          <w:rFonts w:ascii="Arial" w:eastAsia="Arial" w:hAnsi="Arial" w:cs="Arial"/>
        </w:rPr>
        <w:t>the partners’</w:t>
      </w:r>
      <w:r w:rsidRPr="00587DF1">
        <w:rPr>
          <w:rFonts w:ascii="Arial" w:eastAsia="Arial" w:hAnsi="Arial" w:cs="Arial"/>
        </w:rPr>
        <w:t xml:space="preserve"> competitors continue to improve, the resulting loss of staff and status would mean the quality of clinical services will suffer, and the trust will not be able to maintain its excellent outcomes.</w:t>
      </w:r>
    </w:p>
    <w:p w14:paraId="61BC18B9" w14:textId="4C7E8819" w:rsidR="00587DF1" w:rsidRPr="00587DF1" w:rsidRDefault="00587DF1" w:rsidP="005E0D57">
      <w:pPr>
        <w:pStyle w:val="ListParagraph"/>
        <w:numPr>
          <w:ilvl w:val="0"/>
          <w:numId w:val="4"/>
        </w:numPr>
        <w:rPr>
          <w:rFonts w:ascii="Arial" w:eastAsia="Arial" w:hAnsi="Arial" w:cs="Arial"/>
          <w:color w:val="000000"/>
        </w:rPr>
      </w:pPr>
      <w:r w:rsidRPr="00587DF1">
        <w:rPr>
          <w:rFonts w:ascii="Arial" w:eastAsia="Arial" w:hAnsi="Arial" w:cs="Arial"/>
          <w:b/>
          <w:bCs/>
          <w:color w:val="000000"/>
        </w:rPr>
        <w:t xml:space="preserve">Significant investment will be required to keep the current buildings running </w:t>
      </w:r>
      <w:r w:rsidRPr="00587DF1">
        <w:rPr>
          <w:rFonts w:ascii="Arial" w:eastAsia="Arial" w:hAnsi="Arial" w:cs="Arial"/>
          <w:color w:val="000000"/>
        </w:rPr>
        <w:t>– key areas which will require investment in the near future include the building’s façade, heating, water and ventilation systems. The es</w:t>
      </w:r>
      <w:r w:rsidR="00F92B17">
        <w:rPr>
          <w:rFonts w:ascii="Arial" w:eastAsia="Arial" w:hAnsi="Arial" w:cs="Arial"/>
          <w:color w:val="000000"/>
        </w:rPr>
        <w:t>timated cost of this is over £</w:t>
      </w:r>
      <w:r w:rsidR="00AC38C4">
        <w:rPr>
          <w:rFonts w:ascii="Arial" w:eastAsia="Arial" w:hAnsi="Arial" w:cs="Arial"/>
          <w:color w:val="000000"/>
        </w:rPr>
        <w:t>XXX</w:t>
      </w:r>
      <w:r w:rsidRPr="00587DF1">
        <w:rPr>
          <w:rFonts w:ascii="Arial" w:eastAsia="Arial" w:hAnsi="Arial" w:cs="Arial"/>
          <w:color w:val="000000"/>
        </w:rPr>
        <w:t>m (this is appraised in the Economic Case as the ‘do minimum’ option).</w:t>
      </w:r>
    </w:p>
    <w:p w14:paraId="080D6BA5" w14:textId="0489EFF6" w:rsidR="00587DF1" w:rsidRPr="00587DF1" w:rsidRDefault="00587DF1" w:rsidP="005E0D57">
      <w:pPr>
        <w:pStyle w:val="ListParagraph"/>
        <w:numPr>
          <w:ilvl w:val="0"/>
          <w:numId w:val="4"/>
        </w:numPr>
        <w:rPr>
          <w:rFonts w:ascii="Arial" w:eastAsia="Arial" w:hAnsi="Arial" w:cs="Arial"/>
          <w:color w:val="000000"/>
        </w:rPr>
      </w:pPr>
      <w:r w:rsidRPr="00587DF1">
        <w:rPr>
          <w:rFonts w:ascii="Arial" w:eastAsia="Arial" w:hAnsi="Arial" w:cs="Arial"/>
          <w:b/>
          <w:bCs/>
          <w:color w:val="000000"/>
        </w:rPr>
        <w:t>Inability to support future demand changes</w:t>
      </w:r>
      <w:r w:rsidRPr="00587DF1">
        <w:rPr>
          <w:rFonts w:ascii="Arial" w:eastAsia="Arial" w:hAnsi="Arial" w:cs="Arial"/>
          <w:color w:val="000000"/>
        </w:rPr>
        <w:t xml:space="preserve"> – the most common eye conditions (cataracts, glaucoma and </w:t>
      </w:r>
      <w:r w:rsidR="004040D3">
        <w:rPr>
          <w:rFonts w:ascii="Arial" w:eastAsia="Arial" w:hAnsi="Arial" w:cs="Arial"/>
          <w:color w:val="000000"/>
        </w:rPr>
        <w:t xml:space="preserve">conditions affecting the </w:t>
      </w:r>
      <w:r w:rsidR="003A1814">
        <w:rPr>
          <w:rFonts w:ascii="Arial" w:eastAsia="Arial" w:hAnsi="Arial" w:cs="Arial"/>
          <w:color w:val="000000"/>
        </w:rPr>
        <w:t>retina</w:t>
      </w:r>
      <w:r w:rsidRPr="00587DF1">
        <w:rPr>
          <w:rFonts w:ascii="Arial" w:eastAsia="Arial" w:hAnsi="Arial" w:cs="Arial"/>
          <w:color w:val="000000"/>
        </w:rPr>
        <w:t>) have a higher prevalence in older people and people suffering from diabetes. As the prevalence of these increases, so will demand for ophthalmology services. This is supported by commissioner-led demand modelling which projects a 3.1% annual increase in demand for outpatient services over the next 15 years</w:t>
      </w:r>
      <w:r w:rsidR="003A1814">
        <w:rPr>
          <w:rFonts w:ascii="Arial" w:eastAsia="Arial" w:hAnsi="Arial" w:cs="Arial"/>
          <w:color w:val="000000"/>
        </w:rPr>
        <w:t xml:space="preserve"> before reprovisioning</w:t>
      </w:r>
      <w:r w:rsidRPr="00587DF1">
        <w:rPr>
          <w:rFonts w:ascii="Arial" w:eastAsia="Arial" w:hAnsi="Arial" w:cs="Arial"/>
        </w:rPr>
        <w:t>.</w:t>
      </w:r>
    </w:p>
    <w:p w14:paraId="05E744C7" w14:textId="32151422" w:rsidR="00587DF1" w:rsidRPr="00587DF1" w:rsidRDefault="00587DF1" w:rsidP="005E0D57">
      <w:pPr>
        <w:pStyle w:val="ListParagraph"/>
        <w:numPr>
          <w:ilvl w:val="0"/>
          <w:numId w:val="4"/>
        </w:numPr>
        <w:rPr>
          <w:rFonts w:ascii="Arial" w:eastAsia="Arial" w:hAnsi="Arial" w:cs="Arial"/>
          <w:color w:val="000000"/>
        </w:rPr>
      </w:pPr>
      <w:r w:rsidRPr="00587DF1">
        <w:rPr>
          <w:rFonts w:ascii="Arial" w:eastAsia="Arial" w:hAnsi="Arial" w:cs="Arial"/>
          <w:b/>
          <w:bCs/>
          <w:color w:val="000000"/>
        </w:rPr>
        <w:t>Opportunity to improve research</w:t>
      </w:r>
      <w:r w:rsidR="00616936">
        <w:rPr>
          <w:rFonts w:ascii="Arial" w:eastAsia="Arial" w:hAnsi="Arial" w:cs="Arial"/>
          <w:b/>
          <w:bCs/>
          <w:color w:val="000000"/>
        </w:rPr>
        <w:t xml:space="preserve"> through integration</w:t>
      </w:r>
      <w:r w:rsidRPr="00587DF1">
        <w:rPr>
          <w:rFonts w:ascii="Arial" w:eastAsia="Arial" w:hAnsi="Arial" w:cs="Arial"/>
          <w:color w:val="000000"/>
        </w:rPr>
        <w:t xml:space="preserve"> – </w:t>
      </w:r>
      <w:r w:rsidRPr="00587DF1">
        <w:rPr>
          <w:rFonts w:ascii="Arial" w:eastAsia="Arial" w:hAnsi="Arial" w:cs="Arial"/>
        </w:rPr>
        <w:t xml:space="preserve">Moorfields and UCL IoO currently operate from separate buildings on the City Road campus, which </w:t>
      </w:r>
      <w:r w:rsidR="003A1814">
        <w:rPr>
          <w:rFonts w:ascii="Arial" w:eastAsia="Arial" w:hAnsi="Arial" w:cs="Arial"/>
        </w:rPr>
        <w:t xml:space="preserve">does not facilitate </w:t>
      </w:r>
      <w:r w:rsidRPr="00587DF1">
        <w:rPr>
          <w:rFonts w:ascii="Arial" w:eastAsia="Arial" w:hAnsi="Arial" w:cs="Arial"/>
        </w:rPr>
        <w:t>collaborative working. Research is often undertaken in silos, making relatively little use of expertise and knowledge from other teams. Clinical trials are often undertaken with a ‘research first’ rather than a ‘patient first’ approach. Removing the physical boundaries to collaboration will encourage innovation and provide more patients with the opportunity to participate in research trials.</w:t>
      </w:r>
    </w:p>
    <w:p w14:paraId="144643BD" w14:textId="09EA9932" w:rsidR="00587DF1" w:rsidRPr="00587DF1" w:rsidRDefault="00587DF1" w:rsidP="005E0D57">
      <w:pPr>
        <w:pStyle w:val="ListParagraph"/>
        <w:numPr>
          <w:ilvl w:val="0"/>
          <w:numId w:val="4"/>
        </w:numPr>
        <w:rPr>
          <w:rFonts w:ascii="Arial" w:eastAsia="Arial" w:hAnsi="Arial" w:cs="Arial"/>
          <w:color w:val="000000"/>
        </w:rPr>
      </w:pPr>
      <w:r w:rsidRPr="00587DF1">
        <w:rPr>
          <w:rFonts w:ascii="Arial" w:eastAsia="Arial" w:hAnsi="Arial" w:cs="Arial"/>
          <w:b/>
          <w:bCs/>
          <w:color w:val="000000"/>
        </w:rPr>
        <w:t>Opportunity to improve education</w:t>
      </w:r>
      <w:r w:rsidRPr="00587DF1">
        <w:rPr>
          <w:rFonts w:ascii="Arial" w:eastAsia="Arial" w:hAnsi="Arial" w:cs="Arial"/>
          <w:color w:val="000000"/>
        </w:rPr>
        <w:t xml:space="preserve"> </w:t>
      </w:r>
      <w:r w:rsidR="00616936">
        <w:rPr>
          <w:rFonts w:ascii="Arial" w:eastAsia="Arial" w:hAnsi="Arial" w:cs="Arial"/>
          <w:b/>
          <w:bCs/>
          <w:color w:val="000000"/>
        </w:rPr>
        <w:t xml:space="preserve">through integration </w:t>
      </w:r>
      <w:r w:rsidRPr="00587DF1">
        <w:rPr>
          <w:rFonts w:ascii="Arial" w:eastAsia="Arial" w:hAnsi="Arial" w:cs="Arial"/>
          <w:color w:val="000000"/>
        </w:rPr>
        <w:t xml:space="preserve">– </w:t>
      </w:r>
      <w:r w:rsidR="003A1814">
        <w:rPr>
          <w:rFonts w:ascii="Arial" w:eastAsia="Arial" w:hAnsi="Arial" w:cs="Arial"/>
        </w:rPr>
        <w:t>t</w:t>
      </w:r>
      <w:r w:rsidRPr="00587DF1">
        <w:rPr>
          <w:rFonts w:ascii="Arial" w:eastAsia="Arial" w:hAnsi="Arial" w:cs="Arial"/>
        </w:rPr>
        <w:t>he current physical facilities at City Road limit the education and training which can be provided. A new joint eye care</w:t>
      </w:r>
      <w:r w:rsidR="00C9177D">
        <w:rPr>
          <w:rFonts w:ascii="Arial" w:eastAsia="Arial" w:hAnsi="Arial" w:cs="Arial"/>
        </w:rPr>
        <w:t>,</w:t>
      </w:r>
      <w:r w:rsidRPr="00587DF1">
        <w:rPr>
          <w:rFonts w:ascii="Arial" w:eastAsia="Arial" w:hAnsi="Arial" w:cs="Arial"/>
        </w:rPr>
        <w:t xml:space="preserve"> research and education facility would support a significant increase in the number of students and </w:t>
      </w:r>
      <w:r w:rsidR="00C9177D">
        <w:rPr>
          <w:rFonts w:ascii="Arial" w:eastAsia="Arial" w:hAnsi="Arial" w:cs="Arial"/>
        </w:rPr>
        <w:t xml:space="preserve">clinicians </w:t>
      </w:r>
      <w:r w:rsidRPr="00587DF1">
        <w:rPr>
          <w:rFonts w:ascii="Arial" w:eastAsia="Arial" w:hAnsi="Arial" w:cs="Arial"/>
        </w:rPr>
        <w:t>training in ophthalmology and associated services</w:t>
      </w:r>
      <w:r w:rsidR="003A1814">
        <w:rPr>
          <w:rFonts w:ascii="Arial" w:eastAsia="Arial" w:hAnsi="Arial" w:cs="Arial"/>
        </w:rPr>
        <w:t>, and increase the opportunities available to Moorfields staff.</w:t>
      </w:r>
    </w:p>
    <w:p w14:paraId="66A15B09" w14:textId="77777777" w:rsidR="00587DF1" w:rsidRPr="00587DF1" w:rsidRDefault="00587DF1" w:rsidP="005E0D57">
      <w:pPr>
        <w:pStyle w:val="ListParagraph"/>
        <w:numPr>
          <w:ilvl w:val="0"/>
          <w:numId w:val="4"/>
        </w:numPr>
        <w:rPr>
          <w:rFonts w:ascii="Arial" w:eastAsia="Arial" w:hAnsi="Arial" w:cs="Arial"/>
          <w:color w:val="000000"/>
        </w:rPr>
      </w:pPr>
      <w:r w:rsidRPr="00587DF1">
        <w:rPr>
          <w:rFonts w:ascii="Arial" w:eastAsia="Arial" w:hAnsi="Arial" w:cs="Arial"/>
          <w:b/>
          <w:bCs/>
          <w:color w:val="000000"/>
        </w:rPr>
        <w:t>Inefficiencies in service delivery</w:t>
      </w:r>
      <w:r w:rsidRPr="00587DF1">
        <w:rPr>
          <w:rFonts w:ascii="Arial" w:eastAsia="Arial" w:hAnsi="Arial" w:cs="Arial"/>
          <w:color w:val="000000"/>
        </w:rPr>
        <w:t xml:space="preserve"> – a building designed around optimum patient flows will enable significant improvements in patient throughput, particularly in surgery and outpatients. Capacity modelling has demonstrated that services could be delivered from a smaller building than the current 56,000m</w:t>
      </w:r>
      <w:r w:rsidRPr="00587DF1">
        <w:rPr>
          <w:rFonts w:ascii="Arial" w:eastAsia="Arial" w:hAnsi="Arial" w:cs="Arial"/>
          <w:color w:val="000000"/>
          <w:vertAlign w:val="superscript"/>
        </w:rPr>
        <w:t>2</w:t>
      </w:r>
      <w:r w:rsidRPr="00587DF1">
        <w:rPr>
          <w:rFonts w:ascii="Arial" w:eastAsia="Arial" w:hAnsi="Arial" w:cs="Arial"/>
          <w:color w:val="000000"/>
        </w:rPr>
        <w:t xml:space="preserve"> estate through more efficient service delivery.</w:t>
      </w:r>
    </w:p>
    <w:p w14:paraId="572E5D02" w14:textId="42E978B4" w:rsidR="00587DF1" w:rsidRPr="00587DF1" w:rsidRDefault="00587DF1" w:rsidP="00587DF1">
      <w:pPr>
        <w:spacing w:after="0"/>
        <w:rPr>
          <w:rFonts w:ascii="Arial" w:eastAsia="Arial" w:hAnsi="Arial" w:cs="Arial"/>
        </w:rPr>
      </w:pPr>
      <w:r w:rsidRPr="00587DF1">
        <w:rPr>
          <w:rFonts w:ascii="Arial" w:eastAsia="Arial" w:hAnsi="Arial" w:cs="Arial"/>
        </w:rPr>
        <w:lastRenderedPageBreak/>
        <w:t>It is important to recognise the value of the trust’s current opportunity to purchase a site at St Pancras in a central London location, close to the main UCL campus as well as research institutions such as the Frances Crick Institute.</w:t>
      </w:r>
    </w:p>
    <w:p w14:paraId="28B2EF6B" w14:textId="77777777" w:rsidR="00587DF1" w:rsidRPr="00587DF1" w:rsidRDefault="00587DF1" w:rsidP="00587DF1">
      <w:pPr>
        <w:spacing w:after="0"/>
        <w:rPr>
          <w:rFonts w:ascii="Arial" w:hAnsi="Arial" w:cs="Arial"/>
        </w:rPr>
      </w:pPr>
    </w:p>
    <w:p w14:paraId="73979F9A" w14:textId="77777777" w:rsidR="00587DF1" w:rsidRPr="00587DF1" w:rsidRDefault="007F01A5" w:rsidP="005E0D57">
      <w:pPr>
        <w:numPr>
          <w:ilvl w:val="2"/>
          <w:numId w:val="1"/>
        </w:numPr>
        <w:pBdr>
          <w:top w:val="nil"/>
          <w:left w:val="nil"/>
          <w:bottom w:val="nil"/>
          <w:right w:val="nil"/>
          <w:between w:val="nil"/>
        </w:pBdr>
        <w:spacing w:after="0" w:line="240" w:lineRule="auto"/>
        <w:ind w:left="567" w:hanging="567"/>
        <w:jc w:val="both"/>
        <w:rPr>
          <w:rFonts w:ascii="Arial" w:eastAsia="Arial" w:hAnsi="Arial" w:cs="Arial"/>
          <w:b/>
        </w:rPr>
      </w:pPr>
      <w:r>
        <w:rPr>
          <w:rFonts w:ascii="Arial" w:eastAsia="Arial" w:hAnsi="Arial" w:cs="Arial"/>
          <w:b/>
        </w:rPr>
        <w:t>C</w:t>
      </w:r>
      <w:r w:rsidR="00587DF1" w:rsidRPr="00587DF1">
        <w:rPr>
          <w:rFonts w:ascii="Arial" w:eastAsia="Arial" w:hAnsi="Arial" w:cs="Arial"/>
          <w:b/>
        </w:rPr>
        <w:t>onstraints and depe</w:t>
      </w:r>
      <w:r w:rsidR="00587DF1">
        <w:rPr>
          <w:rFonts w:ascii="Arial" w:eastAsia="Arial" w:hAnsi="Arial" w:cs="Arial"/>
          <w:b/>
        </w:rPr>
        <w:t>nd</w:t>
      </w:r>
      <w:r w:rsidR="00587DF1" w:rsidRPr="00587DF1">
        <w:rPr>
          <w:rFonts w:ascii="Arial" w:eastAsia="Arial" w:hAnsi="Arial" w:cs="Arial"/>
          <w:b/>
        </w:rPr>
        <w:t>encies</w:t>
      </w:r>
    </w:p>
    <w:p w14:paraId="1AD2DEF1" w14:textId="77777777" w:rsidR="00587DF1" w:rsidRDefault="00587DF1" w:rsidP="00587DF1">
      <w:pPr>
        <w:spacing w:after="0"/>
        <w:rPr>
          <w:rFonts w:ascii="Arial" w:eastAsia="Arial" w:hAnsi="Arial" w:cs="Arial"/>
        </w:rPr>
      </w:pPr>
    </w:p>
    <w:p w14:paraId="26BF911A" w14:textId="6C9F5E24" w:rsidR="00587DF1" w:rsidRPr="00587DF1" w:rsidRDefault="00587DF1" w:rsidP="00587DF1">
      <w:pPr>
        <w:spacing w:after="0"/>
        <w:rPr>
          <w:rFonts w:ascii="Arial" w:hAnsi="Arial" w:cs="Arial"/>
          <w:lang w:val="en"/>
        </w:rPr>
      </w:pPr>
      <w:r w:rsidRPr="00587DF1">
        <w:rPr>
          <w:rFonts w:ascii="Arial" w:hAnsi="Arial" w:cs="Arial"/>
          <w:lang w:val="en"/>
        </w:rPr>
        <w:t xml:space="preserve">Key </w:t>
      </w:r>
      <w:r w:rsidRPr="00587DF1">
        <w:rPr>
          <w:rFonts w:ascii="Arial" w:hAnsi="Arial" w:cs="Arial"/>
          <w:b/>
          <w:bCs/>
          <w:lang w:val="en"/>
        </w:rPr>
        <w:t xml:space="preserve">constraints </w:t>
      </w:r>
      <w:r w:rsidRPr="00587DF1">
        <w:rPr>
          <w:rFonts w:ascii="Arial" w:hAnsi="Arial" w:cs="Arial"/>
          <w:lang w:val="en"/>
        </w:rPr>
        <w:t>for Oriel are tha</w:t>
      </w:r>
      <w:r w:rsidR="00236908">
        <w:rPr>
          <w:rFonts w:ascii="Arial" w:hAnsi="Arial" w:cs="Arial"/>
          <w:lang w:val="en"/>
        </w:rPr>
        <w:t>t:</w:t>
      </w:r>
    </w:p>
    <w:p w14:paraId="1E2E6C36" w14:textId="5DC70BFA" w:rsidR="00587DF1" w:rsidRPr="00587DF1" w:rsidRDefault="00236908" w:rsidP="005E0D57">
      <w:pPr>
        <w:pStyle w:val="ListParagraph"/>
        <w:numPr>
          <w:ilvl w:val="0"/>
          <w:numId w:val="65"/>
        </w:numPr>
        <w:spacing w:after="0"/>
        <w:rPr>
          <w:rFonts w:ascii="Arial" w:eastAsia="Arial" w:hAnsi="Arial" w:cs="Arial"/>
        </w:rPr>
      </w:pPr>
      <w:r>
        <w:rPr>
          <w:rFonts w:ascii="Arial" w:eastAsia="Arial" w:hAnsi="Arial" w:cs="Arial"/>
        </w:rPr>
        <w:t>T</w:t>
      </w:r>
      <w:r w:rsidR="00587DF1" w:rsidRPr="00587DF1">
        <w:rPr>
          <w:rFonts w:ascii="Arial" w:eastAsia="Arial" w:hAnsi="Arial" w:cs="Arial"/>
        </w:rPr>
        <w:t>he proposals must be delivered in line with the recommendations set out in the Decision Making Business Case (DMBC)</w:t>
      </w:r>
      <w:r>
        <w:rPr>
          <w:rFonts w:ascii="Arial" w:eastAsia="Arial" w:hAnsi="Arial" w:cs="Arial"/>
        </w:rPr>
        <w:t>.</w:t>
      </w:r>
    </w:p>
    <w:p w14:paraId="75FA1E51" w14:textId="6795AD88" w:rsidR="00587DF1" w:rsidRPr="00587DF1" w:rsidRDefault="00236908" w:rsidP="005E0D57">
      <w:pPr>
        <w:pStyle w:val="ListParagraph"/>
        <w:numPr>
          <w:ilvl w:val="0"/>
          <w:numId w:val="65"/>
        </w:numPr>
        <w:spacing w:after="0"/>
        <w:rPr>
          <w:rFonts w:ascii="Arial" w:eastAsia="Arial" w:hAnsi="Arial" w:cs="Arial"/>
        </w:rPr>
      </w:pPr>
      <w:r>
        <w:rPr>
          <w:rFonts w:ascii="Arial" w:eastAsia="Arial" w:hAnsi="Arial" w:cs="Arial"/>
        </w:rPr>
        <w:t>T</w:t>
      </w:r>
      <w:r w:rsidR="00587DF1" w:rsidRPr="00587DF1">
        <w:rPr>
          <w:rFonts w:ascii="Arial" w:eastAsia="Arial" w:hAnsi="Arial" w:cs="Arial"/>
        </w:rPr>
        <w:t>he capital cost must not exceed the affordability envelope (detailed in the Finance Case)</w:t>
      </w:r>
      <w:r>
        <w:rPr>
          <w:rFonts w:ascii="Arial" w:eastAsia="Arial" w:hAnsi="Arial" w:cs="Arial"/>
        </w:rPr>
        <w:t>.</w:t>
      </w:r>
    </w:p>
    <w:p w14:paraId="176A0D4D" w14:textId="4F6A4C90" w:rsidR="00587DF1" w:rsidRPr="00587DF1" w:rsidRDefault="00236908" w:rsidP="005E0D57">
      <w:pPr>
        <w:pStyle w:val="ListParagraph"/>
        <w:numPr>
          <w:ilvl w:val="0"/>
          <w:numId w:val="65"/>
        </w:numPr>
        <w:spacing w:after="0"/>
        <w:rPr>
          <w:rFonts w:ascii="Arial" w:eastAsia="Arial" w:hAnsi="Arial" w:cs="Arial"/>
        </w:rPr>
      </w:pPr>
      <w:r>
        <w:rPr>
          <w:rFonts w:ascii="Arial" w:eastAsia="Arial" w:hAnsi="Arial" w:cs="Arial"/>
        </w:rPr>
        <w:t>T</w:t>
      </w:r>
      <w:r w:rsidR="00587DF1" w:rsidRPr="00587DF1">
        <w:rPr>
          <w:rFonts w:ascii="Arial" w:eastAsia="Arial" w:hAnsi="Arial" w:cs="Arial"/>
        </w:rPr>
        <w:t>he revenue cost must remain financially sustainable (detailed in the Finance Case).</w:t>
      </w:r>
    </w:p>
    <w:p w14:paraId="5A8D10D2" w14:textId="77777777" w:rsidR="00587DF1" w:rsidRPr="00587DF1" w:rsidRDefault="00587DF1" w:rsidP="00587DF1">
      <w:pPr>
        <w:spacing w:after="0"/>
        <w:rPr>
          <w:rFonts w:ascii="Arial" w:eastAsia="Arial" w:hAnsi="Arial" w:cs="Arial"/>
        </w:rPr>
      </w:pPr>
    </w:p>
    <w:p w14:paraId="70CB3DEC" w14:textId="1DC4B176" w:rsidR="00587DF1" w:rsidRPr="00587DF1" w:rsidRDefault="00587DF1" w:rsidP="00587DF1">
      <w:pPr>
        <w:spacing w:after="0"/>
        <w:rPr>
          <w:rFonts w:ascii="Arial" w:eastAsia="Arial" w:hAnsi="Arial" w:cs="Arial"/>
        </w:rPr>
      </w:pPr>
      <w:r w:rsidRPr="00587DF1">
        <w:rPr>
          <w:rFonts w:ascii="Arial" w:eastAsia="Arial" w:hAnsi="Arial" w:cs="Arial"/>
        </w:rPr>
        <w:t xml:space="preserve">Key </w:t>
      </w:r>
      <w:r w:rsidRPr="00587DF1">
        <w:rPr>
          <w:rFonts w:ascii="Arial" w:eastAsia="Arial" w:hAnsi="Arial" w:cs="Arial"/>
          <w:b/>
          <w:bCs/>
        </w:rPr>
        <w:t xml:space="preserve">dependencies </w:t>
      </w:r>
      <w:r w:rsidRPr="00587DF1">
        <w:rPr>
          <w:rFonts w:ascii="Arial" w:eastAsia="Arial" w:hAnsi="Arial" w:cs="Arial"/>
        </w:rPr>
        <w:t>are</w:t>
      </w:r>
      <w:r w:rsidR="00236908">
        <w:rPr>
          <w:rFonts w:ascii="Arial" w:eastAsia="Arial" w:hAnsi="Arial" w:cs="Arial"/>
        </w:rPr>
        <w:t>:</w:t>
      </w:r>
    </w:p>
    <w:p w14:paraId="40138DAE" w14:textId="1D38CFBB" w:rsidR="00587DF1" w:rsidRPr="00587DF1" w:rsidRDefault="00587DF1" w:rsidP="005E0D57">
      <w:pPr>
        <w:pStyle w:val="ListParagraph"/>
        <w:numPr>
          <w:ilvl w:val="0"/>
          <w:numId w:val="65"/>
        </w:numPr>
        <w:spacing w:after="0"/>
        <w:rPr>
          <w:rFonts w:ascii="Arial" w:eastAsia="Arial" w:hAnsi="Arial" w:cs="Arial"/>
        </w:rPr>
      </w:pPr>
      <w:r w:rsidRPr="00587DF1">
        <w:rPr>
          <w:rFonts w:ascii="Arial" w:eastAsia="Arial" w:hAnsi="Arial" w:cs="Arial"/>
        </w:rPr>
        <w:t>Moorfields’ ability to purchase the Oriel portion of the St Pancras site from C&amp;I in early 2021, and to gain vacant possession in 2022</w:t>
      </w:r>
      <w:r w:rsidR="00236908">
        <w:rPr>
          <w:rFonts w:ascii="Arial" w:eastAsia="Arial" w:hAnsi="Arial" w:cs="Arial"/>
        </w:rPr>
        <w:t>.</w:t>
      </w:r>
    </w:p>
    <w:p w14:paraId="492F2B4B" w14:textId="64B8D7EB" w:rsidR="00587DF1" w:rsidRPr="00587DF1" w:rsidRDefault="00236908" w:rsidP="005E0D57">
      <w:pPr>
        <w:pStyle w:val="ListParagraph"/>
        <w:numPr>
          <w:ilvl w:val="0"/>
          <w:numId w:val="65"/>
        </w:numPr>
        <w:spacing w:after="0"/>
        <w:rPr>
          <w:rFonts w:ascii="Arial" w:eastAsia="Arial" w:hAnsi="Arial" w:cs="Arial"/>
        </w:rPr>
      </w:pPr>
      <w:r>
        <w:rPr>
          <w:rFonts w:ascii="Arial" w:eastAsia="Arial" w:hAnsi="Arial" w:cs="Arial"/>
        </w:rPr>
        <w:t>G</w:t>
      </w:r>
      <w:r w:rsidR="00587DF1" w:rsidRPr="00587DF1">
        <w:rPr>
          <w:rFonts w:ascii="Arial" w:eastAsia="Arial" w:hAnsi="Arial" w:cs="Arial"/>
        </w:rPr>
        <w:t>aining town planning permission on the St Pancras site, in partnership with C&amp;I’s development partner</w:t>
      </w:r>
      <w:r>
        <w:rPr>
          <w:rFonts w:ascii="Arial" w:eastAsia="Arial" w:hAnsi="Arial" w:cs="Arial"/>
        </w:rPr>
        <w:t>.</w:t>
      </w:r>
    </w:p>
    <w:p w14:paraId="319CC958" w14:textId="5E708CB5" w:rsidR="00587DF1" w:rsidRPr="00587DF1" w:rsidRDefault="00236908" w:rsidP="005E0D57">
      <w:pPr>
        <w:pStyle w:val="ListParagraph"/>
        <w:numPr>
          <w:ilvl w:val="0"/>
          <w:numId w:val="65"/>
        </w:numPr>
        <w:spacing w:after="0"/>
        <w:rPr>
          <w:rFonts w:ascii="Arial" w:eastAsia="Arial" w:hAnsi="Arial" w:cs="Arial"/>
        </w:rPr>
      </w:pPr>
      <w:r>
        <w:rPr>
          <w:rFonts w:ascii="Arial" w:eastAsia="Arial" w:hAnsi="Arial" w:cs="Arial"/>
        </w:rPr>
        <w:t>A</w:t>
      </w:r>
      <w:r w:rsidR="00587DF1" w:rsidRPr="00587DF1">
        <w:rPr>
          <w:rFonts w:ascii="Arial" w:eastAsia="Arial" w:hAnsi="Arial" w:cs="Arial"/>
        </w:rPr>
        <w:t>chieving the land value and philanthropy targets set out in the Finance Case</w:t>
      </w:r>
      <w:r>
        <w:rPr>
          <w:rFonts w:ascii="Arial" w:eastAsia="Arial" w:hAnsi="Arial" w:cs="Arial"/>
        </w:rPr>
        <w:t>.</w:t>
      </w:r>
    </w:p>
    <w:p w14:paraId="66E4FA6D" w14:textId="1511FA4D" w:rsidR="00587DF1" w:rsidRPr="00587DF1" w:rsidRDefault="00236908" w:rsidP="005E0D57">
      <w:pPr>
        <w:pStyle w:val="ListParagraph"/>
        <w:numPr>
          <w:ilvl w:val="0"/>
          <w:numId w:val="65"/>
        </w:numPr>
        <w:spacing w:after="0"/>
        <w:rPr>
          <w:rFonts w:ascii="Arial" w:eastAsia="Arial" w:hAnsi="Arial" w:cs="Arial"/>
        </w:rPr>
      </w:pPr>
      <w:r>
        <w:rPr>
          <w:rFonts w:ascii="Arial" w:eastAsia="Arial" w:hAnsi="Arial" w:cs="Arial"/>
        </w:rPr>
        <w:t>A</w:t>
      </w:r>
      <w:r w:rsidR="00587DF1" w:rsidRPr="00587DF1">
        <w:rPr>
          <w:rFonts w:ascii="Arial" w:eastAsia="Arial" w:hAnsi="Arial" w:cs="Arial"/>
        </w:rPr>
        <w:t>chieving OBC and FBC approval</w:t>
      </w:r>
      <w:r>
        <w:rPr>
          <w:rFonts w:ascii="Arial" w:eastAsia="Arial" w:hAnsi="Arial" w:cs="Arial"/>
        </w:rPr>
        <w:t>.</w:t>
      </w:r>
    </w:p>
    <w:p w14:paraId="7968100B" w14:textId="66C03458" w:rsidR="00587DF1" w:rsidRDefault="00236908" w:rsidP="005E0D57">
      <w:pPr>
        <w:pStyle w:val="ListParagraph"/>
        <w:numPr>
          <w:ilvl w:val="0"/>
          <w:numId w:val="65"/>
        </w:numPr>
        <w:spacing w:after="0"/>
        <w:rPr>
          <w:rFonts w:ascii="Arial" w:eastAsia="Arial" w:hAnsi="Arial" w:cs="Arial"/>
        </w:rPr>
      </w:pPr>
      <w:r>
        <w:rPr>
          <w:rFonts w:ascii="Arial" w:eastAsia="Arial" w:hAnsi="Arial" w:cs="Arial"/>
        </w:rPr>
        <w:t>M</w:t>
      </w:r>
      <w:r w:rsidR="00587DF1" w:rsidRPr="00587DF1">
        <w:rPr>
          <w:rFonts w:ascii="Arial" w:eastAsia="Arial" w:hAnsi="Arial" w:cs="Arial"/>
        </w:rPr>
        <w:t>aintaining commitment to the project from UCL.</w:t>
      </w:r>
    </w:p>
    <w:p w14:paraId="283C7E25" w14:textId="60764140" w:rsidR="00587DF1" w:rsidRDefault="00C83AD9" w:rsidP="0070603A">
      <w:pPr>
        <w:pStyle w:val="ListParagraph"/>
        <w:numPr>
          <w:ilvl w:val="0"/>
          <w:numId w:val="65"/>
        </w:numPr>
        <w:spacing w:after="0"/>
        <w:rPr>
          <w:rFonts w:ascii="Arial" w:eastAsia="Arial" w:hAnsi="Arial" w:cs="Arial"/>
        </w:rPr>
      </w:pPr>
      <w:r w:rsidRPr="00C83AD9">
        <w:rPr>
          <w:rFonts w:ascii="Arial" w:eastAsia="Arial" w:hAnsi="Arial" w:cs="Arial"/>
        </w:rPr>
        <w:t>UCL</w:t>
      </w:r>
      <w:r>
        <w:rPr>
          <w:rFonts w:ascii="Arial" w:eastAsia="Arial" w:hAnsi="Arial" w:cs="Arial"/>
        </w:rPr>
        <w:t xml:space="preserve"> have been awarded capital funding from the </w:t>
      </w:r>
      <w:r w:rsidRPr="00C83AD9">
        <w:rPr>
          <w:rFonts w:ascii="Arial" w:eastAsia="Arial" w:hAnsi="Arial" w:cs="Arial"/>
        </w:rPr>
        <w:t>UK Research Partnership Investment Fund (UKRPIF)</w:t>
      </w:r>
      <w:r>
        <w:rPr>
          <w:rFonts w:ascii="Arial" w:eastAsia="Arial" w:hAnsi="Arial" w:cs="Arial"/>
        </w:rPr>
        <w:t>, which must be drawn down by March 2021. This must be linked to the purchase of the St Pancras site, which therefore must be completed in advance of this date.</w:t>
      </w:r>
    </w:p>
    <w:p w14:paraId="3E7FB408" w14:textId="30298AF9" w:rsidR="00C83AD9" w:rsidRDefault="00C83AD9" w:rsidP="00C83AD9">
      <w:pPr>
        <w:spacing w:after="0"/>
        <w:rPr>
          <w:rFonts w:ascii="Arial" w:eastAsia="Arial" w:hAnsi="Arial" w:cs="Arial"/>
        </w:rPr>
      </w:pPr>
    </w:p>
    <w:p w14:paraId="3EA2E2E4" w14:textId="77777777" w:rsidR="00FF6E56" w:rsidRDefault="00FF6E56" w:rsidP="00FF6E56">
      <w:pPr>
        <w:pStyle w:val="Heading2"/>
        <w:numPr>
          <w:ilvl w:val="1"/>
          <w:numId w:val="1"/>
        </w:numPr>
        <w:rPr>
          <w:rFonts w:ascii="Arial" w:eastAsia="Arial" w:hAnsi="Arial" w:cs="Arial"/>
        </w:rPr>
      </w:pPr>
      <w:bookmarkStart w:id="3" w:name="_Toc32842664"/>
      <w:r w:rsidRPr="00587DF1">
        <w:rPr>
          <w:rFonts w:ascii="Arial" w:eastAsia="Arial" w:hAnsi="Arial" w:cs="Arial"/>
        </w:rPr>
        <w:t>Economic case</w:t>
      </w:r>
      <w:bookmarkEnd w:id="3"/>
    </w:p>
    <w:p w14:paraId="09E7172E" w14:textId="77777777" w:rsidR="00FF6E56" w:rsidRDefault="00FF6E56" w:rsidP="00FF6E56">
      <w:pPr>
        <w:pBdr>
          <w:top w:val="nil"/>
          <w:left w:val="nil"/>
          <w:bottom w:val="nil"/>
          <w:right w:val="nil"/>
          <w:between w:val="nil"/>
        </w:pBdr>
        <w:tabs>
          <w:tab w:val="left" w:pos="567"/>
        </w:tabs>
        <w:spacing w:after="0"/>
        <w:rPr>
          <w:rFonts w:ascii="Arial" w:eastAsia="Arial" w:hAnsi="Arial" w:cs="Arial"/>
        </w:rPr>
      </w:pPr>
    </w:p>
    <w:p w14:paraId="0170E4BB" w14:textId="77777777" w:rsidR="00FF6E56" w:rsidRPr="00587DF1" w:rsidRDefault="00FF6E56" w:rsidP="00FF6E56">
      <w:p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 xml:space="preserve">The purpose of the Economic Case is to perform an options appraisal based on the scope set out in the </w:t>
      </w:r>
      <w:r>
        <w:rPr>
          <w:rFonts w:ascii="Arial" w:hAnsi="Arial" w:cs="Arial"/>
        </w:rPr>
        <w:t>Strategic Case</w:t>
      </w:r>
      <w:r>
        <w:rPr>
          <w:rFonts w:ascii="Arial" w:eastAsia="Arial" w:hAnsi="Arial" w:cs="Arial"/>
          <w:bCs/>
          <w:color w:val="000000"/>
        </w:rPr>
        <w:t>.  The options appraisal in this</w:t>
      </w:r>
      <w:r w:rsidRPr="00587DF1">
        <w:rPr>
          <w:rFonts w:ascii="Arial" w:eastAsia="Arial" w:hAnsi="Arial" w:cs="Arial"/>
          <w:bCs/>
          <w:color w:val="000000"/>
        </w:rPr>
        <w:t xml:space="preserve"> OBC refresh</w:t>
      </w:r>
      <w:r>
        <w:rPr>
          <w:rFonts w:ascii="Arial" w:eastAsia="Arial" w:hAnsi="Arial" w:cs="Arial"/>
          <w:bCs/>
          <w:color w:val="000000"/>
        </w:rPr>
        <w:t>es</w:t>
      </w:r>
      <w:r w:rsidRPr="00587DF1">
        <w:rPr>
          <w:rFonts w:ascii="Arial" w:eastAsia="Arial" w:hAnsi="Arial" w:cs="Arial"/>
          <w:bCs/>
          <w:color w:val="000000"/>
        </w:rPr>
        <w:t xml:space="preserve"> the appraisal undertaken in the SOC, using the opportunity to </w:t>
      </w:r>
      <w:r>
        <w:rPr>
          <w:rFonts w:ascii="Arial" w:eastAsia="Arial" w:hAnsi="Arial" w:cs="Arial"/>
          <w:bCs/>
          <w:color w:val="000000"/>
        </w:rPr>
        <w:t xml:space="preserve">re-visit </w:t>
      </w:r>
      <w:r w:rsidRPr="00587DF1">
        <w:rPr>
          <w:rFonts w:ascii="Arial" w:eastAsia="Arial" w:hAnsi="Arial" w:cs="Arial"/>
          <w:bCs/>
          <w:color w:val="000000"/>
        </w:rPr>
        <w:t xml:space="preserve">assumptions and reflect the updated </w:t>
      </w:r>
      <w:r>
        <w:rPr>
          <w:rFonts w:ascii="Arial" w:eastAsia="Arial" w:hAnsi="Arial" w:cs="Arial"/>
          <w:bCs/>
          <w:color w:val="000000"/>
        </w:rPr>
        <w:t xml:space="preserve">HM </w:t>
      </w:r>
      <w:r w:rsidRPr="00587DF1">
        <w:rPr>
          <w:rFonts w:ascii="Arial" w:eastAsia="Arial" w:hAnsi="Arial" w:cs="Arial"/>
          <w:bCs/>
          <w:color w:val="000000"/>
        </w:rPr>
        <w:t>Treasury Green Book guidance published in 2018.</w:t>
      </w:r>
    </w:p>
    <w:p w14:paraId="63038311" w14:textId="77777777" w:rsidR="00FF6E56" w:rsidRPr="003D58E4" w:rsidRDefault="00FF6E56" w:rsidP="00FF6E56">
      <w:pPr>
        <w:pStyle w:val="ListParagraph"/>
        <w:numPr>
          <w:ilvl w:val="2"/>
          <w:numId w:val="1"/>
        </w:numPr>
        <w:pBdr>
          <w:top w:val="nil"/>
          <w:left w:val="nil"/>
          <w:bottom w:val="nil"/>
          <w:right w:val="nil"/>
          <w:between w:val="nil"/>
        </w:pBdr>
        <w:tabs>
          <w:tab w:val="left" w:pos="567"/>
        </w:tabs>
        <w:rPr>
          <w:rFonts w:ascii="Arial" w:eastAsia="Arial" w:hAnsi="Arial" w:cs="Arial"/>
          <w:b/>
          <w:bCs/>
          <w:color w:val="000000"/>
        </w:rPr>
      </w:pPr>
      <w:r w:rsidRPr="003D58E4">
        <w:rPr>
          <w:rFonts w:ascii="Arial" w:eastAsia="Arial" w:hAnsi="Arial" w:cs="Arial"/>
          <w:b/>
          <w:bCs/>
          <w:color w:val="000000"/>
        </w:rPr>
        <w:t>Refresh of investment objectives and critical success factors</w:t>
      </w:r>
    </w:p>
    <w:p w14:paraId="18C818AB" w14:textId="77777777" w:rsidR="00FF6E56" w:rsidRDefault="00FF6E56" w:rsidP="00FF6E56">
      <w:p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 xml:space="preserve">The </w:t>
      </w:r>
      <w:r w:rsidRPr="00587DF1">
        <w:rPr>
          <w:rFonts w:ascii="Arial" w:eastAsia="Arial" w:hAnsi="Arial" w:cs="Arial"/>
          <w:bCs/>
          <w:color w:val="000000"/>
        </w:rPr>
        <w:t xml:space="preserve">investment objectives and </w:t>
      </w:r>
      <w:r>
        <w:rPr>
          <w:rFonts w:ascii="Arial" w:eastAsia="Arial" w:hAnsi="Arial" w:cs="Arial"/>
          <w:bCs/>
          <w:color w:val="000000"/>
        </w:rPr>
        <w:t>C</w:t>
      </w:r>
      <w:r w:rsidRPr="00587DF1">
        <w:rPr>
          <w:rFonts w:ascii="Arial" w:eastAsia="Arial" w:hAnsi="Arial" w:cs="Arial"/>
          <w:bCs/>
          <w:color w:val="000000"/>
        </w:rPr>
        <w:t xml:space="preserve">ritical </w:t>
      </w:r>
      <w:r>
        <w:rPr>
          <w:rFonts w:ascii="Arial" w:eastAsia="Arial" w:hAnsi="Arial" w:cs="Arial"/>
          <w:bCs/>
          <w:color w:val="000000"/>
        </w:rPr>
        <w:t>S</w:t>
      </w:r>
      <w:r w:rsidRPr="00587DF1">
        <w:rPr>
          <w:rFonts w:ascii="Arial" w:eastAsia="Arial" w:hAnsi="Arial" w:cs="Arial"/>
          <w:bCs/>
          <w:color w:val="000000"/>
        </w:rPr>
        <w:t xml:space="preserve">uccess </w:t>
      </w:r>
      <w:r>
        <w:rPr>
          <w:rFonts w:ascii="Arial" w:eastAsia="Arial" w:hAnsi="Arial" w:cs="Arial"/>
          <w:bCs/>
          <w:color w:val="000000"/>
        </w:rPr>
        <w:t>F</w:t>
      </w:r>
      <w:r w:rsidRPr="00587DF1">
        <w:rPr>
          <w:rFonts w:ascii="Arial" w:eastAsia="Arial" w:hAnsi="Arial" w:cs="Arial"/>
          <w:bCs/>
          <w:color w:val="000000"/>
        </w:rPr>
        <w:t>actors (</w:t>
      </w:r>
      <w:r>
        <w:rPr>
          <w:rFonts w:ascii="Arial" w:eastAsia="Arial" w:hAnsi="Arial" w:cs="Arial"/>
          <w:bCs/>
          <w:color w:val="000000"/>
        </w:rPr>
        <w:t>CSFs</w:t>
      </w:r>
      <w:r w:rsidRPr="00587DF1">
        <w:rPr>
          <w:rFonts w:ascii="Arial" w:eastAsia="Arial" w:hAnsi="Arial" w:cs="Arial"/>
          <w:bCs/>
          <w:color w:val="000000"/>
        </w:rPr>
        <w:t xml:space="preserve">) </w:t>
      </w:r>
      <w:r>
        <w:rPr>
          <w:rFonts w:ascii="Arial" w:eastAsia="Arial" w:hAnsi="Arial" w:cs="Arial"/>
          <w:bCs/>
          <w:color w:val="000000"/>
        </w:rPr>
        <w:t xml:space="preserve">have been refreshed </w:t>
      </w:r>
      <w:r w:rsidRPr="00587DF1">
        <w:rPr>
          <w:rFonts w:ascii="Arial" w:eastAsia="Arial" w:hAnsi="Arial" w:cs="Arial"/>
          <w:bCs/>
          <w:color w:val="000000"/>
        </w:rPr>
        <w:t xml:space="preserve">to ensure they meet the needs of all the Oriel partners. </w:t>
      </w:r>
      <w:r>
        <w:rPr>
          <w:rFonts w:ascii="Arial" w:eastAsia="Arial" w:hAnsi="Arial" w:cs="Arial"/>
          <w:bCs/>
          <w:color w:val="000000"/>
        </w:rPr>
        <w:t>A</w:t>
      </w:r>
      <w:r w:rsidRPr="00587DF1">
        <w:rPr>
          <w:rFonts w:ascii="Arial" w:eastAsia="Arial" w:hAnsi="Arial" w:cs="Arial"/>
          <w:bCs/>
          <w:color w:val="000000"/>
        </w:rPr>
        <w:t xml:space="preserve"> wide range of internal and external stakeholders</w:t>
      </w:r>
      <w:r>
        <w:rPr>
          <w:rFonts w:ascii="Arial" w:eastAsia="Arial" w:hAnsi="Arial" w:cs="Arial"/>
          <w:bCs/>
          <w:color w:val="000000"/>
        </w:rPr>
        <w:t xml:space="preserve"> have been engaged with</w:t>
      </w:r>
      <w:r w:rsidRPr="00587DF1">
        <w:rPr>
          <w:rFonts w:ascii="Arial" w:eastAsia="Arial" w:hAnsi="Arial" w:cs="Arial"/>
          <w:bCs/>
          <w:color w:val="000000"/>
        </w:rPr>
        <w:t xml:space="preserve"> to tes</w:t>
      </w:r>
      <w:r>
        <w:rPr>
          <w:rFonts w:ascii="Arial" w:eastAsia="Arial" w:hAnsi="Arial" w:cs="Arial"/>
          <w:bCs/>
          <w:color w:val="000000"/>
        </w:rPr>
        <w:t xml:space="preserve">t the CSFs.  </w:t>
      </w:r>
    </w:p>
    <w:p w14:paraId="4F670FDE" w14:textId="0D832B4F" w:rsidR="00FF6E56" w:rsidRPr="003D58E4" w:rsidRDefault="00FF6E56" w:rsidP="00FF6E56">
      <w:pPr>
        <w:pStyle w:val="ListParagraph"/>
        <w:numPr>
          <w:ilvl w:val="2"/>
          <w:numId w:val="1"/>
        </w:numPr>
        <w:pBdr>
          <w:top w:val="nil"/>
          <w:left w:val="nil"/>
          <w:bottom w:val="nil"/>
          <w:right w:val="nil"/>
          <w:between w:val="nil"/>
        </w:pBdr>
        <w:tabs>
          <w:tab w:val="left" w:pos="567"/>
        </w:tabs>
        <w:rPr>
          <w:rFonts w:ascii="Arial" w:eastAsia="Arial" w:hAnsi="Arial" w:cs="Arial"/>
          <w:b/>
          <w:bCs/>
          <w:color w:val="000000"/>
        </w:rPr>
      </w:pPr>
      <w:r>
        <w:rPr>
          <w:rFonts w:ascii="Arial" w:eastAsia="Arial" w:hAnsi="Arial" w:cs="Arial"/>
          <w:b/>
          <w:bCs/>
          <w:color w:val="000000"/>
        </w:rPr>
        <w:t>Appraisal of long list of options to determine shortlist</w:t>
      </w:r>
    </w:p>
    <w:p w14:paraId="3FD896E2" w14:textId="5F87F148" w:rsidR="00FF6E56" w:rsidRDefault="00FF6E56" w:rsidP="00FF6E56">
      <w:p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 xml:space="preserve">The HM Treasury Green Book </w:t>
      </w:r>
      <w:r w:rsidRPr="00587DF1">
        <w:rPr>
          <w:rFonts w:ascii="Arial" w:eastAsia="Arial" w:hAnsi="Arial" w:cs="Arial"/>
          <w:bCs/>
          <w:color w:val="000000"/>
        </w:rPr>
        <w:t xml:space="preserve">options framework </w:t>
      </w:r>
      <w:r>
        <w:rPr>
          <w:rFonts w:ascii="Arial" w:eastAsia="Arial" w:hAnsi="Arial" w:cs="Arial"/>
          <w:bCs/>
          <w:color w:val="000000"/>
        </w:rPr>
        <w:t xml:space="preserve">has been used </w:t>
      </w:r>
      <w:r w:rsidRPr="00587DF1">
        <w:rPr>
          <w:rFonts w:ascii="Arial" w:eastAsia="Arial" w:hAnsi="Arial" w:cs="Arial"/>
          <w:bCs/>
          <w:color w:val="000000"/>
        </w:rPr>
        <w:t>to docu</w:t>
      </w:r>
      <w:r>
        <w:rPr>
          <w:rFonts w:ascii="Arial" w:eastAsia="Arial" w:hAnsi="Arial" w:cs="Arial"/>
          <w:bCs/>
          <w:color w:val="000000"/>
        </w:rPr>
        <w:t>ment the long list of options, a</w:t>
      </w:r>
      <w:r w:rsidRPr="00587DF1">
        <w:rPr>
          <w:rFonts w:ascii="Arial" w:eastAsia="Arial" w:hAnsi="Arial" w:cs="Arial"/>
          <w:bCs/>
          <w:color w:val="000000"/>
        </w:rPr>
        <w:t xml:space="preserve">ppraise the long list against the </w:t>
      </w:r>
      <w:r>
        <w:rPr>
          <w:rFonts w:ascii="Arial" w:eastAsia="Arial" w:hAnsi="Arial" w:cs="Arial"/>
          <w:bCs/>
          <w:color w:val="000000"/>
        </w:rPr>
        <w:t>CSFs</w:t>
      </w:r>
      <w:r w:rsidRPr="00587DF1">
        <w:rPr>
          <w:rFonts w:ascii="Arial" w:eastAsia="Arial" w:hAnsi="Arial" w:cs="Arial"/>
          <w:bCs/>
          <w:color w:val="000000"/>
        </w:rPr>
        <w:t>, and validate the appraisal in a workshop with a wide range of internal and external stakeholders, including commissioners and patient representatives. The output is a shortlist of</w:t>
      </w:r>
      <w:r>
        <w:rPr>
          <w:rFonts w:ascii="Arial" w:eastAsia="Arial" w:hAnsi="Arial" w:cs="Arial"/>
          <w:bCs/>
          <w:color w:val="000000"/>
        </w:rPr>
        <w:t xml:space="preserve"> options that best meet the CSF</w:t>
      </w:r>
      <w:r w:rsidRPr="00587DF1">
        <w:rPr>
          <w:rFonts w:ascii="Arial" w:eastAsia="Arial" w:hAnsi="Arial" w:cs="Arial"/>
          <w:bCs/>
          <w:color w:val="000000"/>
        </w:rPr>
        <w:t>s.</w:t>
      </w:r>
      <w:r>
        <w:rPr>
          <w:rFonts w:ascii="Arial" w:eastAsia="Arial" w:hAnsi="Arial" w:cs="Arial"/>
          <w:bCs/>
          <w:color w:val="000000"/>
        </w:rPr>
        <w:t xml:space="preserve">  This is set ou</w:t>
      </w:r>
      <w:r w:rsidR="00702F20">
        <w:rPr>
          <w:rFonts w:ascii="Arial" w:eastAsia="Arial" w:hAnsi="Arial" w:cs="Arial"/>
          <w:bCs/>
          <w:color w:val="000000"/>
        </w:rPr>
        <w:t>t in further detail in section 4</w:t>
      </w:r>
      <w:r>
        <w:rPr>
          <w:rFonts w:ascii="Arial" w:eastAsia="Arial" w:hAnsi="Arial" w:cs="Arial"/>
          <w:bCs/>
          <w:color w:val="000000"/>
        </w:rPr>
        <w:t xml:space="preserve">.3.  </w:t>
      </w:r>
    </w:p>
    <w:p w14:paraId="732130C5" w14:textId="77777777" w:rsidR="00FF6E56" w:rsidRDefault="00FF6E56" w:rsidP="00FF6E56">
      <w:p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lastRenderedPageBreak/>
        <w:t>The shortlisted options taken forward for economic appraisal are:</w:t>
      </w:r>
    </w:p>
    <w:p w14:paraId="5B58D925" w14:textId="77777777" w:rsidR="00FF6E56" w:rsidRPr="000D7EB7" w:rsidRDefault="00FF6E56" w:rsidP="004F4B79">
      <w:pPr>
        <w:pStyle w:val="ListParagraph"/>
        <w:numPr>
          <w:ilvl w:val="0"/>
          <w:numId w:val="144"/>
        </w:numPr>
        <w:spacing w:line="264" w:lineRule="auto"/>
        <w:ind w:right="142"/>
        <w:rPr>
          <w:rFonts w:ascii="Arial" w:hAnsi="Arial" w:cs="Arial"/>
        </w:rPr>
      </w:pPr>
      <w:r w:rsidRPr="000D7EB7">
        <w:rPr>
          <w:rFonts w:ascii="Arial" w:hAnsi="Arial" w:cs="Arial"/>
        </w:rPr>
        <w:t xml:space="preserve">Option 0: </w:t>
      </w:r>
      <w:r>
        <w:rPr>
          <w:rFonts w:ascii="Arial" w:hAnsi="Arial" w:cs="Arial"/>
        </w:rPr>
        <w:t>Business as usual (comparator).</w:t>
      </w:r>
    </w:p>
    <w:p w14:paraId="7A8F49B6" w14:textId="77777777" w:rsidR="00FF6E56" w:rsidRPr="00A43B2D" w:rsidRDefault="00FF6E56" w:rsidP="004F4B79">
      <w:pPr>
        <w:pStyle w:val="ListParagraph"/>
        <w:numPr>
          <w:ilvl w:val="0"/>
          <w:numId w:val="144"/>
        </w:numPr>
        <w:spacing w:line="264" w:lineRule="auto"/>
        <w:ind w:right="142"/>
        <w:rPr>
          <w:rFonts w:ascii="Arial" w:hAnsi="Arial" w:cs="Arial"/>
        </w:rPr>
      </w:pPr>
      <w:r w:rsidRPr="000D7EB7">
        <w:rPr>
          <w:rFonts w:ascii="Arial" w:hAnsi="Arial" w:cs="Arial"/>
        </w:rPr>
        <w:t>Op</w:t>
      </w:r>
      <w:r>
        <w:rPr>
          <w:rFonts w:ascii="Arial" w:hAnsi="Arial" w:cs="Arial"/>
        </w:rPr>
        <w:t>tion 1: Do minimum (a</w:t>
      </w:r>
      <w:r w:rsidRPr="00A43B2D">
        <w:rPr>
          <w:rFonts w:ascii="Arial" w:hAnsi="Arial" w:cs="Arial"/>
        </w:rPr>
        <w:t xml:space="preserve"> realistic investment programme to maintain City Road operations)</w:t>
      </w:r>
      <w:r>
        <w:rPr>
          <w:rFonts w:ascii="Arial" w:hAnsi="Arial" w:cs="Arial"/>
        </w:rPr>
        <w:t>.</w:t>
      </w:r>
    </w:p>
    <w:p w14:paraId="660BD32F" w14:textId="77777777" w:rsidR="00FF6E56" w:rsidRDefault="00FF6E56" w:rsidP="004F4B79">
      <w:pPr>
        <w:pStyle w:val="ListParagraph"/>
        <w:numPr>
          <w:ilvl w:val="0"/>
          <w:numId w:val="144"/>
        </w:numPr>
        <w:spacing w:line="264" w:lineRule="auto"/>
        <w:ind w:right="142"/>
        <w:rPr>
          <w:rFonts w:ascii="Arial" w:hAnsi="Arial" w:cs="Arial"/>
        </w:rPr>
      </w:pPr>
      <w:r>
        <w:rPr>
          <w:rFonts w:ascii="Arial" w:hAnsi="Arial" w:cs="Arial"/>
        </w:rPr>
        <w:t>Option 2: Redevelopment of City Road.</w:t>
      </w:r>
    </w:p>
    <w:p w14:paraId="6EB1ACE1" w14:textId="77777777" w:rsidR="00FF6E56" w:rsidRDefault="00FF6E56" w:rsidP="004F4B79">
      <w:pPr>
        <w:pStyle w:val="ListParagraph"/>
        <w:numPr>
          <w:ilvl w:val="0"/>
          <w:numId w:val="144"/>
        </w:numPr>
        <w:spacing w:line="264" w:lineRule="auto"/>
        <w:ind w:right="142"/>
        <w:rPr>
          <w:rFonts w:ascii="Arial" w:hAnsi="Arial" w:cs="Arial"/>
        </w:rPr>
      </w:pPr>
      <w:r>
        <w:rPr>
          <w:rFonts w:ascii="Arial" w:hAnsi="Arial" w:cs="Arial"/>
        </w:rPr>
        <w:t>Option 3: Build a new facility in the St Pancras area – 39,500 square metres.</w:t>
      </w:r>
    </w:p>
    <w:p w14:paraId="0A726E89" w14:textId="354BB677" w:rsidR="00FF6E56" w:rsidRDefault="00FF6E56" w:rsidP="004F4B79">
      <w:pPr>
        <w:pStyle w:val="ListParagraph"/>
        <w:numPr>
          <w:ilvl w:val="0"/>
          <w:numId w:val="144"/>
        </w:numPr>
        <w:spacing w:line="264" w:lineRule="auto"/>
        <w:ind w:right="142"/>
        <w:rPr>
          <w:rFonts w:ascii="Arial" w:hAnsi="Arial" w:cs="Arial"/>
        </w:rPr>
      </w:pPr>
      <w:r>
        <w:rPr>
          <w:rFonts w:ascii="Arial" w:hAnsi="Arial" w:cs="Arial"/>
        </w:rPr>
        <w:t>Option 4: Build a new facility in the St Pancras area – 43,000 square metres.</w:t>
      </w:r>
    </w:p>
    <w:p w14:paraId="34A3C055" w14:textId="77777777" w:rsidR="00FF6E56" w:rsidRPr="00FF6E56" w:rsidRDefault="00FF6E56" w:rsidP="00FF6E56">
      <w:pPr>
        <w:pStyle w:val="ListParagraph"/>
        <w:spacing w:line="264" w:lineRule="auto"/>
        <w:ind w:right="142"/>
        <w:rPr>
          <w:rFonts w:ascii="Arial" w:hAnsi="Arial" w:cs="Arial"/>
        </w:rPr>
      </w:pPr>
    </w:p>
    <w:p w14:paraId="522329A4" w14:textId="365EB970" w:rsidR="00FF6E56" w:rsidRPr="006659AB" w:rsidRDefault="00FF6E56" w:rsidP="00FF6E56">
      <w:pPr>
        <w:pStyle w:val="ListParagraph"/>
        <w:numPr>
          <w:ilvl w:val="2"/>
          <w:numId w:val="1"/>
        </w:numPr>
        <w:pBdr>
          <w:top w:val="nil"/>
          <w:left w:val="nil"/>
          <w:bottom w:val="nil"/>
          <w:right w:val="nil"/>
          <w:between w:val="nil"/>
        </w:pBdr>
        <w:tabs>
          <w:tab w:val="left" w:pos="567"/>
        </w:tabs>
        <w:rPr>
          <w:rFonts w:ascii="Arial" w:eastAsia="Arial" w:hAnsi="Arial" w:cs="Arial"/>
          <w:b/>
          <w:bCs/>
          <w:color w:val="000000"/>
        </w:rPr>
      </w:pPr>
      <w:r w:rsidRPr="006659AB">
        <w:rPr>
          <w:rFonts w:ascii="Arial" w:eastAsia="Arial" w:hAnsi="Arial" w:cs="Arial"/>
          <w:b/>
          <w:bCs/>
          <w:color w:val="000000"/>
        </w:rPr>
        <w:t>Economic appraisal of the short</w:t>
      </w:r>
      <w:r>
        <w:rPr>
          <w:rFonts w:ascii="Arial" w:eastAsia="Arial" w:hAnsi="Arial" w:cs="Arial"/>
          <w:b/>
          <w:bCs/>
          <w:color w:val="000000"/>
        </w:rPr>
        <w:t>listed option</w:t>
      </w:r>
    </w:p>
    <w:p w14:paraId="2A016021" w14:textId="77777777" w:rsidR="00FF6E56" w:rsidRDefault="00FF6E56" w:rsidP="00FF6E56">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 xml:space="preserve">Economic appraisal of the shortlisted options has been conducted using the </w:t>
      </w:r>
      <w:r>
        <w:rPr>
          <w:rFonts w:ascii="Arial" w:eastAsia="Arial" w:hAnsi="Arial" w:cs="Arial"/>
          <w:bCs/>
          <w:color w:val="000000"/>
        </w:rPr>
        <w:t>DHSC</w:t>
      </w:r>
      <w:r w:rsidRPr="00587DF1">
        <w:rPr>
          <w:rFonts w:ascii="Arial" w:eastAsia="Arial" w:hAnsi="Arial" w:cs="Arial"/>
          <w:bCs/>
          <w:color w:val="000000"/>
        </w:rPr>
        <w:t xml:space="preserve"> C</w:t>
      </w:r>
      <w:r>
        <w:rPr>
          <w:rFonts w:ascii="Arial" w:eastAsia="Arial" w:hAnsi="Arial" w:cs="Arial"/>
          <w:bCs/>
          <w:color w:val="000000"/>
        </w:rPr>
        <w:t>omprehensive</w:t>
      </w:r>
      <w:r w:rsidRPr="00587DF1">
        <w:rPr>
          <w:rFonts w:ascii="Arial" w:eastAsia="Arial" w:hAnsi="Arial" w:cs="Arial"/>
          <w:bCs/>
          <w:color w:val="000000"/>
        </w:rPr>
        <w:t xml:space="preserve"> Investment Appraisal </w:t>
      </w:r>
      <w:r>
        <w:rPr>
          <w:rFonts w:ascii="Arial" w:eastAsia="Arial" w:hAnsi="Arial" w:cs="Arial"/>
          <w:bCs/>
          <w:color w:val="000000"/>
        </w:rPr>
        <w:t xml:space="preserve">(CIA) </w:t>
      </w:r>
      <w:r w:rsidRPr="00587DF1">
        <w:rPr>
          <w:rFonts w:ascii="Arial" w:eastAsia="Arial" w:hAnsi="Arial" w:cs="Arial"/>
          <w:bCs/>
          <w:color w:val="000000"/>
        </w:rPr>
        <w:t>Model</w:t>
      </w:r>
      <w:r>
        <w:rPr>
          <w:rFonts w:ascii="Arial" w:eastAsia="Arial" w:hAnsi="Arial" w:cs="Arial"/>
          <w:bCs/>
          <w:color w:val="000000"/>
        </w:rPr>
        <w:t xml:space="preserve"> following the requirements of the HM Treasury Green Book</w:t>
      </w:r>
      <w:r w:rsidRPr="00587DF1">
        <w:rPr>
          <w:rFonts w:ascii="Arial" w:eastAsia="Arial" w:hAnsi="Arial" w:cs="Arial"/>
          <w:bCs/>
          <w:color w:val="000000"/>
        </w:rPr>
        <w:t>.</w:t>
      </w:r>
      <w:r>
        <w:rPr>
          <w:rFonts w:ascii="Arial" w:eastAsia="Arial" w:hAnsi="Arial" w:cs="Arial"/>
          <w:bCs/>
          <w:color w:val="000000"/>
        </w:rPr>
        <w:t xml:space="preserve">  This economic appraisal approach looks beyond an individual organisation and aims to consider instead the value of the preferred option to the UK as a whole.  </w:t>
      </w:r>
      <w:r w:rsidRPr="00B93414">
        <w:rPr>
          <w:rFonts w:ascii="Arial" w:eastAsia="Arial" w:hAnsi="Arial" w:cs="Arial"/>
          <w:bCs/>
          <w:color w:val="000000"/>
        </w:rPr>
        <w:t>The measure of value to th</w:t>
      </w:r>
      <w:r>
        <w:rPr>
          <w:rFonts w:ascii="Arial" w:eastAsia="Arial" w:hAnsi="Arial" w:cs="Arial"/>
          <w:bCs/>
          <w:color w:val="000000"/>
        </w:rPr>
        <w:t xml:space="preserve">e UK as a whole is referred to </w:t>
      </w:r>
      <w:r w:rsidRPr="00B93414">
        <w:rPr>
          <w:rFonts w:ascii="Arial" w:eastAsia="Arial" w:hAnsi="Arial" w:cs="Arial"/>
          <w:bCs/>
          <w:color w:val="000000"/>
        </w:rPr>
        <w:t>as social value</w:t>
      </w:r>
      <w:r>
        <w:rPr>
          <w:rFonts w:ascii="Arial" w:eastAsia="Arial" w:hAnsi="Arial" w:cs="Arial"/>
          <w:bCs/>
          <w:color w:val="000000"/>
        </w:rPr>
        <w:t>.  Value is analysed into costs, benefits and risk.</w:t>
      </w:r>
    </w:p>
    <w:p w14:paraId="11D1ACE1" w14:textId="0E9FF361" w:rsidR="00FF6E56" w:rsidRDefault="00FF6E56" w:rsidP="00FF6E56">
      <w:pPr>
        <w:pBdr>
          <w:top w:val="nil"/>
          <w:left w:val="nil"/>
          <w:bottom w:val="nil"/>
          <w:right w:val="nil"/>
          <w:between w:val="nil"/>
        </w:pBdr>
        <w:tabs>
          <w:tab w:val="left" w:pos="567"/>
        </w:tabs>
        <w:rPr>
          <w:rFonts w:ascii="Arial" w:eastAsia="Arial" w:hAnsi="Arial" w:cs="Arial"/>
          <w:bCs/>
          <w:color w:val="000000"/>
        </w:rPr>
      </w:pPr>
      <w:r w:rsidRPr="003A1814">
        <w:rPr>
          <w:rFonts w:ascii="Arial" w:eastAsia="Arial" w:hAnsi="Arial" w:cs="Arial"/>
          <w:bCs/>
          <w:color w:val="000000"/>
        </w:rPr>
        <w:fldChar w:fldCharType="begin"/>
      </w:r>
      <w:r w:rsidRPr="003A1814">
        <w:rPr>
          <w:rFonts w:ascii="Arial" w:eastAsia="Arial" w:hAnsi="Arial" w:cs="Arial"/>
          <w:bCs/>
          <w:color w:val="000000"/>
        </w:rPr>
        <w:instrText xml:space="preserve"> REF _Ref30684042 \h </w:instrText>
      </w:r>
      <w:r>
        <w:rPr>
          <w:rFonts w:ascii="Arial" w:eastAsia="Arial" w:hAnsi="Arial" w:cs="Arial"/>
          <w:bCs/>
          <w:color w:val="000000"/>
        </w:rPr>
        <w:instrText xml:space="preserve"> \* MERGEFORMAT </w:instrText>
      </w:r>
      <w:r w:rsidRPr="003A1814">
        <w:rPr>
          <w:rFonts w:ascii="Arial" w:eastAsia="Arial" w:hAnsi="Arial" w:cs="Arial"/>
          <w:bCs/>
          <w:color w:val="000000"/>
        </w:rPr>
      </w:r>
      <w:r w:rsidRPr="003A1814">
        <w:rPr>
          <w:rFonts w:ascii="Arial" w:eastAsia="Arial" w:hAnsi="Arial" w:cs="Arial"/>
          <w:bCs/>
          <w:color w:val="000000"/>
        </w:rPr>
        <w:fldChar w:fldCharType="separate"/>
      </w:r>
      <w:r w:rsidR="00A936CD" w:rsidRPr="00A936CD">
        <w:rPr>
          <w:rFonts w:ascii="Arial" w:hAnsi="Arial" w:cs="Arial"/>
        </w:rPr>
        <w:t xml:space="preserve">Table </w:t>
      </w:r>
      <w:r w:rsidR="00A936CD" w:rsidRPr="00A936CD">
        <w:rPr>
          <w:rFonts w:ascii="Arial" w:hAnsi="Arial" w:cs="Arial"/>
          <w:noProof/>
        </w:rPr>
        <w:t>1</w:t>
      </w:r>
      <w:r w:rsidRPr="003A1814">
        <w:rPr>
          <w:rFonts w:ascii="Arial" w:eastAsia="Arial" w:hAnsi="Arial" w:cs="Arial"/>
          <w:bCs/>
          <w:color w:val="000000"/>
        </w:rPr>
        <w:fldChar w:fldCharType="end"/>
      </w:r>
      <w:r w:rsidRPr="003A1814">
        <w:rPr>
          <w:rFonts w:ascii="Arial" w:eastAsia="Arial" w:hAnsi="Arial" w:cs="Arial"/>
          <w:bCs/>
          <w:color w:val="000000"/>
        </w:rPr>
        <w:t xml:space="preserve"> shows the risk adjusted Net Present Social Value (NPSV) for each shortlisted option,</w:t>
      </w:r>
      <w:r>
        <w:rPr>
          <w:rFonts w:ascii="Arial" w:eastAsia="Arial" w:hAnsi="Arial" w:cs="Arial"/>
          <w:bCs/>
          <w:color w:val="000000"/>
        </w:rPr>
        <w:t xml:space="preserve"> and the benefit-cost ratio, compared to the ‘business as usual’ option (Option 0).  NPSV represents the total social value (all costs, benefits and risks for the option), adjusted to take into account of the time value of money (following Green Book rules on discounting).  The appraisal covers a 60 year period, considered to be the useful economic life of the asset.  All costs are uninflated with the base year as 2019/20.</w:t>
      </w:r>
    </w:p>
    <w:p w14:paraId="33E1F3E1" w14:textId="154ADBED" w:rsidR="00FF6E56" w:rsidRDefault="00FF6E56" w:rsidP="00FF6E56">
      <w:pPr>
        <w:pStyle w:val="Caption"/>
      </w:pPr>
      <w:bookmarkStart w:id="4" w:name="_Ref30684042"/>
      <w:r>
        <w:t xml:space="preserve">Table </w:t>
      </w:r>
      <w:r>
        <w:fldChar w:fldCharType="begin"/>
      </w:r>
      <w:r>
        <w:instrText xml:space="preserve"> SEQ Table \* ARABIC </w:instrText>
      </w:r>
      <w:r>
        <w:fldChar w:fldCharType="separate"/>
      </w:r>
      <w:r w:rsidR="00A936CD">
        <w:rPr>
          <w:noProof/>
        </w:rPr>
        <w:t>1</w:t>
      </w:r>
      <w:r>
        <w:fldChar w:fldCharType="end"/>
      </w:r>
      <w:bookmarkEnd w:id="4"/>
      <w:r>
        <w:t xml:space="preserve">: </w:t>
      </w:r>
      <w:r w:rsidRPr="001548E4">
        <w:rPr>
          <w:b w:val="0"/>
        </w:rPr>
        <w:t>Summary of economic appraisal</w:t>
      </w:r>
    </w:p>
    <w:p w14:paraId="7E55C4CB" w14:textId="2D380FC2" w:rsidR="00FF6E56" w:rsidRDefault="00FF6E56" w:rsidP="00FF6E56">
      <w:pPr>
        <w:pBdr>
          <w:top w:val="nil"/>
          <w:left w:val="nil"/>
          <w:bottom w:val="nil"/>
          <w:right w:val="nil"/>
          <w:between w:val="nil"/>
        </w:pBdr>
        <w:tabs>
          <w:tab w:val="left" w:pos="567"/>
        </w:tabs>
        <w:rPr>
          <w:rFonts w:ascii="Arial" w:eastAsia="Arial" w:hAnsi="Arial" w:cs="Arial"/>
          <w:bCs/>
          <w:color w:val="000000"/>
        </w:rPr>
      </w:pPr>
    </w:p>
    <w:p w14:paraId="7583CF85" w14:textId="609922D8" w:rsidR="00AC38C4" w:rsidRDefault="00AC38C4" w:rsidP="00FF6E56">
      <w:p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[Redacted]</w:t>
      </w:r>
    </w:p>
    <w:p w14:paraId="3B6B9995" w14:textId="4EDC53B3" w:rsidR="00FF6E56" w:rsidRDefault="00FF6E56" w:rsidP="00FF6E56">
      <w:p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 xml:space="preserve">Options 3 and 4 have the highest incremental NPSV and benefit-cost ratio. Option 4 has been rejected on the basis of affordability.  </w:t>
      </w:r>
    </w:p>
    <w:p w14:paraId="12A567F6" w14:textId="4A97245F" w:rsidR="00B90E6C" w:rsidRDefault="00FF6E56" w:rsidP="00FF6E56">
      <w:p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Therefore, Option 3 has been sele</w:t>
      </w:r>
      <w:r w:rsidR="00F5376C">
        <w:rPr>
          <w:rFonts w:ascii="Arial" w:eastAsia="Arial" w:hAnsi="Arial" w:cs="Arial"/>
          <w:bCs/>
          <w:color w:val="000000"/>
        </w:rPr>
        <w:t xml:space="preserve">cted as the preferred option.  </w:t>
      </w:r>
    </w:p>
    <w:p w14:paraId="235B23AF" w14:textId="77777777" w:rsidR="00F5376C" w:rsidRPr="00587DF1" w:rsidRDefault="00F5376C" w:rsidP="00FF6E56">
      <w:pPr>
        <w:pBdr>
          <w:top w:val="nil"/>
          <w:left w:val="nil"/>
          <w:bottom w:val="nil"/>
          <w:right w:val="nil"/>
          <w:between w:val="nil"/>
        </w:pBdr>
        <w:tabs>
          <w:tab w:val="left" w:pos="567"/>
        </w:tabs>
        <w:rPr>
          <w:rFonts w:ascii="Arial" w:eastAsia="Arial" w:hAnsi="Arial" w:cs="Arial"/>
          <w:bCs/>
          <w:color w:val="000000"/>
        </w:rPr>
      </w:pPr>
    </w:p>
    <w:p w14:paraId="6A5D20B3" w14:textId="71ACCEB7" w:rsidR="00FF6E56" w:rsidRPr="006659AB" w:rsidRDefault="00FF6E56" w:rsidP="00FF6E56">
      <w:pPr>
        <w:pStyle w:val="ListParagraph"/>
        <w:numPr>
          <w:ilvl w:val="2"/>
          <w:numId w:val="1"/>
        </w:numPr>
        <w:pBdr>
          <w:top w:val="nil"/>
          <w:left w:val="nil"/>
          <w:bottom w:val="nil"/>
          <w:right w:val="nil"/>
          <w:between w:val="nil"/>
        </w:pBdr>
        <w:tabs>
          <w:tab w:val="left" w:pos="567"/>
        </w:tabs>
        <w:rPr>
          <w:rFonts w:ascii="Arial" w:eastAsia="Arial" w:hAnsi="Arial" w:cs="Arial"/>
          <w:b/>
          <w:bCs/>
          <w:color w:val="000000"/>
        </w:rPr>
      </w:pPr>
      <w:r w:rsidRPr="006659AB">
        <w:rPr>
          <w:rFonts w:ascii="Arial" w:eastAsia="Arial" w:hAnsi="Arial" w:cs="Arial"/>
          <w:b/>
          <w:bCs/>
          <w:color w:val="000000"/>
        </w:rPr>
        <w:t>Sensitivity analysis</w:t>
      </w:r>
    </w:p>
    <w:p w14:paraId="11BC65E5" w14:textId="77777777" w:rsidR="00FF6E56" w:rsidRDefault="00FF6E56" w:rsidP="00FF6E56">
      <w:pPr>
        <w:pBdr>
          <w:top w:val="nil"/>
          <w:left w:val="nil"/>
          <w:bottom w:val="nil"/>
          <w:right w:val="nil"/>
          <w:between w:val="nil"/>
        </w:pBdr>
        <w:tabs>
          <w:tab w:val="left" w:pos="567"/>
        </w:tabs>
        <w:spacing w:after="0"/>
        <w:rPr>
          <w:rFonts w:ascii="Arial" w:eastAsia="Arial" w:hAnsi="Arial" w:cs="Arial"/>
          <w:bCs/>
          <w:color w:val="000000"/>
        </w:rPr>
      </w:pPr>
      <w:r>
        <w:rPr>
          <w:rFonts w:ascii="Arial" w:eastAsia="Arial" w:hAnsi="Arial" w:cs="Arial"/>
          <w:bCs/>
          <w:color w:val="000000"/>
        </w:rPr>
        <w:t>S</w:t>
      </w:r>
      <w:r w:rsidRPr="00587DF1">
        <w:rPr>
          <w:rFonts w:ascii="Arial" w:eastAsia="Arial" w:hAnsi="Arial" w:cs="Arial"/>
          <w:bCs/>
          <w:color w:val="000000"/>
        </w:rPr>
        <w:t xml:space="preserve">ensitivity analysis </w:t>
      </w:r>
      <w:r>
        <w:rPr>
          <w:rFonts w:ascii="Arial" w:eastAsia="Arial" w:hAnsi="Arial" w:cs="Arial"/>
          <w:bCs/>
          <w:color w:val="000000"/>
        </w:rPr>
        <w:t>has been conducted to test the robustness of the selection of the preferred option.  The assessment demonstrates that the selection of the preferred option is not sensitive to changes in any individual assumption.</w:t>
      </w:r>
    </w:p>
    <w:p w14:paraId="039DC721" w14:textId="77777777" w:rsidR="00FF6E56" w:rsidRDefault="00FF6E56" w:rsidP="00FF6E56">
      <w:pPr>
        <w:pBdr>
          <w:top w:val="nil"/>
          <w:left w:val="nil"/>
          <w:bottom w:val="nil"/>
          <w:right w:val="nil"/>
          <w:between w:val="nil"/>
        </w:pBdr>
        <w:tabs>
          <w:tab w:val="left" w:pos="567"/>
        </w:tabs>
        <w:spacing w:after="0"/>
        <w:rPr>
          <w:rFonts w:ascii="Arial" w:eastAsia="Arial" w:hAnsi="Arial" w:cs="Arial"/>
          <w:bCs/>
          <w:color w:val="000000"/>
        </w:rPr>
      </w:pPr>
    </w:p>
    <w:p w14:paraId="3570C763" w14:textId="77777777" w:rsidR="005956CA" w:rsidRDefault="005956CA" w:rsidP="005956CA">
      <w:pPr>
        <w:rPr>
          <w:rFonts w:ascii="Arial" w:hAnsi="Arial" w:cs="Arial"/>
        </w:rPr>
      </w:pPr>
      <w:r>
        <w:rPr>
          <w:rFonts w:ascii="Arial" w:hAnsi="Arial" w:cs="Arial"/>
        </w:rPr>
        <w:t>The following scenario has been constructed as a downside scenario, where multiple assumptions have a less favourable impact:</w:t>
      </w:r>
    </w:p>
    <w:p w14:paraId="429DF9AE" w14:textId="77777777" w:rsidR="005956CA" w:rsidRDefault="005956CA" w:rsidP="005956CA">
      <w:pPr>
        <w:pStyle w:val="ListParagraph"/>
        <w:numPr>
          <w:ilvl w:val="0"/>
          <w:numId w:val="142"/>
        </w:numPr>
        <w:rPr>
          <w:rFonts w:ascii="Arial" w:hAnsi="Arial" w:cs="Arial"/>
        </w:rPr>
      </w:pPr>
      <w:r>
        <w:rPr>
          <w:rFonts w:ascii="Arial" w:hAnsi="Arial" w:cs="Arial"/>
        </w:rPr>
        <w:t>Sensitivity 1: Capital costs increase by 25%</w:t>
      </w:r>
    </w:p>
    <w:p w14:paraId="41806473" w14:textId="77777777" w:rsidR="005956CA" w:rsidRDefault="005956CA" w:rsidP="005956CA">
      <w:pPr>
        <w:pStyle w:val="ListParagraph"/>
        <w:numPr>
          <w:ilvl w:val="0"/>
          <w:numId w:val="142"/>
        </w:numPr>
        <w:rPr>
          <w:rFonts w:ascii="Arial" w:hAnsi="Arial" w:cs="Arial"/>
        </w:rPr>
      </w:pPr>
      <w:r>
        <w:rPr>
          <w:rFonts w:ascii="Arial" w:hAnsi="Arial" w:cs="Arial"/>
        </w:rPr>
        <w:t>Sensitivity 2: City Road sales proceeds at the CBRE downside valuation</w:t>
      </w:r>
    </w:p>
    <w:p w14:paraId="759A5A41" w14:textId="77777777" w:rsidR="005956CA" w:rsidRDefault="005956CA" w:rsidP="005956CA">
      <w:pPr>
        <w:pStyle w:val="ListParagraph"/>
        <w:numPr>
          <w:ilvl w:val="0"/>
          <w:numId w:val="142"/>
        </w:numPr>
        <w:rPr>
          <w:rFonts w:ascii="Arial" w:hAnsi="Arial" w:cs="Arial"/>
        </w:rPr>
      </w:pPr>
      <w:r>
        <w:rPr>
          <w:rFonts w:ascii="Arial" w:hAnsi="Arial" w:cs="Arial"/>
        </w:rPr>
        <w:t>Sensitivity 3: Reduced improved clinical outcomes benefit by 25%</w:t>
      </w:r>
    </w:p>
    <w:p w14:paraId="3D855E95" w14:textId="77777777" w:rsidR="005956CA" w:rsidRDefault="005956CA" w:rsidP="005956CA">
      <w:pPr>
        <w:pStyle w:val="ListParagraph"/>
        <w:numPr>
          <w:ilvl w:val="0"/>
          <w:numId w:val="142"/>
        </w:numPr>
        <w:rPr>
          <w:rFonts w:ascii="Arial" w:hAnsi="Arial" w:cs="Arial"/>
        </w:rPr>
      </w:pPr>
      <w:r>
        <w:rPr>
          <w:rFonts w:ascii="Arial" w:hAnsi="Arial" w:cs="Arial"/>
        </w:rPr>
        <w:lastRenderedPageBreak/>
        <w:t>Sensitivity 4: Reduced NHS growth to the reprovision growth rate assessed by Edge Health as part of the DMBC</w:t>
      </w:r>
    </w:p>
    <w:p w14:paraId="408A546B" w14:textId="77777777" w:rsidR="005956CA" w:rsidRDefault="005956CA" w:rsidP="005956CA">
      <w:pPr>
        <w:pStyle w:val="ListParagraph"/>
        <w:numPr>
          <w:ilvl w:val="0"/>
          <w:numId w:val="142"/>
        </w:numPr>
        <w:rPr>
          <w:rFonts w:ascii="Arial" w:hAnsi="Arial" w:cs="Arial"/>
        </w:rPr>
      </w:pPr>
      <w:r>
        <w:rPr>
          <w:rFonts w:ascii="Arial" w:hAnsi="Arial" w:cs="Arial"/>
        </w:rPr>
        <w:t>Sensitivity 5: Reduced private patient growth to overall market growth rate of 2.5% p.a.</w:t>
      </w:r>
    </w:p>
    <w:p w14:paraId="15D561FE" w14:textId="77777777" w:rsidR="005956CA" w:rsidRDefault="005956CA" w:rsidP="005956CA">
      <w:pPr>
        <w:rPr>
          <w:rFonts w:ascii="Arial" w:hAnsi="Arial" w:cs="Arial"/>
        </w:rPr>
      </w:pPr>
      <w:r>
        <w:rPr>
          <w:rFonts w:ascii="Arial" w:hAnsi="Arial" w:cs="Arial"/>
        </w:rPr>
        <w:t>The impact of this on the economic case is summarised in the following table:</w:t>
      </w:r>
    </w:p>
    <w:p w14:paraId="361D0DF0" w14:textId="6661DEF6" w:rsidR="005956CA" w:rsidRDefault="00AC38C4" w:rsidP="005956CA">
      <w:pPr>
        <w:rPr>
          <w:rFonts w:ascii="Arial" w:hAnsi="Arial" w:cs="Arial"/>
        </w:rPr>
      </w:pPr>
      <w:r>
        <w:rPr>
          <w:rFonts w:ascii="Arial" w:hAnsi="Arial" w:cs="Arial"/>
        </w:rPr>
        <w:t>[Redacted]</w:t>
      </w:r>
    </w:p>
    <w:p w14:paraId="44FC750C" w14:textId="13DBEFAE" w:rsidR="007E13F3" w:rsidRDefault="007E13F3" w:rsidP="007E13F3">
      <w:pPr>
        <w:spacing w:after="0"/>
        <w:rPr>
          <w:rFonts w:ascii="Arial" w:hAnsi="Arial" w:cs="Arial"/>
        </w:rPr>
      </w:pPr>
      <w:r w:rsidRPr="007E13F3">
        <w:rPr>
          <w:rFonts w:ascii="Arial" w:hAnsi="Arial" w:cs="Arial"/>
        </w:rPr>
        <w:t>This demonstrates that in this downside scenario, the conclusion of the economic app</w:t>
      </w:r>
      <w:r>
        <w:rPr>
          <w:rFonts w:ascii="Arial" w:hAnsi="Arial" w:cs="Arial"/>
        </w:rPr>
        <w:t>raisal remains the same, with the preferred option having a</w:t>
      </w:r>
      <w:r w:rsidRPr="007E13F3">
        <w:rPr>
          <w:rFonts w:ascii="Arial" w:hAnsi="Arial" w:cs="Arial"/>
        </w:rPr>
        <w:t xml:space="preserve"> significantly positive NPSV and a benefits-cost ratio of 3.2.</w:t>
      </w:r>
    </w:p>
    <w:p w14:paraId="00B377D1" w14:textId="77777777" w:rsidR="007E13F3" w:rsidRPr="007E13F3" w:rsidRDefault="007E13F3" w:rsidP="007E13F3">
      <w:pPr>
        <w:spacing w:after="0"/>
        <w:rPr>
          <w:rFonts w:ascii="Arial" w:hAnsi="Arial" w:cs="Arial"/>
        </w:rPr>
      </w:pPr>
    </w:p>
    <w:p w14:paraId="5AB43C84" w14:textId="47FA8AD4" w:rsidR="00FF6E56" w:rsidRPr="00FF6E56" w:rsidRDefault="00FF6E56" w:rsidP="00FF6E56">
      <w:pPr>
        <w:pStyle w:val="ListParagraph"/>
        <w:numPr>
          <w:ilvl w:val="2"/>
          <w:numId w:val="1"/>
        </w:numPr>
        <w:pBdr>
          <w:top w:val="nil"/>
          <w:left w:val="nil"/>
          <w:bottom w:val="nil"/>
          <w:right w:val="nil"/>
          <w:between w:val="nil"/>
        </w:pBdr>
        <w:tabs>
          <w:tab w:val="left" w:pos="567"/>
        </w:tabs>
        <w:rPr>
          <w:rFonts w:ascii="Arial" w:eastAsia="Arial" w:hAnsi="Arial" w:cs="Arial"/>
          <w:b/>
          <w:bCs/>
          <w:color w:val="000000"/>
        </w:rPr>
      </w:pPr>
      <w:r w:rsidRPr="00FF6E56">
        <w:rPr>
          <w:rFonts w:ascii="Arial" w:eastAsia="Arial" w:hAnsi="Arial" w:cs="Arial"/>
          <w:b/>
          <w:bCs/>
          <w:color w:val="000000"/>
        </w:rPr>
        <w:t>Preferred option</w:t>
      </w:r>
    </w:p>
    <w:p w14:paraId="4F8273DC" w14:textId="174E8C5E" w:rsidR="00FF6E56" w:rsidRDefault="00FF6E56" w:rsidP="00FF6E56">
      <w:pPr>
        <w:rPr>
          <w:rFonts w:ascii="Arial" w:eastAsia="Arial" w:hAnsi="Arial" w:cs="Arial"/>
          <w:b/>
          <w:sz w:val="28"/>
          <w:szCs w:val="28"/>
        </w:rPr>
      </w:pPr>
      <w:r>
        <w:rPr>
          <w:rFonts w:ascii="Arial" w:eastAsia="Arial" w:hAnsi="Arial" w:cs="Arial"/>
        </w:rPr>
        <w:t>The option to build a new facility at the St Pancras site with an area of 39,500 square metres (Option 3) has been identified as the preferred option.  Economic appraisal of the shortlist has demonstrated that this is the option with the highest NPSV and benefit-cost ratio, and this conclusion is not sensitive to reasonable changes in the assumptions used.</w:t>
      </w:r>
    </w:p>
    <w:p w14:paraId="44C53C56" w14:textId="05C85DE6" w:rsidR="00FF6E56" w:rsidRDefault="00FF6E56" w:rsidP="00C83AD9">
      <w:pPr>
        <w:spacing w:after="0"/>
        <w:rPr>
          <w:rFonts w:ascii="Arial" w:eastAsia="Arial" w:hAnsi="Arial" w:cs="Arial"/>
        </w:rPr>
      </w:pPr>
    </w:p>
    <w:p w14:paraId="72C6FB25" w14:textId="77777777" w:rsidR="00FF6E56" w:rsidRPr="00C83AD9" w:rsidRDefault="00FF6E56" w:rsidP="00C83AD9">
      <w:pPr>
        <w:spacing w:after="0"/>
        <w:rPr>
          <w:rFonts w:ascii="Arial" w:eastAsia="Arial" w:hAnsi="Arial" w:cs="Arial"/>
        </w:rPr>
      </w:pPr>
    </w:p>
    <w:p w14:paraId="33C00691" w14:textId="77777777" w:rsidR="00587DF1" w:rsidRPr="00587DF1" w:rsidRDefault="00587DF1" w:rsidP="005E0D57">
      <w:pPr>
        <w:pStyle w:val="Heading2"/>
        <w:numPr>
          <w:ilvl w:val="1"/>
          <w:numId w:val="1"/>
        </w:numPr>
        <w:rPr>
          <w:rFonts w:ascii="Arial" w:eastAsia="Arial" w:hAnsi="Arial" w:cs="Arial"/>
        </w:rPr>
      </w:pPr>
      <w:bookmarkStart w:id="5" w:name="_Toc32842663"/>
      <w:r w:rsidRPr="00587DF1">
        <w:rPr>
          <w:rFonts w:ascii="Arial" w:eastAsia="Arial" w:hAnsi="Arial" w:cs="Arial"/>
        </w:rPr>
        <w:t>Clinical quality case</w:t>
      </w:r>
      <w:bookmarkEnd w:id="5"/>
    </w:p>
    <w:p w14:paraId="68C8BA32" w14:textId="77777777" w:rsidR="00587DF1" w:rsidRPr="00587DF1" w:rsidRDefault="00587DF1" w:rsidP="00587DF1">
      <w:pPr>
        <w:spacing w:after="0"/>
        <w:rPr>
          <w:rFonts w:ascii="Arial" w:eastAsia="Arial" w:hAnsi="Arial" w:cs="Arial"/>
        </w:rPr>
      </w:pPr>
    </w:p>
    <w:p w14:paraId="779C01FA" w14:textId="77777777" w:rsidR="0099383D" w:rsidRPr="0099383D" w:rsidRDefault="0099383D" w:rsidP="005E0D57">
      <w:pPr>
        <w:numPr>
          <w:ilvl w:val="2"/>
          <w:numId w:val="1"/>
        </w:numPr>
        <w:pBdr>
          <w:top w:val="nil"/>
          <w:left w:val="nil"/>
          <w:bottom w:val="nil"/>
          <w:right w:val="nil"/>
          <w:between w:val="nil"/>
        </w:pBdr>
        <w:spacing w:after="0" w:line="240" w:lineRule="auto"/>
        <w:ind w:left="567" w:hanging="567"/>
        <w:jc w:val="both"/>
        <w:rPr>
          <w:rFonts w:ascii="Arial" w:eastAsia="Arial" w:hAnsi="Arial" w:cs="Arial"/>
          <w:bCs/>
          <w:color w:val="000000"/>
        </w:rPr>
      </w:pPr>
      <w:r w:rsidRPr="0099383D">
        <w:rPr>
          <w:rFonts w:ascii="Arial" w:eastAsia="Arial" w:hAnsi="Arial" w:cs="Arial"/>
          <w:b/>
        </w:rPr>
        <w:t>Clinical pathways</w:t>
      </w:r>
    </w:p>
    <w:p w14:paraId="3704D0A7" w14:textId="77777777" w:rsidR="0099383D" w:rsidRDefault="0099383D" w:rsidP="00587DF1">
      <w:pPr>
        <w:spacing w:after="0"/>
        <w:rPr>
          <w:rFonts w:ascii="Arial" w:eastAsia="Arial" w:hAnsi="Arial" w:cs="Arial"/>
        </w:rPr>
      </w:pPr>
    </w:p>
    <w:p w14:paraId="34B2CAA6" w14:textId="4A150451" w:rsidR="00E44399" w:rsidRDefault="00E44399" w:rsidP="00E44399">
      <w:pPr>
        <w:spacing w:after="0"/>
        <w:rPr>
          <w:rFonts w:ascii="Arial" w:eastAsia="Arial" w:hAnsi="Arial" w:cs="Arial"/>
          <w:bCs/>
          <w:color w:val="000000"/>
        </w:rPr>
      </w:pPr>
      <w:r>
        <w:rPr>
          <w:rFonts w:ascii="Arial" w:hAnsi="Arial" w:cs="Arial"/>
        </w:rPr>
        <w:t xml:space="preserve">The clinical case for change was reviewed by the London Clinical Senate in November 2018, which noted </w:t>
      </w:r>
      <w:r>
        <w:rPr>
          <w:rFonts w:ascii="Arial" w:eastAsia="Arial" w:hAnsi="Arial" w:cs="Arial"/>
          <w:bCs/>
          <w:color w:val="000000"/>
        </w:rPr>
        <w:t>“</w:t>
      </w:r>
      <w:r w:rsidRPr="00466BD8">
        <w:rPr>
          <w:rFonts w:ascii="Arial" w:eastAsia="Arial" w:hAnsi="Arial" w:cs="Arial"/>
          <w:bCs/>
          <w:color w:val="000000"/>
        </w:rPr>
        <w:t>a clear, clinical evidence base to support the proposed move of the services at City Road to the new site at St Pancras Hospital</w:t>
      </w:r>
      <w:r>
        <w:rPr>
          <w:rFonts w:ascii="Arial" w:eastAsia="Arial" w:hAnsi="Arial" w:cs="Arial"/>
          <w:bCs/>
          <w:color w:val="000000"/>
        </w:rPr>
        <w:t>”.</w:t>
      </w:r>
    </w:p>
    <w:p w14:paraId="2353723E" w14:textId="77777777" w:rsidR="00E44399" w:rsidRPr="00587DF1" w:rsidRDefault="00E44399" w:rsidP="00E44399">
      <w:pPr>
        <w:spacing w:after="0"/>
        <w:rPr>
          <w:rFonts w:ascii="Arial" w:eastAsia="Arial" w:hAnsi="Arial" w:cs="Arial"/>
        </w:rPr>
      </w:pPr>
    </w:p>
    <w:p w14:paraId="4EC561D2" w14:textId="06F2084F" w:rsidR="00587DF1" w:rsidRDefault="00587DF1" w:rsidP="00587DF1">
      <w:pPr>
        <w:spacing w:after="0"/>
        <w:rPr>
          <w:rFonts w:ascii="Arial" w:eastAsia="Arial" w:hAnsi="Arial" w:cs="Arial"/>
        </w:rPr>
      </w:pPr>
      <w:r w:rsidRPr="00587DF1">
        <w:rPr>
          <w:rFonts w:ascii="Arial" w:eastAsia="Arial" w:hAnsi="Arial" w:cs="Arial"/>
        </w:rPr>
        <w:t>Moorfields has developed proposed clinical models for each of its core services (outpatients, A&amp;E and urgent care, surgery and paediatrics), which form the basis of the design brief, IT and workforce plans. These have been developed by user groups, based on the needs of patients.</w:t>
      </w:r>
      <w:r w:rsidR="003A1814">
        <w:rPr>
          <w:rFonts w:ascii="Arial" w:eastAsia="Arial" w:hAnsi="Arial" w:cs="Arial"/>
        </w:rPr>
        <w:t xml:space="preserve"> Patient involvement in design development is planned through these user groups, and the patient-led Oriel Advisory Group.</w:t>
      </w:r>
    </w:p>
    <w:p w14:paraId="0E357ADF" w14:textId="34B76B05" w:rsidR="00E44399" w:rsidRDefault="00E44399" w:rsidP="00587DF1">
      <w:pPr>
        <w:spacing w:after="0"/>
        <w:rPr>
          <w:rFonts w:ascii="Arial" w:eastAsia="Arial" w:hAnsi="Arial" w:cs="Arial"/>
        </w:rPr>
      </w:pPr>
    </w:p>
    <w:p w14:paraId="7FFECA5F" w14:textId="77777777" w:rsidR="00587DF1" w:rsidRPr="00587DF1" w:rsidRDefault="00587DF1" w:rsidP="00587DF1">
      <w:pPr>
        <w:spacing w:after="0"/>
        <w:rPr>
          <w:rFonts w:ascii="Arial" w:eastAsia="Arial" w:hAnsi="Arial" w:cs="Arial"/>
        </w:rPr>
      </w:pPr>
      <w:r w:rsidRPr="00587DF1">
        <w:rPr>
          <w:rFonts w:ascii="Arial" w:eastAsia="Arial" w:hAnsi="Arial" w:cs="Arial"/>
        </w:rPr>
        <w:t>The core principles underpinning the clinical pathways are:</w:t>
      </w:r>
    </w:p>
    <w:p w14:paraId="6CA69665" w14:textId="3626F33E" w:rsidR="00587DF1" w:rsidRPr="00587DF1" w:rsidRDefault="00587DF1" w:rsidP="005E0D57">
      <w:pPr>
        <w:pStyle w:val="ListParagraph"/>
        <w:numPr>
          <w:ilvl w:val="0"/>
          <w:numId w:val="28"/>
        </w:numPr>
        <w:spacing w:after="0" w:line="264" w:lineRule="auto"/>
        <w:ind w:right="142"/>
        <w:rPr>
          <w:rFonts w:ascii="Arial" w:hAnsi="Arial" w:cs="Arial"/>
          <w:b/>
          <w:bCs/>
        </w:rPr>
      </w:pPr>
      <w:r w:rsidRPr="00587DF1">
        <w:rPr>
          <w:rFonts w:ascii="Arial" w:hAnsi="Arial" w:cs="Arial"/>
          <w:b/>
          <w:bCs/>
        </w:rPr>
        <w:t>Patient Experience</w:t>
      </w:r>
    </w:p>
    <w:p w14:paraId="4DE49282" w14:textId="33C716C1" w:rsidR="00587DF1" w:rsidRPr="00B8080B" w:rsidRDefault="00587DF1" w:rsidP="00190084">
      <w:pPr>
        <w:pStyle w:val="ListParagraph"/>
        <w:numPr>
          <w:ilvl w:val="0"/>
          <w:numId w:val="93"/>
        </w:numPr>
        <w:spacing w:line="264" w:lineRule="auto"/>
        <w:ind w:right="142"/>
        <w:rPr>
          <w:rFonts w:ascii="Arial" w:hAnsi="Arial" w:cs="Arial"/>
        </w:rPr>
      </w:pPr>
      <w:r w:rsidRPr="00B8080B">
        <w:rPr>
          <w:rFonts w:ascii="Arial" w:hAnsi="Arial" w:cs="Arial"/>
        </w:rPr>
        <w:t xml:space="preserve">Patient-centred: </w:t>
      </w:r>
      <w:r w:rsidR="003A1814" w:rsidRPr="00B8080B">
        <w:rPr>
          <w:rFonts w:ascii="Arial" w:hAnsi="Arial" w:cs="Arial"/>
        </w:rPr>
        <w:t xml:space="preserve">Users’ </w:t>
      </w:r>
      <w:r w:rsidRPr="00B8080B">
        <w:rPr>
          <w:rFonts w:ascii="Arial" w:hAnsi="Arial" w:cs="Arial"/>
        </w:rPr>
        <w:t>needs and perspective drive the design</w:t>
      </w:r>
      <w:r w:rsidR="00236908">
        <w:rPr>
          <w:rFonts w:ascii="Arial" w:hAnsi="Arial" w:cs="Arial"/>
        </w:rPr>
        <w:t>.</w:t>
      </w:r>
    </w:p>
    <w:p w14:paraId="54D55BC5" w14:textId="15EDDD44" w:rsidR="00587DF1" w:rsidRPr="00B8080B" w:rsidRDefault="00587DF1" w:rsidP="00190084">
      <w:pPr>
        <w:pStyle w:val="ListParagraph"/>
        <w:numPr>
          <w:ilvl w:val="0"/>
          <w:numId w:val="93"/>
        </w:numPr>
        <w:spacing w:line="264" w:lineRule="auto"/>
        <w:ind w:right="142"/>
        <w:rPr>
          <w:rFonts w:ascii="Arial" w:hAnsi="Arial" w:cs="Arial"/>
        </w:rPr>
      </w:pPr>
      <w:r w:rsidRPr="00B8080B">
        <w:rPr>
          <w:rFonts w:ascii="Arial" w:hAnsi="Arial" w:cs="Arial"/>
        </w:rPr>
        <w:t xml:space="preserve">Personalised care: </w:t>
      </w:r>
      <w:r w:rsidR="003A1814">
        <w:rPr>
          <w:rFonts w:ascii="Arial" w:hAnsi="Arial" w:cs="Arial"/>
        </w:rPr>
        <w:t xml:space="preserve">Providing </w:t>
      </w:r>
      <w:r w:rsidRPr="00B8080B">
        <w:rPr>
          <w:rFonts w:ascii="Arial" w:hAnsi="Arial" w:cs="Arial"/>
        </w:rPr>
        <w:t xml:space="preserve">reassurance and reminders to improve </w:t>
      </w:r>
      <w:r w:rsidR="003A1814">
        <w:rPr>
          <w:rFonts w:ascii="Arial" w:hAnsi="Arial" w:cs="Arial"/>
        </w:rPr>
        <w:t xml:space="preserve">patient </w:t>
      </w:r>
      <w:r w:rsidRPr="00B8080B">
        <w:rPr>
          <w:rFonts w:ascii="Arial" w:hAnsi="Arial" w:cs="Arial"/>
        </w:rPr>
        <w:t>experience</w:t>
      </w:r>
      <w:r w:rsidR="003A1814">
        <w:rPr>
          <w:rFonts w:ascii="Arial" w:hAnsi="Arial" w:cs="Arial"/>
        </w:rPr>
        <w:t>, and</w:t>
      </w:r>
      <w:r w:rsidRPr="00B8080B">
        <w:rPr>
          <w:rFonts w:ascii="Arial" w:hAnsi="Arial" w:cs="Arial"/>
        </w:rPr>
        <w:t xml:space="preserve"> additional and appropriate support to vulnerable patients</w:t>
      </w:r>
      <w:r w:rsidR="00236908">
        <w:rPr>
          <w:rFonts w:ascii="Arial" w:hAnsi="Arial" w:cs="Arial"/>
        </w:rPr>
        <w:t>.</w:t>
      </w:r>
    </w:p>
    <w:p w14:paraId="182E668A" w14:textId="12022E8A" w:rsidR="00587DF1" w:rsidRPr="00B8080B" w:rsidRDefault="00587DF1" w:rsidP="00190084">
      <w:pPr>
        <w:pStyle w:val="ListParagraph"/>
        <w:numPr>
          <w:ilvl w:val="0"/>
          <w:numId w:val="93"/>
        </w:numPr>
        <w:spacing w:line="264" w:lineRule="auto"/>
        <w:ind w:right="142"/>
        <w:rPr>
          <w:rFonts w:ascii="Arial" w:hAnsi="Arial" w:cs="Arial"/>
        </w:rPr>
      </w:pPr>
      <w:r w:rsidRPr="00B8080B">
        <w:rPr>
          <w:rFonts w:ascii="Arial" w:hAnsi="Arial" w:cs="Arial"/>
        </w:rPr>
        <w:t xml:space="preserve">Empowered patients: </w:t>
      </w:r>
      <w:r w:rsidR="003A1814" w:rsidRPr="00B8080B">
        <w:rPr>
          <w:rFonts w:ascii="Arial" w:hAnsi="Arial" w:cs="Arial"/>
        </w:rPr>
        <w:t xml:space="preserve">Proactively </w:t>
      </w:r>
      <w:r w:rsidRPr="00B8080B">
        <w:rPr>
          <w:rFonts w:ascii="Arial" w:hAnsi="Arial" w:cs="Arial"/>
        </w:rPr>
        <w:t>educat</w:t>
      </w:r>
      <w:r w:rsidR="003A1814">
        <w:rPr>
          <w:rFonts w:ascii="Arial" w:hAnsi="Arial" w:cs="Arial"/>
        </w:rPr>
        <w:t>ing</w:t>
      </w:r>
      <w:r w:rsidRPr="00B8080B">
        <w:rPr>
          <w:rFonts w:ascii="Arial" w:hAnsi="Arial" w:cs="Arial"/>
        </w:rPr>
        <w:t xml:space="preserve"> patients and support</w:t>
      </w:r>
      <w:r w:rsidR="003A1814">
        <w:rPr>
          <w:rFonts w:ascii="Arial" w:hAnsi="Arial" w:cs="Arial"/>
        </w:rPr>
        <w:t>ing</w:t>
      </w:r>
      <w:r w:rsidRPr="00B8080B">
        <w:rPr>
          <w:rFonts w:ascii="Arial" w:hAnsi="Arial" w:cs="Arial"/>
        </w:rPr>
        <w:t xml:space="preserve"> self-care</w:t>
      </w:r>
      <w:r w:rsidR="00236908">
        <w:rPr>
          <w:rFonts w:ascii="Arial" w:hAnsi="Arial" w:cs="Arial"/>
        </w:rPr>
        <w:t>.</w:t>
      </w:r>
    </w:p>
    <w:p w14:paraId="47208B08" w14:textId="5919F212" w:rsidR="00587DF1" w:rsidRPr="00B8080B" w:rsidRDefault="00587DF1" w:rsidP="00190084">
      <w:pPr>
        <w:pStyle w:val="ListParagraph"/>
        <w:numPr>
          <w:ilvl w:val="0"/>
          <w:numId w:val="93"/>
        </w:numPr>
        <w:spacing w:line="264" w:lineRule="auto"/>
        <w:ind w:right="142"/>
        <w:rPr>
          <w:rFonts w:ascii="Arial" w:hAnsi="Arial" w:cs="Arial"/>
        </w:rPr>
      </w:pPr>
      <w:r w:rsidRPr="00B8080B">
        <w:rPr>
          <w:rFonts w:ascii="Arial" w:hAnsi="Arial" w:cs="Arial"/>
        </w:rPr>
        <w:t xml:space="preserve">Research driven: </w:t>
      </w:r>
      <w:r w:rsidR="003A1814" w:rsidRPr="00B8080B">
        <w:rPr>
          <w:rFonts w:ascii="Arial" w:hAnsi="Arial" w:cs="Arial"/>
        </w:rPr>
        <w:t>Consider</w:t>
      </w:r>
      <w:r w:rsidR="003A1814">
        <w:rPr>
          <w:rFonts w:ascii="Arial" w:hAnsi="Arial" w:cs="Arial"/>
        </w:rPr>
        <w:t>ing</w:t>
      </w:r>
      <w:r w:rsidR="003A1814" w:rsidRPr="00B8080B">
        <w:rPr>
          <w:rFonts w:ascii="Arial" w:hAnsi="Arial" w:cs="Arial"/>
        </w:rPr>
        <w:t xml:space="preserve"> </w:t>
      </w:r>
      <w:r w:rsidRPr="00B8080B">
        <w:rPr>
          <w:rFonts w:ascii="Arial" w:hAnsi="Arial" w:cs="Arial"/>
        </w:rPr>
        <w:t>all patients as potential research candidates</w:t>
      </w:r>
      <w:r w:rsidR="00236908">
        <w:rPr>
          <w:rFonts w:ascii="Arial" w:hAnsi="Arial" w:cs="Arial"/>
        </w:rPr>
        <w:t>.</w:t>
      </w:r>
    </w:p>
    <w:p w14:paraId="46829603" w14:textId="6D552D95" w:rsidR="00587DF1" w:rsidRPr="00587DF1" w:rsidRDefault="00587DF1" w:rsidP="00190084">
      <w:pPr>
        <w:pStyle w:val="ListParagraph"/>
        <w:numPr>
          <w:ilvl w:val="0"/>
          <w:numId w:val="93"/>
        </w:numPr>
        <w:spacing w:line="264" w:lineRule="auto"/>
        <w:ind w:right="142"/>
        <w:rPr>
          <w:rFonts w:ascii="Arial" w:hAnsi="Arial" w:cs="Arial"/>
        </w:rPr>
      </w:pPr>
      <w:r w:rsidRPr="00B8080B">
        <w:rPr>
          <w:rFonts w:ascii="Arial" w:hAnsi="Arial" w:cs="Arial"/>
        </w:rPr>
        <w:t xml:space="preserve">Great communication: </w:t>
      </w:r>
      <w:r w:rsidR="003A1814" w:rsidRPr="00587DF1">
        <w:rPr>
          <w:rFonts w:ascii="Arial" w:hAnsi="Arial" w:cs="Arial"/>
        </w:rPr>
        <w:t xml:space="preserve">Both </w:t>
      </w:r>
      <w:r w:rsidRPr="00587DF1">
        <w:rPr>
          <w:rFonts w:ascii="Arial" w:hAnsi="Arial" w:cs="Arial"/>
        </w:rPr>
        <w:t>face to face and virtually</w:t>
      </w:r>
      <w:r w:rsidR="00236908">
        <w:rPr>
          <w:rFonts w:ascii="Arial" w:hAnsi="Arial" w:cs="Arial"/>
        </w:rPr>
        <w:t>.</w:t>
      </w:r>
    </w:p>
    <w:p w14:paraId="1AC1BE58" w14:textId="77777777" w:rsidR="00587DF1" w:rsidRPr="00587DF1" w:rsidRDefault="00587DF1" w:rsidP="005E0D57">
      <w:pPr>
        <w:pStyle w:val="ListParagraph"/>
        <w:numPr>
          <w:ilvl w:val="0"/>
          <w:numId w:val="28"/>
        </w:numPr>
        <w:spacing w:after="0" w:line="264" w:lineRule="auto"/>
        <w:ind w:right="142"/>
        <w:rPr>
          <w:rFonts w:ascii="Arial" w:hAnsi="Arial" w:cs="Arial"/>
          <w:b/>
          <w:bCs/>
        </w:rPr>
      </w:pPr>
      <w:r w:rsidRPr="00587DF1">
        <w:rPr>
          <w:rFonts w:ascii="Arial" w:hAnsi="Arial" w:cs="Arial"/>
          <w:b/>
          <w:bCs/>
        </w:rPr>
        <w:t>Workforce</w:t>
      </w:r>
    </w:p>
    <w:p w14:paraId="15AFF3DD" w14:textId="7E5BDA6E" w:rsidR="00587DF1" w:rsidRPr="00B8080B" w:rsidRDefault="00587DF1" w:rsidP="00190084">
      <w:pPr>
        <w:pStyle w:val="ListParagraph"/>
        <w:numPr>
          <w:ilvl w:val="0"/>
          <w:numId w:val="93"/>
        </w:numPr>
        <w:spacing w:line="264" w:lineRule="auto"/>
        <w:ind w:right="142"/>
        <w:rPr>
          <w:rFonts w:ascii="Arial" w:hAnsi="Arial" w:cs="Arial"/>
        </w:rPr>
      </w:pPr>
      <w:r w:rsidRPr="00B8080B">
        <w:rPr>
          <w:rFonts w:ascii="Arial" w:hAnsi="Arial" w:cs="Arial"/>
        </w:rPr>
        <w:t xml:space="preserve">Flexible deployment: </w:t>
      </w:r>
      <w:r w:rsidR="003A1814" w:rsidRPr="00B8080B">
        <w:rPr>
          <w:rFonts w:ascii="Arial" w:hAnsi="Arial" w:cs="Arial"/>
        </w:rPr>
        <w:t xml:space="preserve">Staff </w:t>
      </w:r>
      <w:r w:rsidRPr="00B8080B">
        <w:rPr>
          <w:rFonts w:ascii="Arial" w:hAnsi="Arial" w:cs="Arial"/>
        </w:rPr>
        <w:t xml:space="preserve">roles </w:t>
      </w:r>
      <w:r w:rsidR="003A1814">
        <w:rPr>
          <w:rFonts w:ascii="Arial" w:hAnsi="Arial" w:cs="Arial"/>
        </w:rPr>
        <w:t>will</w:t>
      </w:r>
      <w:r w:rsidRPr="00B8080B">
        <w:rPr>
          <w:rFonts w:ascii="Arial" w:hAnsi="Arial" w:cs="Arial"/>
        </w:rPr>
        <w:t xml:space="preserve"> challenge traditional hierarchies and provide opportunities to take greater responsibility</w:t>
      </w:r>
      <w:r w:rsidR="00236908">
        <w:rPr>
          <w:rFonts w:ascii="Arial" w:hAnsi="Arial" w:cs="Arial"/>
        </w:rPr>
        <w:t>.</w:t>
      </w:r>
    </w:p>
    <w:p w14:paraId="1A2B1A1D" w14:textId="05CA4118" w:rsidR="00587DF1" w:rsidRPr="00B8080B" w:rsidRDefault="00587DF1" w:rsidP="00190084">
      <w:pPr>
        <w:pStyle w:val="ListParagraph"/>
        <w:numPr>
          <w:ilvl w:val="0"/>
          <w:numId w:val="93"/>
        </w:numPr>
        <w:spacing w:line="264" w:lineRule="auto"/>
        <w:ind w:right="142"/>
        <w:rPr>
          <w:rFonts w:ascii="Arial" w:hAnsi="Arial" w:cs="Arial"/>
        </w:rPr>
      </w:pPr>
      <w:r w:rsidRPr="00B8080B">
        <w:rPr>
          <w:rFonts w:ascii="Arial" w:hAnsi="Arial" w:cs="Arial"/>
        </w:rPr>
        <w:lastRenderedPageBreak/>
        <w:t xml:space="preserve">Growth and learning: </w:t>
      </w:r>
      <w:r w:rsidR="003A1814" w:rsidRPr="00B8080B">
        <w:rPr>
          <w:rFonts w:ascii="Arial" w:hAnsi="Arial" w:cs="Arial"/>
        </w:rPr>
        <w:t>Encourag</w:t>
      </w:r>
      <w:r w:rsidR="003A1814">
        <w:rPr>
          <w:rFonts w:ascii="Arial" w:hAnsi="Arial" w:cs="Arial"/>
        </w:rPr>
        <w:t>ing</w:t>
      </w:r>
      <w:r w:rsidR="003A1814" w:rsidRPr="00B8080B">
        <w:rPr>
          <w:rFonts w:ascii="Arial" w:hAnsi="Arial" w:cs="Arial"/>
        </w:rPr>
        <w:t xml:space="preserve"> </w:t>
      </w:r>
      <w:r w:rsidRPr="00B8080B">
        <w:rPr>
          <w:rFonts w:ascii="Arial" w:hAnsi="Arial" w:cs="Arial"/>
        </w:rPr>
        <w:t>continuous development</w:t>
      </w:r>
      <w:r w:rsidR="00236908">
        <w:rPr>
          <w:rFonts w:ascii="Arial" w:hAnsi="Arial" w:cs="Arial"/>
        </w:rPr>
        <w:t>.</w:t>
      </w:r>
    </w:p>
    <w:p w14:paraId="02958030" w14:textId="79ED820D" w:rsidR="00587DF1" w:rsidRPr="00B8080B" w:rsidRDefault="00587DF1" w:rsidP="00190084">
      <w:pPr>
        <w:pStyle w:val="ListParagraph"/>
        <w:numPr>
          <w:ilvl w:val="0"/>
          <w:numId w:val="93"/>
        </w:numPr>
        <w:spacing w:line="264" w:lineRule="auto"/>
        <w:ind w:right="142"/>
        <w:rPr>
          <w:rFonts w:ascii="Arial" w:hAnsi="Arial" w:cs="Arial"/>
        </w:rPr>
      </w:pPr>
      <w:r w:rsidRPr="00B8080B">
        <w:rPr>
          <w:rFonts w:ascii="Arial" w:hAnsi="Arial" w:cs="Arial"/>
        </w:rPr>
        <w:t xml:space="preserve">Supporting career development: </w:t>
      </w:r>
      <w:r w:rsidR="003A1814" w:rsidRPr="00B8080B">
        <w:rPr>
          <w:rFonts w:ascii="Arial" w:hAnsi="Arial" w:cs="Arial"/>
        </w:rPr>
        <w:t>Creat</w:t>
      </w:r>
      <w:r w:rsidR="003A1814">
        <w:rPr>
          <w:rFonts w:ascii="Arial" w:hAnsi="Arial" w:cs="Arial"/>
        </w:rPr>
        <w:t xml:space="preserve">ing </w:t>
      </w:r>
      <w:r w:rsidRPr="00B8080B">
        <w:rPr>
          <w:rFonts w:ascii="Arial" w:hAnsi="Arial" w:cs="Arial"/>
        </w:rPr>
        <w:t>desirable roles and career pathways</w:t>
      </w:r>
      <w:r w:rsidR="00236908">
        <w:rPr>
          <w:rFonts w:ascii="Arial" w:hAnsi="Arial" w:cs="Arial"/>
        </w:rPr>
        <w:t>.</w:t>
      </w:r>
    </w:p>
    <w:p w14:paraId="3C636703" w14:textId="5AA7124F" w:rsidR="00587DF1" w:rsidRPr="00B8080B" w:rsidRDefault="00587DF1" w:rsidP="00190084">
      <w:pPr>
        <w:pStyle w:val="ListParagraph"/>
        <w:numPr>
          <w:ilvl w:val="0"/>
          <w:numId w:val="93"/>
        </w:numPr>
        <w:spacing w:line="264" w:lineRule="auto"/>
        <w:ind w:right="142"/>
        <w:rPr>
          <w:rFonts w:ascii="Arial" w:hAnsi="Arial" w:cs="Arial"/>
        </w:rPr>
      </w:pPr>
      <w:r w:rsidRPr="00B8080B">
        <w:rPr>
          <w:rFonts w:ascii="Arial" w:hAnsi="Arial" w:cs="Arial"/>
        </w:rPr>
        <w:t xml:space="preserve">Supporting wider workforce: </w:t>
      </w:r>
      <w:r w:rsidR="003A1814" w:rsidRPr="00B8080B">
        <w:rPr>
          <w:rFonts w:ascii="Arial" w:hAnsi="Arial" w:cs="Arial"/>
        </w:rPr>
        <w:t>Recognis</w:t>
      </w:r>
      <w:r w:rsidR="003A1814">
        <w:rPr>
          <w:rFonts w:ascii="Arial" w:hAnsi="Arial" w:cs="Arial"/>
        </w:rPr>
        <w:t>ing</w:t>
      </w:r>
      <w:r w:rsidR="003A1814" w:rsidRPr="00B8080B">
        <w:rPr>
          <w:rFonts w:ascii="Arial" w:hAnsi="Arial" w:cs="Arial"/>
        </w:rPr>
        <w:t xml:space="preserve"> </w:t>
      </w:r>
      <w:r w:rsidRPr="00B8080B">
        <w:rPr>
          <w:rFonts w:ascii="Arial" w:hAnsi="Arial" w:cs="Arial"/>
        </w:rPr>
        <w:t>the value of community staff</w:t>
      </w:r>
      <w:r w:rsidR="00236908">
        <w:rPr>
          <w:rFonts w:ascii="Arial" w:hAnsi="Arial" w:cs="Arial"/>
        </w:rPr>
        <w:t>.</w:t>
      </w:r>
    </w:p>
    <w:p w14:paraId="4C73B30F" w14:textId="77777777" w:rsidR="00587DF1" w:rsidRPr="00587DF1" w:rsidRDefault="00587DF1" w:rsidP="005E0D57">
      <w:pPr>
        <w:pStyle w:val="ListParagraph"/>
        <w:numPr>
          <w:ilvl w:val="0"/>
          <w:numId w:val="28"/>
        </w:numPr>
        <w:spacing w:after="0" w:line="264" w:lineRule="auto"/>
        <w:ind w:right="142"/>
        <w:rPr>
          <w:rFonts w:ascii="Arial" w:hAnsi="Arial" w:cs="Arial"/>
          <w:b/>
          <w:bCs/>
        </w:rPr>
      </w:pPr>
      <w:r w:rsidRPr="00587DF1">
        <w:rPr>
          <w:rFonts w:ascii="Arial" w:hAnsi="Arial" w:cs="Arial"/>
          <w:b/>
          <w:bCs/>
        </w:rPr>
        <w:t>Care delivery</w:t>
      </w:r>
    </w:p>
    <w:p w14:paraId="0DA9368C" w14:textId="63C15551" w:rsidR="00587DF1" w:rsidRPr="00B8080B" w:rsidRDefault="00587DF1" w:rsidP="00190084">
      <w:pPr>
        <w:pStyle w:val="ListParagraph"/>
        <w:numPr>
          <w:ilvl w:val="0"/>
          <w:numId w:val="93"/>
        </w:numPr>
        <w:spacing w:line="264" w:lineRule="auto"/>
        <w:ind w:right="142"/>
        <w:rPr>
          <w:rFonts w:ascii="Arial" w:hAnsi="Arial" w:cs="Arial"/>
        </w:rPr>
      </w:pPr>
      <w:r w:rsidRPr="00B8080B">
        <w:rPr>
          <w:rFonts w:ascii="Arial" w:hAnsi="Arial" w:cs="Arial"/>
        </w:rPr>
        <w:t xml:space="preserve">Diagnostics first: </w:t>
      </w:r>
      <w:r w:rsidR="003A1814">
        <w:rPr>
          <w:rFonts w:ascii="Arial" w:hAnsi="Arial" w:cs="Arial"/>
        </w:rPr>
        <w:t>S</w:t>
      </w:r>
      <w:r w:rsidRPr="00B8080B">
        <w:rPr>
          <w:rFonts w:ascii="Arial" w:hAnsi="Arial" w:cs="Arial"/>
        </w:rPr>
        <w:t>treamline</w:t>
      </w:r>
      <w:r w:rsidR="003A1814">
        <w:rPr>
          <w:rFonts w:ascii="Arial" w:hAnsi="Arial" w:cs="Arial"/>
        </w:rPr>
        <w:t>d</w:t>
      </w:r>
      <w:r w:rsidRPr="00B8080B">
        <w:rPr>
          <w:rFonts w:ascii="Arial" w:hAnsi="Arial" w:cs="Arial"/>
        </w:rPr>
        <w:t xml:space="preserve"> diagnostics and imaging</w:t>
      </w:r>
      <w:r w:rsidR="00236908">
        <w:rPr>
          <w:rFonts w:ascii="Arial" w:hAnsi="Arial" w:cs="Arial"/>
        </w:rPr>
        <w:t>.</w:t>
      </w:r>
    </w:p>
    <w:p w14:paraId="2F9E4225" w14:textId="58F70306" w:rsidR="00587DF1" w:rsidRPr="00B8080B" w:rsidRDefault="00587DF1" w:rsidP="00190084">
      <w:pPr>
        <w:pStyle w:val="ListParagraph"/>
        <w:numPr>
          <w:ilvl w:val="0"/>
          <w:numId w:val="93"/>
        </w:numPr>
        <w:spacing w:line="264" w:lineRule="auto"/>
        <w:ind w:right="142"/>
        <w:rPr>
          <w:rFonts w:ascii="Arial" w:hAnsi="Arial" w:cs="Arial"/>
        </w:rPr>
      </w:pPr>
      <w:r w:rsidRPr="00B8080B">
        <w:rPr>
          <w:rFonts w:ascii="Arial" w:hAnsi="Arial" w:cs="Arial"/>
        </w:rPr>
        <w:t xml:space="preserve">Standard bundles: </w:t>
      </w:r>
      <w:r w:rsidR="003A1814">
        <w:rPr>
          <w:rFonts w:ascii="Arial" w:hAnsi="Arial" w:cs="Arial"/>
        </w:rPr>
        <w:t>S</w:t>
      </w:r>
      <w:r w:rsidRPr="00B8080B">
        <w:rPr>
          <w:rFonts w:ascii="Arial" w:hAnsi="Arial" w:cs="Arial"/>
        </w:rPr>
        <w:t>tandardise</w:t>
      </w:r>
      <w:r w:rsidR="003A1814">
        <w:rPr>
          <w:rFonts w:ascii="Arial" w:hAnsi="Arial" w:cs="Arial"/>
        </w:rPr>
        <w:t>d</w:t>
      </w:r>
      <w:r w:rsidRPr="00B8080B">
        <w:rPr>
          <w:rFonts w:ascii="Arial" w:hAnsi="Arial" w:cs="Arial"/>
        </w:rPr>
        <w:t xml:space="preserve"> diagnostic bundles, medication packages and approaches for routine pathways</w:t>
      </w:r>
      <w:r w:rsidR="00236908">
        <w:rPr>
          <w:rFonts w:ascii="Arial" w:hAnsi="Arial" w:cs="Arial"/>
        </w:rPr>
        <w:t>.</w:t>
      </w:r>
    </w:p>
    <w:p w14:paraId="655C6280" w14:textId="4DC2DACA" w:rsidR="00587DF1" w:rsidRPr="00B8080B" w:rsidRDefault="00587DF1" w:rsidP="00190084">
      <w:pPr>
        <w:pStyle w:val="ListParagraph"/>
        <w:numPr>
          <w:ilvl w:val="0"/>
          <w:numId w:val="93"/>
        </w:numPr>
        <w:spacing w:line="264" w:lineRule="auto"/>
        <w:ind w:right="142"/>
        <w:rPr>
          <w:rFonts w:ascii="Arial" w:hAnsi="Arial" w:cs="Arial"/>
        </w:rPr>
      </w:pPr>
      <w:r w:rsidRPr="00B8080B">
        <w:rPr>
          <w:rFonts w:ascii="Arial" w:hAnsi="Arial" w:cs="Arial"/>
        </w:rPr>
        <w:t xml:space="preserve">Smart stratification: </w:t>
      </w:r>
      <w:r w:rsidR="003A1814">
        <w:rPr>
          <w:rFonts w:ascii="Arial" w:hAnsi="Arial" w:cs="Arial"/>
        </w:rPr>
        <w:t>S</w:t>
      </w:r>
      <w:r w:rsidRPr="00B8080B">
        <w:rPr>
          <w:rFonts w:ascii="Arial" w:hAnsi="Arial" w:cs="Arial"/>
        </w:rPr>
        <w:t>tratif</w:t>
      </w:r>
      <w:r w:rsidR="003A1814">
        <w:rPr>
          <w:rFonts w:ascii="Arial" w:hAnsi="Arial" w:cs="Arial"/>
        </w:rPr>
        <w:t>ication of</w:t>
      </w:r>
      <w:r w:rsidRPr="00B8080B">
        <w:rPr>
          <w:rFonts w:ascii="Arial" w:hAnsi="Arial" w:cs="Arial"/>
        </w:rPr>
        <w:t xml:space="preserve"> patients into pathways, bundles and research opportunities</w:t>
      </w:r>
      <w:r w:rsidR="00236908">
        <w:rPr>
          <w:rFonts w:ascii="Arial" w:hAnsi="Arial" w:cs="Arial"/>
        </w:rPr>
        <w:t>.</w:t>
      </w:r>
    </w:p>
    <w:p w14:paraId="243BB945" w14:textId="10E8A175" w:rsidR="00587DF1" w:rsidRPr="00B8080B" w:rsidRDefault="003A1814" w:rsidP="00190084">
      <w:pPr>
        <w:pStyle w:val="ListParagraph"/>
        <w:numPr>
          <w:ilvl w:val="0"/>
          <w:numId w:val="93"/>
        </w:numPr>
        <w:spacing w:line="264" w:lineRule="auto"/>
        <w:ind w:right="142"/>
        <w:rPr>
          <w:rFonts w:ascii="Arial" w:hAnsi="Arial" w:cs="Arial"/>
        </w:rPr>
      </w:pPr>
      <w:r>
        <w:rPr>
          <w:rFonts w:ascii="Arial" w:hAnsi="Arial" w:cs="Arial"/>
        </w:rPr>
        <w:t>U</w:t>
      </w:r>
      <w:r w:rsidR="00587DF1" w:rsidRPr="00B8080B">
        <w:rPr>
          <w:rFonts w:ascii="Arial" w:hAnsi="Arial" w:cs="Arial"/>
        </w:rPr>
        <w:t xml:space="preserve">se </w:t>
      </w:r>
      <w:r>
        <w:rPr>
          <w:rFonts w:ascii="Arial" w:hAnsi="Arial" w:cs="Arial"/>
        </w:rPr>
        <w:t xml:space="preserve">of </w:t>
      </w:r>
      <w:r w:rsidR="00587DF1" w:rsidRPr="00B8080B">
        <w:rPr>
          <w:rFonts w:ascii="Arial" w:hAnsi="Arial" w:cs="Arial"/>
        </w:rPr>
        <w:t xml:space="preserve">technology wherever possible, </w:t>
      </w:r>
      <w:r>
        <w:rPr>
          <w:rFonts w:ascii="Arial" w:hAnsi="Arial" w:cs="Arial"/>
        </w:rPr>
        <w:t xml:space="preserve">to </w:t>
      </w:r>
      <w:r w:rsidR="00587DF1" w:rsidRPr="00B8080B">
        <w:rPr>
          <w:rFonts w:ascii="Arial" w:hAnsi="Arial" w:cs="Arial"/>
        </w:rPr>
        <w:t xml:space="preserve">foster partnerships with community providers to provide seamless care across </w:t>
      </w:r>
      <w:r w:rsidR="00D76672">
        <w:rPr>
          <w:rFonts w:ascii="Arial" w:hAnsi="Arial" w:cs="Arial"/>
        </w:rPr>
        <w:t>acute</w:t>
      </w:r>
      <w:r w:rsidR="00587DF1" w:rsidRPr="00B8080B">
        <w:rPr>
          <w:rFonts w:ascii="Arial" w:hAnsi="Arial" w:cs="Arial"/>
        </w:rPr>
        <w:t xml:space="preserve"> and community settings</w:t>
      </w:r>
      <w:r w:rsidR="00236908">
        <w:rPr>
          <w:rFonts w:ascii="Arial" w:hAnsi="Arial" w:cs="Arial"/>
        </w:rPr>
        <w:t>.</w:t>
      </w:r>
    </w:p>
    <w:p w14:paraId="223F4DB5" w14:textId="11C52D63" w:rsidR="00587DF1" w:rsidRPr="00587DF1" w:rsidRDefault="00587DF1" w:rsidP="00190084">
      <w:pPr>
        <w:pStyle w:val="ListParagraph"/>
        <w:numPr>
          <w:ilvl w:val="0"/>
          <w:numId w:val="93"/>
        </w:numPr>
        <w:spacing w:line="264" w:lineRule="auto"/>
        <w:ind w:right="142"/>
        <w:rPr>
          <w:rFonts w:ascii="Arial" w:hAnsi="Arial" w:cs="Arial"/>
        </w:rPr>
      </w:pPr>
      <w:r w:rsidRPr="00B8080B">
        <w:rPr>
          <w:rFonts w:ascii="Arial" w:hAnsi="Arial" w:cs="Arial"/>
        </w:rPr>
        <w:t>Effective referral standards</w:t>
      </w:r>
      <w:r w:rsidR="00236908">
        <w:rPr>
          <w:rFonts w:ascii="Arial" w:hAnsi="Arial" w:cs="Arial"/>
        </w:rPr>
        <w:t>.</w:t>
      </w:r>
    </w:p>
    <w:p w14:paraId="7194D0B9" w14:textId="77777777" w:rsidR="00587DF1" w:rsidRPr="00587DF1" w:rsidRDefault="00587DF1" w:rsidP="005E0D57">
      <w:pPr>
        <w:pStyle w:val="ListParagraph"/>
        <w:numPr>
          <w:ilvl w:val="0"/>
          <w:numId w:val="28"/>
        </w:numPr>
        <w:spacing w:after="0" w:line="264" w:lineRule="auto"/>
        <w:ind w:right="142"/>
        <w:rPr>
          <w:rFonts w:ascii="Arial" w:hAnsi="Arial" w:cs="Arial"/>
          <w:b/>
          <w:bCs/>
        </w:rPr>
      </w:pPr>
      <w:r w:rsidRPr="00587DF1">
        <w:rPr>
          <w:rFonts w:ascii="Arial" w:hAnsi="Arial" w:cs="Arial"/>
          <w:b/>
          <w:bCs/>
        </w:rPr>
        <w:t>Supporting infrastructure</w:t>
      </w:r>
    </w:p>
    <w:p w14:paraId="75183D58" w14:textId="72C73660" w:rsidR="00587DF1" w:rsidRPr="00B8080B" w:rsidRDefault="00587DF1" w:rsidP="00190084">
      <w:pPr>
        <w:pStyle w:val="ListParagraph"/>
        <w:numPr>
          <w:ilvl w:val="0"/>
          <w:numId w:val="93"/>
        </w:numPr>
        <w:pBdr>
          <w:top w:val="nil"/>
          <w:left w:val="nil"/>
          <w:bottom w:val="nil"/>
          <w:right w:val="nil"/>
          <w:between w:val="nil"/>
        </w:pBdr>
        <w:tabs>
          <w:tab w:val="left" w:pos="567"/>
        </w:tabs>
        <w:rPr>
          <w:rFonts w:ascii="Arial" w:eastAsia="Arial" w:hAnsi="Arial" w:cs="Arial"/>
          <w:color w:val="000000"/>
        </w:rPr>
      </w:pPr>
      <w:r w:rsidRPr="00B8080B">
        <w:rPr>
          <w:rFonts w:ascii="Arial" w:hAnsi="Arial" w:cs="Arial"/>
        </w:rPr>
        <w:t>Increased automation</w:t>
      </w:r>
      <w:r w:rsidR="003A1814">
        <w:rPr>
          <w:rFonts w:ascii="Arial" w:eastAsia="Arial" w:hAnsi="Arial" w:cs="Arial"/>
          <w:color w:val="000000"/>
        </w:rPr>
        <w:t xml:space="preserve"> </w:t>
      </w:r>
      <w:r w:rsidRPr="00B8080B">
        <w:rPr>
          <w:rFonts w:ascii="Arial" w:eastAsia="Arial" w:hAnsi="Arial" w:cs="Arial"/>
          <w:color w:val="000000"/>
        </w:rPr>
        <w:t>to deliver quality care</w:t>
      </w:r>
      <w:r w:rsidR="00236908">
        <w:rPr>
          <w:rFonts w:ascii="Arial" w:eastAsia="Arial" w:hAnsi="Arial" w:cs="Arial"/>
          <w:color w:val="000000"/>
        </w:rPr>
        <w:t>.</w:t>
      </w:r>
    </w:p>
    <w:p w14:paraId="3DF647CA" w14:textId="22CEAFAF" w:rsidR="00587DF1" w:rsidRPr="00B8080B" w:rsidRDefault="00587DF1" w:rsidP="00190084">
      <w:pPr>
        <w:pStyle w:val="ListParagraph"/>
        <w:numPr>
          <w:ilvl w:val="0"/>
          <w:numId w:val="93"/>
        </w:numPr>
        <w:pBdr>
          <w:top w:val="nil"/>
          <w:left w:val="nil"/>
          <w:bottom w:val="nil"/>
          <w:right w:val="nil"/>
          <w:between w:val="nil"/>
        </w:pBdr>
        <w:tabs>
          <w:tab w:val="left" w:pos="567"/>
        </w:tabs>
        <w:rPr>
          <w:rFonts w:ascii="Arial" w:eastAsia="Arial" w:hAnsi="Arial" w:cs="Arial"/>
          <w:color w:val="000000"/>
        </w:rPr>
      </w:pPr>
      <w:r w:rsidRPr="00B8080B">
        <w:rPr>
          <w:rFonts w:ascii="Arial" w:hAnsi="Arial" w:cs="Arial"/>
        </w:rPr>
        <w:t>Paperless</w:t>
      </w:r>
      <w:r w:rsidRPr="00B8080B">
        <w:rPr>
          <w:rFonts w:ascii="Arial" w:eastAsia="Arial" w:hAnsi="Arial" w:cs="Arial"/>
          <w:color w:val="000000"/>
        </w:rPr>
        <w:t xml:space="preserve">: </w:t>
      </w:r>
      <w:r w:rsidR="003A1814">
        <w:rPr>
          <w:rFonts w:ascii="Arial" w:eastAsia="Arial" w:hAnsi="Arial" w:cs="Arial"/>
          <w:color w:val="000000"/>
        </w:rPr>
        <w:t>I</w:t>
      </w:r>
      <w:r w:rsidRPr="00B8080B">
        <w:rPr>
          <w:rFonts w:ascii="Arial" w:eastAsia="Arial" w:hAnsi="Arial" w:cs="Arial"/>
          <w:color w:val="000000"/>
        </w:rPr>
        <w:t>mprov</w:t>
      </w:r>
      <w:r w:rsidR="003A1814">
        <w:rPr>
          <w:rFonts w:ascii="Arial" w:eastAsia="Arial" w:hAnsi="Arial" w:cs="Arial"/>
          <w:color w:val="000000"/>
        </w:rPr>
        <w:t>ing</w:t>
      </w:r>
      <w:r w:rsidRPr="00B8080B">
        <w:rPr>
          <w:rFonts w:ascii="Arial" w:eastAsia="Arial" w:hAnsi="Arial" w:cs="Arial"/>
          <w:color w:val="000000"/>
        </w:rPr>
        <w:t xml:space="preserve"> data capabilities and reduc</w:t>
      </w:r>
      <w:r w:rsidR="003A1814">
        <w:rPr>
          <w:rFonts w:ascii="Arial" w:eastAsia="Arial" w:hAnsi="Arial" w:cs="Arial"/>
          <w:color w:val="000000"/>
        </w:rPr>
        <w:t>ing</w:t>
      </w:r>
      <w:r w:rsidRPr="00B8080B">
        <w:rPr>
          <w:rFonts w:ascii="Arial" w:eastAsia="Arial" w:hAnsi="Arial" w:cs="Arial"/>
          <w:color w:val="000000"/>
        </w:rPr>
        <w:t xml:space="preserve"> clerical administration</w:t>
      </w:r>
      <w:r w:rsidR="00236908">
        <w:rPr>
          <w:rFonts w:ascii="Arial" w:eastAsia="Arial" w:hAnsi="Arial" w:cs="Arial"/>
          <w:color w:val="000000"/>
        </w:rPr>
        <w:t>.</w:t>
      </w:r>
    </w:p>
    <w:p w14:paraId="2C2CDCBC" w14:textId="4DE33430" w:rsidR="00587DF1" w:rsidRPr="00B8080B" w:rsidRDefault="00587DF1" w:rsidP="00190084">
      <w:pPr>
        <w:pStyle w:val="ListParagraph"/>
        <w:numPr>
          <w:ilvl w:val="0"/>
          <w:numId w:val="93"/>
        </w:numPr>
        <w:pBdr>
          <w:top w:val="nil"/>
          <w:left w:val="nil"/>
          <w:bottom w:val="nil"/>
          <w:right w:val="nil"/>
          <w:between w:val="nil"/>
        </w:pBdr>
        <w:tabs>
          <w:tab w:val="left" w:pos="567"/>
        </w:tabs>
        <w:rPr>
          <w:rFonts w:ascii="Arial" w:eastAsia="Arial" w:hAnsi="Arial" w:cs="Arial"/>
          <w:color w:val="000000"/>
        </w:rPr>
      </w:pPr>
      <w:r w:rsidRPr="00B8080B">
        <w:rPr>
          <w:rFonts w:ascii="Arial" w:hAnsi="Arial" w:cs="Arial"/>
        </w:rPr>
        <w:t>Flexible spaces</w:t>
      </w:r>
      <w:r w:rsidRPr="00B8080B">
        <w:rPr>
          <w:rFonts w:ascii="Arial" w:eastAsia="Arial" w:hAnsi="Arial" w:cs="Arial"/>
          <w:color w:val="000000"/>
        </w:rPr>
        <w:t xml:space="preserve">: </w:t>
      </w:r>
      <w:r w:rsidR="003A1814">
        <w:rPr>
          <w:rFonts w:ascii="Arial" w:eastAsia="Arial" w:hAnsi="Arial" w:cs="Arial"/>
          <w:color w:val="000000"/>
        </w:rPr>
        <w:t>T</w:t>
      </w:r>
      <w:r w:rsidRPr="00B8080B">
        <w:rPr>
          <w:rFonts w:ascii="Arial" w:eastAsia="Arial" w:hAnsi="Arial" w:cs="Arial"/>
          <w:color w:val="000000"/>
        </w:rPr>
        <w:t>o future</w:t>
      </w:r>
      <w:r w:rsidR="003A1814">
        <w:rPr>
          <w:rFonts w:ascii="Arial" w:eastAsia="Arial" w:hAnsi="Arial" w:cs="Arial"/>
          <w:color w:val="000000"/>
        </w:rPr>
        <w:t>-</w:t>
      </w:r>
      <w:r w:rsidRPr="00B8080B">
        <w:rPr>
          <w:rFonts w:ascii="Arial" w:eastAsia="Arial" w:hAnsi="Arial" w:cs="Arial"/>
          <w:color w:val="000000"/>
        </w:rPr>
        <w:t xml:space="preserve">proof </w:t>
      </w:r>
      <w:r w:rsidR="003A1814">
        <w:rPr>
          <w:rFonts w:ascii="Arial" w:eastAsia="Arial" w:hAnsi="Arial" w:cs="Arial"/>
          <w:color w:val="000000"/>
        </w:rPr>
        <w:t xml:space="preserve">the trust’s </w:t>
      </w:r>
      <w:r w:rsidRPr="00B8080B">
        <w:rPr>
          <w:rFonts w:ascii="Arial" w:eastAsia="Arial" w:hAnsi="Arial" w:cs="Arial"/>
          <w:color w:val="000000"/>
        </w:rPr>
        <w:t>ability to deliver services</w:t>
      </w:r>
      <w:r w:rsidR="00236908">
        <w:rPr>
          <w:rFonts w:ascii="Arial" w:eastAsia="Arial" w:hAnsi="Arial" w:cs="Arial"/>
          <w:color w:val="000000"/>
        </w:rPr>
        <w:t>.</w:t>
      </w:r>
    </w:p>
    <w:p w14:paraId="501CF5A8" w14:textId="23C02C36" w:rsidR="00587DF1" w:rsidRPr="00587DF1" w:rsidRDefault="00587DF1" w:rsidP="00190084">
      <w:pPr>
        <w:pStyle w:val="ListParagraph"/>
        <w:numPr>
          <w:ilvl w:val="0"/>
          <w:numId w:val="93"/>
        </w:numPr>
        <w:pBdr>
          <w:top w:val="nil"/>
          <w:left w:val="nil"/>
          <w:bottom w:val="nil"/>
          <w:right w:val="nil"/>
          <w:between w:val="nil"/>
        </w:pBdr>
        <w:tabs>
          <w:tab w:val="left" w:pos="567"/>
        </w:tabs>
        <w:spacing w:after="0"/>
        <w:rPr>
          <w:rFonts w:ascii="Arial" w:eastAsia="Arial" w:hAnsi="Arial" w:cs="Arial"/>
          <w:bCs/>
          <w:color w:val="000000"/>
        </w:rPr>
      </w:pPr>
      <w:r w:rsidRPr="00B8080B">
        <w:rPr>
          <w:rFonts w:ascii="Arial" w:hAnsi="Arial" w:cs="Arial"/>
        </w:rPr>
        <w:t>World leading education and research</w:t>
      </w:r>
      <w:r w:rsidRPr="00B8080B">
        <w:rPr>
          <w:rFonts w:ascii="Arial" w:eastAsia="Arial" w:hAnsi="Arial" w:cs="Arial"/>
          <w:color w:val="000000"/>
        </w:rPr>
        <w:t xml:space="preserve">: </w:t>
      </w:r>
      <w:r w:rsidR="003A1814">
        <w:rPr>
          <w:rFonts w:ascii="Arial" w:eastAsia="Arial" w:hAnsi="Arial" w:cs="Arial"/>
          <w:color w:val="000000"/>
        </w:rPr>
        <w:t>A</w:t>
      </w:r>
      <w:r w:rsidRPr="00587DF1">
        <w:rPr>
          <w:rFonts w:ascii="Arial" w:eastAsia="Arial" w:hAnsi="Arial" w:cs="Arial"/>
          <w:bCs/>
          <w:color w:val="000000"/>
        </w:rPr>
        <w:t>ct</w:t>
      </w:r>
      <w:r w:rsidR="003A1814">
        <w:rPr>
          <w:rFonts w:ascii="Arial" w:eastAsia="Arial" w:hAnsi="Arial" w:cs="Arial"/>
          <w:bCs/>
          <w:color w:val="000000"/>
        </w:rPr>
        <w:t>ing</w:t>
      </w:r>
      <w:r w:rsidRPr="00587DF1">
        <w:rPr>
          <w:rFonts w:ascii="Arial" w:eastAsia="Arial" w:hAnsi="Arial" w:cs="Arial"/>
          <w:bCs/>
          <w:color w:val="000000"/>
        </w:rPr>
        <w:t xml:space="preserve"> as a role model nationally and internationally, </w:t>
      </w:r>
      <w:r w:rsidR="003A1814">
        <w:rPr>
          <w:rFonts w:ascii="Arial" w:eastAsia="Arial" w:hAnsi="Arial" w:cs="Arial"/>
          <w:bCs/>
          <w:color w:val="000000"/>
        </w:rPr>
        <w:t xml:space="preserve">and being </w:t>
      </w:r>
      <w:r w:rsidRPr="00587DF1">
        <w:rPr>
          <w:rFonts w:ascii="Arial" w:eastAsia="Arial" w:hAnsi="Arial" w:cs="Arial"/>
          <w:bCs/>
          <w:color w:val="000000"/>
        </w:rPr>
        <w:t>a trailblazer for innovation</w:t>
      </w:r>
      <w:r w:rsidR="00236908">
        <w:rPr>
          <w:rFonts w:ascii="Arial" w:eastAsia="Arial" w:hAnsi="Arial" w:cs="Arial"/>
          <w:bCs/>
          <w:color w:val="000000"/>
        </w:rPr>
        <w:t>.</w:t>
      </w:r>
    </w:p>
    <w:p w14:paraId="02091450" w14:textId="77777777" w:rsidR="00587DF1" w:rsidRDefault="00587DF1" w:rsidP="00587DF1">
      <w:pPr>
        <w:spacing w:after="0"/>
        <w:rPr>
          <w:rFonts w:ascii="Arial" w:eastAsia="Arial" w:hAnsi="Arial" w:cs="Arial"/>
        </w:rPr>
      </w:pPr>
    </w:p>
    <w:p w14:paraId="315CF237" w14:textId="77777777" w:rsidR="0099383D" w:rsidRPr="0099383D" w:rsidRDefault="0099383D" w:rsidP="005E0D57">
      <w:pPr>
        <w:numPr>
          <w:ilvl w:val="2"/>
          <w:numId w:val="1"/>
        </w:numPr>
        <w:pBdr>
          <w:top w:val="nil"/>
          <w:left w:val="nil"/>
          <w:bottom w:val="nil"/>
          <w:right w:val="nil"/>
          <w:between w:val="nil"/>
        </w:pBdr>
        <w:spacing w:after="0" w:line="240" w:lineRule="auto"/>
        <w:ind w:left="567" w:hanging="567"/>
        <w:jc w:val="both"/>
        <w:rPr>
          <w:rFonts w:ascii="Arial" w:eastAsia="Arial" w:hAnsi="Arial" w:cs="Arial"/>
          <w:bCs/>
          <w:color w:val="000000"/>
        </w:rPr>
      </w:pPr>
      <w:r>
        <w:rPr>
          <w:rFonts w:ascii="Arial" w:eastAsia="Arial" w:hAnsi="Arial" w:cs="Arial"/>
          <w:b/>
        </w:rPr>
        <w:t>Research</w:t>
      </w:r>
    </w:p>
    <w:p w14:paraId="55C507D1" w14:textId="77777777" w:rsidR="0099383D" w:rsidRDefault="0099383D" w:rsidP="00587DF1">
      <w:pPr>
        <w:spacing w:after="0"/>
        <w:rPr>
          <w:rFonts w:ascii="Arial" w:eastAsia="Arial" w:hAnsi="Arial" w:cs="Arial"/>
        </w:rPr>
      </w:pPr>
    </w:p>
    <w:p w14:paraId="02C9B39F" w14:textId="7EAE11E9" w:rsidR="0099383D" w:rsidRPr="00587DF1" w:rsidRDefault="0099383D" w:rsidP="0099383D">
      <w:pPr>
        <w:pBdr>
          <w:top w:val="nil"/>
          <w:left w:val="nil"/>
          <w:bottom w:val="nil"/>
          <w:right w:val="nil"/>
          <w:between w:val="nil"/>
        </w:pBdr>
        <w:tabs>
          <w:tab w:val="left" w:pos="567"/>
        </w:tabs>
        <w:spacing w:after="0"/>
        <w:rPr>
          <w:rFonts w:ascii="Arial" w:eastAsia="Arial" w:hAnsi="Arial" w:cs="Arial"/>
        </w:rPr>
      </w:pPr>
      <w:r w:rsidRPr="0041652F">
        <w:rPr>
          <w:rFonts w:ascii="Arial" w:eastAsia="Arial" w:hAnsi="Arial" w:cs="Arial"/>
        </w:rPr>
        <w:t xml:space="preserve">Oriel is a catalyst for meaningful improvements in the </w:t>
      </w:r>
      <w:r w:rsidRPr="0099383D">
        <w:rPr>
          <w:rFonts w:ascii="Arial" w:eastAsia="Arial" w:hAnsi="Arial" w:cs="Arial"/>
        </w:rPr>
        <w:t>way that research</w:t>
      </w:r>
      <w:r w:rsidRPr="0041652F">
        <w:rPr>
          <w:rFonts w:ascii="Arial" w:eastAsia="Arial" w:hAnsi="Arial" w:cs="Arial"/>
        </w:rPr>
        <w:t xml:space="preserve"> is conducted and the benefit this can bring for patients. It will enable progression of a translational model of ‘bench to bedside’ research, developing new treatments to a stage where they can be made widely available to patients more quickly. This will be facilitated through provision of a Translational Research Laboratory, </w:t>
      </w:r>
      <w:r>
        <w:rPr>
          <w:rFonts w:ascii="Arial" w:eastAsia="Arial" w:hAnsi="Arial" w:cs="Arial"/>
        </w:rPr>
        <w:t xml:space="preserve">and </w:t>
      </w:r>
      <w:r w:rsidR="003A1814">
        <w:rPr>
          <w:rFonts w:ascii="Arial" w:eastAsia="Arial" w:hAnsi="Arial" w:cs="Arial"/>
        </w:rPr>
        <w:t xml:space="preserve">space for </w:t>
      </w:r>
      <w:r>
        <w:rPr>
          <w:rFonts w:ascii="Arial" w:eastAsia="Arial" w:hAnsi="Arial" w:cs="Arial"/>
        </w:rPr>
        <w:t>research in a clinical setting</w:t>
      </w:r>
      <w:r w:rsidRPr="0041652F">
        <w:rPr>
          <w:rFonts w:ascii="Arial" w:eastAsia="Arial" w:hAnsi="Arial" w:cs="Arial"/>
        </w:rPr>
        <w:t xml:space="preserve">. </w:t>
      </w:r>
      <w:r>
        <w:rPr>
          <w:rFonts w:ascii="Arial" w:eastAsia="Arial" w:hAnsi="Arial" w:cs="Arial"/>
        </w:rPr>
        <w:t xml:space="preserve">Research facilities </w:t>
      </w:r>
      <w:r w:rsidRPr="0041652F">
        <w:rPr>
          <w:rFonts w:ascii="Arial" w:eastAsia="Arial" w:hAnsi="Arial" w:cs="Arial"/>
        </w:rPr>
        <w:t>will be shared between Moorfields and UCL IoO, promoting partnership working.</w:t>
      </w:r>
    </w:p>
    <w:p w14:paraId="0EFC944F" w14:textId="77777777" w:rsidR="00587DF1" w:rsidRDefault="00587DF1" w:rsidP="00587DF1">
      <w:pPr>
        <w:pBdr>
          <w:top w:val="nil"/>
          <w:left w:val="nil"/>
          <w:bottom w:val="nil"/>
          <w:right w:val="nil"/>
          <w:between w:val="nil"/>
        </w:pBdr>
        <w:tabs>
          <w:tab w:val="left" w:pos="567"/>
        </w:tabs>
        <w:spacing w:after="0"/>
        <w:rPr>
          <w:rFonts w:ascii="Arial" w:eastAsia="Arial" w:hAnsi="Arial" w:cs="Arial"/>
        </w:rPr>
      </w:pPr>
    </w:p>
    <w:p w14:paraId="0AD2615D" w14:textId="77777777" w:rsidR="0099383D" w:rsidRPr="0099383D" w:rsidRDefault="0099383D" w:rsidP="005E0D57">
      <w:pPr>
        <w:numPr>
          <w:ilvl w:val="2"/>
          <w:numId w:val="1"/>
        </w:numPr>
        <w:pBdr>
          <w:top w:val="nil"/>
          <w:left w:val="nil"/>
          <w:bottom w:val="nil"/>
          <w:right w:val="nil"/>
          <w:between w:val="nil"/>
        </w:pBdr>
        <w:spacing w:after="0" w:line="240" w:lineRule="auto"/>
        <w:ind w:left="567" w:hanging="567"/>
        <w:jc w:val="both"/>
        <w:rPr>
          <w:rFonts w:ascii="Arial" w:eastAsia="Arial" w:hAnsi="Arial" w:cs="Arial"/>
          <w:bCs/>
          <w:color w:val="000000"/>
        </w:rPr>
      </w:pPr>
      <w:r>
        <w:rPr>
          <w:rFonts w:ascii="Arial" w:eastAsia="Arial" w:hAnsi="Arial" w:cs="Arial"/>
          <w:b/>
        </w:rPr>
        <w:t>Education</w:t>
      </w:r>
    </w:p>
    <w:p w14:paraId="43EDDBEA" w14:textId="77777777" w:rsidR="0099383D" w:rsidRDefault="0099383D" w:rsidP="00587DF1">
      <w:pPr>
        <w:pBdr>
          <w:top w:val="nil"/>
          <w:left w:val="nil"/>
          <w:bottom w:val="nil"/>
          <w:right w:val="nil"/>
          <w:between w:val="nil"/>
        </w:pBdr>
        <w:tabs>
          <w:tab w:val="left" w:pos="567"/>
        </w:tabs>
        <w:spacing w:after="0"/>
        <w:rPr>
          <w:rFonts w:ascii="Arial" w:eastAsia="Arial" w:hAnsi="Arial" w:cs="Arial"/>
        </w:rPr>
      </w:pPr>
    </w:p>
    <w:p w14:paraId="171A8384" w14:textId="42BD183B" w:rsidR="0099383D" w:rsidRPr="0099383D" w:rsidRDefault="0099383D" w:rsidP="0099383D">
      <w:pPr>
        <w:pBdr>
          <w:top w:val="nil"/>
          <w:left w:val="nil"/>
          <w:bottom w:val="nil"/>
          <w:right w:val="nil"/>
          <w:between w:val="nil"/>
        </w:pBdr>
        <w:tabs>
          <w:tab w:val="left" w:pos="567"/>
        </w:tabs>
        <w:rPr>
          <w:rFonts w:ascii="Arial" w:eastAsia="Arial" w:hAnsi="Arial" w:cs="Arial"/>
          <w:bCs/>
          <w:color w:val="000000"/>
        </w:rPr>
      </w:pPr>
      <w:r w:rsidRPr="0099383D">
        <w:rPr>
          <w:rFonts w:ascii="Arial" w:eastAsia="Arial" w:hAnsi="Arial" w:cs="Arial"/>
        </w:rPr>
        <w:t>Education</w:t>
      </w:r>
      <w:r>
        <w:rPr>
          <w:rFonts w:ascii="Arial" w:eastAsia="Arial" w:hAnsi="Arial" w:cs="Arial"/>
        </w:rPr>
        <w:t xml:space="preserve"> facilities in Oriel </w:t>
      </w:r>
      <w:r w:rsidRPr="00587DF1">
        <w:rPr>
          <w:rFonts w:ascii="Arial" w:eastAsia="Arial" w:hAnsi="Arial" w:cs="Arial"/>
          <w:bCs/>
          <w:color w:val="000000"/>
        </w:rPr>
        <w:t xml:space="preserve">will provide the partners with the opportunity to have state of the art learning </w:t>
      </w:r>
      <w:r w:rsidR="00677A5F" w:rsidRPr="00587DF1">
        <w:rPr>
          <w:rFonts w:ascii="Arial" w:eastAsia="Arial" w:hAnsi="Arial" w:cs="Arial"/>
          <w:bCs/>
          <w:color w:val="000000"/>
        </w:rPr>
        <w:t>facilit</w:t>
      </w:r>
      <w:r w:rsidR="00677A5F">
        <w:rPr>
          <w:rFonts w:ascii="Arial" w:eastAsia="Arial" w:hAnsi="Arial" w:cs="Arial"/>
          <w:bCs/>
          <w:color w:val="000000"/>
        </w:rPr>
        <w:t>i</w:t>
      </w:r>
      <w:r w:rsidR="00677A5F" w:rsidRPr="00587DF1">
        <w:rPr>
          <w:rFonts w:ascii="Arial" w:eastAsia="Arial" w:hAnsi="Arial" w:cs="Arial"/>
          <w:bCs/>
          <w:color w:val="000000"/>
        </w:rPr>
        <w:t xml:space="preserve">es </w:t>
      </w:r>
      <w:r w:rsidRPr="00587DF1">
        <w:rPr>
          <w:rFonts w:ascii="Arial" w:eastAsia="Arial" w:hAnsi="Arial" w:cs="Arial"/>
          <w:bCs/>
          <w:color w:val="000000"/>
        </w:rPr>
        <w:t>that match the future of learning and teaching. It will provide training rooms that facilitate student interaction and use of technology.</w:t>
      </w:r>
      <w:r>
        <w:rPr>
          <w:rFonts w:ascii="Arial" w:eastAsia="Arial" w:hAnsi="Arial" w:cs="Arial"/>
          <w:bCs/>
          <w:color w:val="000000"/>
        </w:rPr>
        <w:t xml:space="preserve"> </w:t>
      </w:r>
      <w:r w:rsidRPr="00587DF1">
        <w:rPr>
          <w:rFonts w:ascii="Arial" w:eastAsia="Arial" w:hAnsi="Arial" w:cs="Arial"/>
          <w:bCs/>
          <w:color w:val="000000"/>
        </w:rPr>
        <w:t>Students in ophthalmology, optometry</w:t>
      </w:r>
      <w:r w:rsidR="001D0A5D">
        <w:rPr>
          <w:rFonts w:ascii="Arial" w:eastAsia="Arial" w:hAnsi="Arial" w:cs="Arial"/>
          <w:bCs/>
          <w:color w:val="000000"/>
        </w:rPr>
        <w:t xml:space="preserve">, </w:t>
      </w:r>
      <w:r w:rsidRPr="00587DF1">
        <w:rPr>
          <w:rFonts w:ascii="Arial" w:eastAsia="Arial" w:hAnsi="Arial" w:cs="Arial"/>
          <w:bCs/>
          <w:color w:val="000000"/>
        </w:rPr>
        <w:t xml:space="preserve">nursing </w:t>
      </w:r>
      <w:r w:rsidR="001D0A5D">
        <w:rPr>
          <w:rFonts w:ascii="Arial" w:eastAsia="Arial" w:hAnsi="Arial" w:cs="Arial"/>
          <w:bCs/>
          <w:color w:val="000000"/>
        </w:rPr>
        <w:t xml:space="preserve">and other clinical groups </w:t>
      </w:r>
      <w:r w:rsidRPr="00587DF1">
        <w:rPr>
          <w:rFonts w:ascii="Arial" w:eastAsia="Arial" w:hAnsi="Arial" w:cs="Arial"/>
          <w:bCs/>
          <w:color w:val="000000"/>
        </w:rPr>
        <w:t>will benefit from more exposure to clinical practice, which will improve the quality of their education. Oriel will also serve as a recruitment tool, providing an attractive place to work for the best graduates as well as more experienced staff from other trusts.</w:t>
      </w:r>
    </w:p>
    <w:p w14:paraId="6F341AD1" w14:textId="77777777" w:rsidR="0099383D" w:rsidRPr="0099383D" w:rsidRDefault="0099383D" w:rsidP="005E0D57">
      <w:pPr>
        <w:numPr>
          <w:ilvl w:val="2"/>
          <w:numId w:val="1"/>
        </w:numPr>
        <w:pBdr>
          <w:top w:val="nil"/>
          <w:left w:val="nil"/>
          <w:bottom w:val="nil"/>
          <w:right w:val="nil"/>
          <w:between w:val="nil"/>
        </w:pBdr>
        <w:spacing w:after="0" w:line="240" w:lineRule="auto"/>
        <w:ind w:left="567" w:hanging="567"/>
        <w:jc w:val="both"/>
        <w:rPr>
          <w:rFonts w:ascii="Arial" w:eastAsia="Arial" w:hAnsi="Arial" w:cs="Arial"/>
          <w:bCs/>
          <w:color w:val="000000"/>
        </w:rPr>
      </w:pPr>
      <w:r>
        <w:rPr>
          <w:rFonts w:ascii="Arial" w:eastAsia="Arial" w:hAnsi="Arial" w:cs="Arial"/>
          <w:b/>
        </w:rPr>
        <w:t>Workforce</w:t>
      </w:r>
    </w:p>
    <w:p w14:paraId="3CF5C926" w14:textId="77777777" w:rsidR="0099383D" w:rsidRDefault="0099383D" w:rsidP="00587DF1">
      <w:pPr>
        <w:pBdr>
          <w:top w:val="nil"/>
          <w:left w:val="nil"/>
          <w:bottom w:val="nil"/>
          <w:right w:val="nil"/>
          <w:between w:val="nil"/>
        </w:pBdr>
        <w:tabs>
          <w:tab w:val="left" w:pos="567"/>
        </w:tabs>
        <w:spacing w:after="0"/>
        <w:rPr>
          <w:rFonts w:ascii="Arial" w:eastAsia="Arial" w:hAnsi="Arial" w:cs="Arial"/>
        </w:rPr>
      </w:pPr>
    </w:p>
    <w:p w14:paraId="3C328F25" w14:textId="77777777" w:rsidR="0099383D" w:rsidRDefault="0099383D" w:rsidP="0099383D">
      <w:pPr>
        <w:pBdr>
          <w:top w:val="nil"/>
          <w:left w:val="nil"/>
          <w:bottom w:val="nil"/>
          <w:right w:val="nil"/>
          <w:between w:val="nil"/>
        </w:pBdr>
        <w:tabs>
          <w:tab w:val="left" w:pos="567"/>
        </w:tabs>
        <w:rPr>
          <w:rFonts w:ascii="Arial" w:eastAsia="Arial" w:hAnsi="Arial" w:cs="Arial"/>
          <w:bCs/>
          <w:color w:val="000000"/>
        </w:rPr>
      </w:pPr>
      <w:r w:rsidRPr="0099383D">
        <w:rPr>
          <w:rFonts w:ascii="Arial" w:eastAsia="Arial" w:hAnsi="Arial" w:cs="Arial"/>
          <w:bCs/>
          <w:color w:val="000000"/>
        </w:rPr>
        <w:t>Workforce</w:t>
      </w:r>
      <w:r>
        <w:rPr>
          <w:rFonts w:ascii="Arial" w:eastAsia="Arial" w:hAnsi="Arial" w:cs="Arial"/>
          <w:b/>
          <w:color w:val="000000"/>
        </w:rPr>
        <w:t xml:space="preserve"> </w:t>
      </w:r>
      <w:r>
        <w:rPr>
          <w:rFonts w:ascii="Arial" w:eastAsia="Arial" w:hAnsi="Arial" w:cs="Arial"/>
          <w:bCs/>
          <w:color w:val="000000"/>
        </w:rPr>
        <w:t>plans for Oriel build upon the service models and existing trust workforce strategy. The following principles set out the key workforce changes in Oriel:</w:t>
      </w:r>
    </w:p>
    <w:p w14:paraId="7AAA5E32" w14:textId="134E496F" w:rsidR="0099383D" w:rsidRPr="009C00EF" w:rsidRDefault="0099383D" w:rsidP="00190084">
      <w:pPr>
        <w:pStyle w:val="ListParagraph"/>
        <w:numPr>
          <w:ilvl w:val="0"/>
          <w:numId w:val="90"/>
        </w:numPr>
        <w:pBdr>
          <w:top w:val="nil"/>
          <w:left w:val="nil"/>
          <w:bottom w:val="nil"/>
          <w:right w:val="nil"/>
          <w:between w:val="nil"/>
        </w:pBdr>
        <w:tabs>
          <w:tab w:val="left" w:pos="709"/>
        </w:tabs>
        <w:rPr>
          <w:rFonts w:ascii="Arial" w:eastAsia="Arial" w:hAnsi="Arial" w:cs="Arial"/>
          <w:bCs/>
          <w:color w:val="000000"/>
        </w:rPr>
      </w:pPr>
      <w:r w:rsidRPr="009C00EF">
        <w:rPr>
          <w:rFonts w:ascii="Arial" w:eastAsia="Arial" w:hAnsi="Arial" w:cs="Arial"/>
          <w:b/>
          <w:color w:val="000000"/>
        </w:rPr>
        <w:t xml:space="preserve">Upskilling </w:t>
      </w:r>
      <w:r w:rsidRPr="009C00EF">
        <w:rPr>
          <w:rFonts w:ascii="Arial" w:eastAsia="Arial" w:hAnsi="Arial" w:cs="Arial"/>
          <w:bCs/>
          <w:color w:val="000000"/>
        </w:rPr>
        <w:t xml:space="preserve">– </w:t>
      </w:r>
      <w:r w:rsidR="003A1814" w:rsidRPr="009C00EF">
        <w:rPr>
          <w:rFonts w:ascii="Arial" w:eastAsia="Arial" w:hAnsi="Arial" w:cs="Arial"/>
          <w:bCs/>
          <w:color w:val="000000"/>
        </w:rPr>
        <w:t xml:space="preserve">there </w:t>
      </w:r>
      <w:r w:rsidRPr="009C00EF">
        <w:rPr>
          <w:rFonts w:ascii="Arial" w:eastAsia="Arial" w:hAnsi="Arial" w:cs="Arial"/>
          <w:bCs/>
          <w:color w:val="000000"/>
        </w:rPr>
        <w:t xml:space="preserve">is an ambition to upskill nursing and technical staff, thereby reducing the amount of consultant time required for certain tasks. </w:t>
      </w:r>
    </w:p>
    <w:p w14:paraId="74ECA99C" w14:textId="5F89B41C" w:rsidR="0099383D" w:rsidRPr="009C00EF" w:rsidRDefault="0099383D" w:rsidP="00190084">
      <w:pPr>
        <w:pStyle w:val="ListParagraph"/>
        <w:numPr>
          <w:ilvl w:val="0"/>
          <w:numId w:val="90"/>
        </w:numPr>
        <w:pBdr>
          <w:top w:val="nil"/>
          <w:left w:val="nil"/>
          <w:bottom w:val="nil"/>
          <w:right w:val="nil"/>
          <w:between w:val="nil"/>
        </w:pBdr>
        <w:tabs>
          <w:tab w:val="left" w:pos="709"/>
        </w:tabs>
        <w:rPr>
          <w:rFonts w:ascii="Arial" w:eastAsia="Arial" w:hAnsi="Arial" w:cs="Arial"/>
          <w:bCs/>
          <w:color w:val="000000"/>
        </w:rPr>
      </w:pPr>
      <w:r>
        <w:rPr>
          <w:rFonts w:ascii="Arial" w:eastAsia="Arial" w:hAnsi="Arial" w:cs="Arial"/>
          <w:b/>
          <w:color w:val="000000"/>
        </w:rPr>
        <w:t xml:space="preserve">Ensuring an appropriate skill mix </w:t>
      </w:r>
      <w:r w:rsidRPr="009C00EF">
        <w:rPr>
          <w:rFonts w:ascii="Arial" w:eastAsia="Arial" w:hAnsi="Arial" w:cs="Arial"/>
          <w:bCs/>
          <w:color w:val="000000"/>
        </w:rPr>
        <w:t xml:space="preserve">– </w:t>
      </w:r>
      <w:r w:rsidR="003A1814" w:rsidRPr="009C00EF">
        <w:rPr>
          <w:rFonts w:ascii="Arial" w:eastAsia="Arial" w:hAnsi="Arial" w:cs="Arial"/>
          <w:bCs/>
          <w:color w:val="000000"/>
        </w:rPr>
        <w:t xml:space="preserve">this </w:t>
      </w:r>
      <w:r w:rsidRPr="009C00EF">
        <w:rPr>
          <w:rFonts w:ascii="Arial" w:eastAsia="Arial" w:hAnsi="Arial" w:cs="Arial"/>
          <w:bCs/>
          <w:color w:val="000000"/>
        </w:rPr>
        <w:t xml:space="preserve">will enable </w:t>
      </w:r>
      <w:r>
        <w:rPr>
          <w:rFonts w:ascii="Arial" w:eastAsia="Arial" w:hAnsi="Arial" w:cs="Arial"/>
          <w:bCs/>
          <w:color w:val="000000"/>
        </w:rPr>
        <w:t xml:space="preserve">patient stratification </w:t>
      </w:r>
      <w:r w:rsidRPr="009C00EF">
        <w:rPr>
          <w:rFonts w:ascii="Arial" w:eastAsia="Arial" w:hAnsi="Arial" w:cs="Arial"/>
          <w:bCs/>
          <w:color w:val="000000"/>
        </w:rPr>
        <w:t xml:space="preserve">so low-complexity patients can be </w:t>
      </w:r>
      <w:r>
        <w:rPr>
          <w:rFonts w:ascii="Arial" w:eastAsia="Arial" w:hAnsi="Arial" w:cs="Arial"/>
          <w:bCs/>
          <w:color w:val="000000"/>
        </w:rPr>
        <w:t xml:space="preserve">seen </w:t>
      </w:r>
      <w:r w:rsidRPr="009C00EF">
        <w:rPr>
          <w:rFonts w:ascii="Arial" w:eastAsia="Arial" w:hAnsi="Arial" w:cs="Arial"/>
          <w:bCs/>
          <w:color w:val="000000"/>
        </w:rPr>
        <w:t>by less senior staff, with senior oversight.</w:t>
      </w:r>
    </w:p>
    <w:p w14:paraId="3633B2D8" w14:textId="47A84050" w:rsidR="0099383D" w:rsidRPr="009C00EF" w:rsidRDefault="0099383D" w:rsidP="00190084">
      <w:pPr>
        <w:pStyle w:val="ListParagraph"/>
        <w:numPr>
          <w:ilvl w:val="0"/>
          <w:numId w:val="90"/>
        </w:numPr>
        <w:pBdr>
          <w:top w:val="nil"/>
          <w:left w:val="nil"/>
          <w:bottom w:val="nil"/>
          <w:right w:val="nil"/>
          <w:between w:val="nil"/>
        </w:pBdr>
        <w:tabs>
          <w:tab w:val="left" w:pos="709"/>
        </w:tabs>
        <w:rPr>
          <w:rFonts w:ascii="Arial" w:eastAsia="Arial" w:hAnsi="Arial" w:cs="Arial"/>
          <w:bCs/>
          <w:color w:val="000000"/>
        </w:rPr>
      </w:pPr>
      <w:r w:rsidRPr="009C00EF">
        <w:rPr>
          <w:rFonts w:ascii="Arial" w:eastAsia="Arial" w:hAnsi="Arial" w:cs="Arial"/>
          <w:b/>
          <w:color w:val="000000"/>
        </w:rPr>
        <w:lastRenderedPageBreak/>
        <w:t>Improving efficiency</w:t>
      </w:r>
      <w:r w:rsidRPr="009C00EF">
        <w:rPr>
          <w:rFonts w:ascii="Arial" w:eastAsia="Arial" w:hAnsi="Arial" w:cs="Arial"/>
          <w:bCs/>
          <w:color w:val="000000"/>
        </w:rPr>
        <w:t xml:space="preserve"> – </w:t>
      </w:r>
      <w:r w:rsidR="003A1814" w:rsidRPr="009C00EF">
        <w:rPr>
          <w:rFonts w:ascii="Arial" w:eastAsia="Arial" w:hAnsi="Arial" w:cs="Arial"/>
          <w:bCs/>
          <w:color w:val="000000"/>
        </w:rPr>
        <w:t xml:space="preserve">staff </w:t>
      </w:r>
      <w:r w:rsidRPr="009C00EF">
        <w:rPr>
          <w:rFonts w:ascii="Arial" w:eastAsia="Arial" w:hAnsi="Arial" w:cs="Arial"/>
          <w:bCs/>
          <w:color w:val="000000"/>
        </w:rPr>
        <w:t>will be able to spend more time undertaking core activities with the introduction of virtual clinics, and improved patient flow.</w:t>
      </w:r>
    </w:p>
    <w:p w14:paraId="7860D4F8" w14:textId="48BD9283" w:rsidR="0099383D" w:rsidRPr="009C00EF" w:rsidRDefault="0099383D" w:rsidP="00190084">
      <w:pPr>
        <w:pStyle w:val="ListParagraph"/>
        <w:numPr>
          <w:ilvl w:val="0"/>
          <w:numId w:val="90"/>
        </w:numPr>
        <w:pBdr>
          <w:top w:val="nil"/>
          <w:left w:val="nil"/>
          <w:bottom w:val="nil"/>
          <w:right w:val="nil"/>
          <w:between w:val="nil"/>
        </w:pBdr>
        <w:tabs>
          <w:tab w:val="left" w:pos="709"/>
        </w:tabs>
        <w:rPr>
          <w:rFonts w:ascii="Arial" w:eastAsia="Arial" w:hAnsi="Arial" w:cs="Arial"/>
          <w:bCs/>
          <w:color w:val="000000"/>
        </w:rPr>
      </w:pPr>
      <w:r w:rsidRPr="009C00EF">
        <w:rPr>
          <w:rFonts w:ascii="Arial" w:eastAsia="Arial" w:hAnsi="Arial" w:cs="Arial"/>
          <w:b/>
          <w:color w:val="000000"/>
        </w:rPr>
        <w:t>Increased automation</w:t>
      </w:r>
      <w:r w:rsidRPr="009C00EF">
        <w:rPr>
          <w:rFonts w:ascii="Arial" w:eastAsia="Arial" w:hAnsi="Arial" w:cs="Arial"/>
          <w:bCs/>
          <w:color w:val="000000"/>
        </w:rPr>
        <w:t xml:space="preserve"> – </w:t>
      </w:r>
      <w:r w:rsidR="003A1814" w:rsidRPr="009C00EF">
        <w:rPr>
          <w:rFonts w:ascii="Arial" w:eastAsia="Arial" w:hAnsi="Arial" w:cs="Arial"/>
          <w:bCs/>
          <w:color w:val="000000"/>
        </w:rPr>
        <w:t xml:space="preserve">this </w:t>
      </w:r>
      <w:r w:rsidRPr="009C00EF">
        <w:rPr>
          <w:rFonts w:ascii="Arial" w:eastAsia="Arial" w:hAnsi="Arial" w:cs="Arial"/>
          <w:bCs/>
          <w:color w:val="000000"/>
        </w:rPr>
        <w:t>may reduce headcount in some areas. Plans include automation of patient check-in, theatre stock management and digital triage in A&amp;E.</w:t>
      </w:r>
    </w:p>
    <w:p w14:paraId="35D71964" w14:textId="77777777" w:rsidR="0099383D" w:rsidRPr="0099383D" w:rsidRDefault="0099383D" w:rsidP="00190084">
      <w:pPr>
        <w:pStyle w:val="ListParagraph"/>
        <w:numPr>
          <w:ilvl w:val="0"/>
          <w:numId w:val="90"/>
        </w:numPr>
        <w:pBdr>
          <w:top w:val="nil"/>
          <w:left w:val="nil"/>
          <w:bottom w:val="nil"/>
          <w:right w:val="nil"/>
          <w:between w:val="nil"/>
        </w:pBdr>
        <w:tabs>
          <w:tab w:val="left" w:pos="709"/>
        </w:tabs>
        <w:spacing w:after="0"/>
        <w:rPr>
          <w:rFonts w:ascii="Arial" w:eastAsia="Arial" w:hAnsi="Arial" w:cs="Arial"/>
          <w:bCs/>
          <w:color w:val="000000"/>
        </w:rPr>
      </w:pPr>
      <w:r w:rsidRPr="009C00EF">
        <w:rPr>
          <w:rFonts w:ascii="Arial" w:eastAsia="Arial" w:hAnsi="Arial" w:cs="Arial"/>
          <w:b/>
          <w:color w:val="000000"/>
        </w:rPr>
        <w:t>Care closer to home</w:t>
      </w:r>
      <w:r w:rsidRPr="009C00EF">
        <w:rPr>
          <w:rFonts w:ascii="Arial" w:eastAsia="Arial" w:hAnsi="Arial" w:cs="Arial"/>
          <w:bCs/>
          <w:color w:val="000000"/>
        </w:rPr>
        <w:t xml:space="preserve"> – Moorfields has committed to continue to work with commissioners to move care into the Moorfields network and community settings.</w:t>
      </w:r>
    </w:p>
    <w:p w14:paraId="17F5EF5E" w14:textId="77777777" w:rsidR="0099383D" w:rsidRDefault="0099383D" w:rsidP="00587DF1">
      <w:pPr>
        <w:pBdr>
          <w:top w:val="nil"/>
          <w:left w:val="nil"/>
          <w:bottom w:val="nil"/>
          <w:right w:val="nil"/>
          <w:between w:val="nil"/>
        </w:pBdr>
        <w:tabs>
          <w:tab w:val="left" w:pos="567"/>
        </w:tabs>
        <w:spacing w:after="0"/>
        <w:rPr>
          <w:rFonts w:ascii="Arial" w:eastAsia="Arial" w:hAnsi="Arial" w:cs="Arial"/>
        </w:rPr>
      </w:pPr>
    </w:p>
    <w:p w14:paraId="50EC9B0D" w14:textId="77777777" w:rsidR="0099383D" w:rsidRPr="0099383D" w:rsidRDefault="0099383D" w:rsidP="005E0D57">
      <w:pPr>
        <w:numPr>
          <w:ilvl w:val="2"/>
          <w:numId w:val="1"/>
        </w:numPr>
        <w:pBdr>
          <w:top w:val="nil"/>
          <w:left w:val="nil"/>
          <w:bottom w:val="nil"/>
          <w:right w:val="nil"/>
          <w:between w:val="nil"/>
        </w:pBdr>
        <w:spacing w:after="0" w:line="240" w:lineRule="auto"/>
        <w:ind w:left="567" w:hanging="567"/>
        <w:jc w:val="both"/>
        <w:rPr>
          <w:rFonts w:ascii="Arial" w:eastAsia="Arial" w:hAnsi="Arial" w:cs="Arial"/>
          <w:bCs/>
          <w:color w:val="000000"/>
        </w:rPr>
      </w:pPr>
      <w:r>
        <w:rPr>
          <w:rFonts w:ascii="Arial" w:eastAsia="Arial" w:hAnsi="Arial" w:cs="Arial"/>
          <w:b/>
        </w:rPr>
        <w:t>IT</w:t>
      </w:r>
    </w:p>
    <w:p w14:paraId="20051A84" w14:textId="77777777" w:rsidR="0099383D" w:rsidRDefault="0099383D" w:rsidP="00587DF1">
      <w:pPr>
        <w:pBdr>
          <w:top w:val="nil"/>
          <w:left w:val="nil"/>
          <w:bottom w:val="nil"/>
          <w:right w:val="nil"/>
          <w:between w:val="nil"/>
        </w:pBdr>
        <w:tabs>
          <w:tab w:val="left" w:pos="567"/>
        </w:tabs>
        <w:spacing w:after="0"/>
        <w:rPr>
          <w:rFonts w:ascii="Arial" w:eastAsia="Arial" w:hAnsi="Arial" w:cs="Arial"/>
        </w:rPr>
      </w:pPr>
    </w:p>
    <w:p w14:paraId="7ED6F6CB" w14:textId="77777777" w:rsidR="0099383D" w:rsidRDefault="0099383D" w:rsidP="0099383D">
      <w:p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 xml:space="preserve">The </w:t>
      </w:r>
      <w:r w:rsidRPr="0099383D">
        <w:rPr>
          <w:rFonts w:ascii="Arial" w:eastAsia="Arial" w:hAnsi="Arial" w:cs="Arial"/>
          <w:bCs/>
          <w:color w:val="000000"/>
        </w:rPr>
        <w:t>digital</w:t>
      </w:r>
      <w:r>
        <w:rPr>
          <w:rFonts w:ascii="Arial" w:eastAsia="Arial" w:hAnsi="Arial" w:cs="Arial"/>
          <w:b/>
          <w:color w:val="000000"/>
        </w:rPr>
        <w:t xml:space="preserve"> </w:t>
      </w:r>
      <w:r>
        <w:rPr>
          <w:rFonts w:ascii="Arial" w:eastAsia="Arial" w:hAnsi="Arial" w:cs="Arial"/>
          <w:bCs/>
          <w:color w:val="000000"/>
        </w:rPr>
        <w:t>aspirations for Oriel are:</w:t>
      </w:r>
    </w:p>
    <w:p w14:paraId="17C6B678" w14:textId="28CD9A6A" w:rsidR="0099383D" w:rsidRPr="00587DF1" w:rsidRDefault="0099383D"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
          <w:color w:val="000000"/>
        </w:rPr>
        <w:t>Delivery of truly patient-centred care</w:t>
      </w:r>
      <w:r w:rsidRPr="00587DF1">
        <w:rPr>
          <w:rFonts w:ascii="Arial" w:eastAsia="Arial" w:hAnsi="Arial" w:cs="Arial"/>
          <w:bCs/>
          <w:color w:val="000000"/>
        </w:rPr>
        <w:t xml:space="preserve"> – ensuring that patient</w:t>
      </w:r>
      <w:r>
        <w:rPr>
          <w:rFonts w:ascii="Arial" w:eastAsia="Arial" w:hAnsi="Arial" w:cs="Arial"/>
          <w:bCs/>
          <w:color w:val="000000"/>
        </w:rPr>
        <w:t>s</w:t>
      </w:r>
      <w:r w:rsidRPr="00587DF1">
        <w:rPr>
          <w:rFonts w:ascii="Arial" w:eastAsia="Arial" w:hAnsi="Arial" w:cs="Arial"/>
          <w:bCs/>
          <w:color w:val="000000"/>
        </w:rPr>
        <w:t xml:space="preserve"> and staff are fully informed about care plans, and enabling the patient to actively engage with their care and self-manage their condition wherever possible</w:t>
      </w:r>
      <w:r w:rsidR="00236908">
        <w:rPr>
          <w:rFonts w:ascii="Arial" w:eastAsia="Arial" w:hAnsi="Arial" w:cs="Arial"/>
          <w:bCs/>
          <w:color w:val="000000"/>
        </w:rPr>
        <w:t>.</w:t>
      </w:r>
    </w:p>
    <w:p w14:paraId="3D52E2A6" w14:textId="26EE79CC" w:rsidR="0099383D" w:rsidRPr="00587DF1" w:rsidRDefault="0099383D"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
          <w:color w:val="000000"/>
        </w:rPr>
        <w:t>Support improved service efficiency</w:t>
      </w:r>
      <w:r w:rsidRPr="00587DF1">
        <w:rPr>
          <w:rFonts w:ascii="Arial" w:eastAsia="Arial" w:hAnsi="Arial" w:cs="Arial"/>
          <w:bCs/>
          <w:color w:val="000000"/>
        </w:rPr>
        <w:t xml:space="preserve"> – smoothing the patient</w:t>
      </w:r>
      <w:r w:rsidR="00C9177D">
        <w:rPr>
          <w:rFonts w:ascii="Arial" w:eastAsia="Arial" w:hAnsi="Arial" w:cs="Arial"/>
          <w:bCs/>
          <w:color w:val="000000"/>
        </w:rPr>
        <w:t xml:space="preserve"> journey</w:t>
      </w:r>
      <w:r w:rsidRPr="00587DF1">
        <w:rPr>
          <w:rFonts w:ascii="Arial" w:eastAsia="Arial" w:hAnsi="Arial" w:cs="Arial"/>
          <w:bCs/>
          <w:color w:val="000000"/>
        </w:rPr>
        <w:t xml:space="preserve"> through Moorfields’ well defined and standardised clinical pathways</w:t>
      </w:r>
      <w:r w:rsidR="00236908">
        <w:rPr>
          <w:rFonts w:ascii="Arial" w:eastAsia="Arial" w:hAnsi="Arial" w:cs="Arial"/>
          <w:bCs/>
          <w:color w:val="000000"/>
        </w:rPr>
        <w:t>.</w:t>
      </w:r>
    </w:p>
    <w:p w14:paraId="2FCDD7F7" w14:textId="22CE9D5E" w:rsidR="0099383D" w:rsidRPr="00587DF1" w:rsidRDefault="0099383D"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
          <w:color w:val="000000"/>
        </w:rPr>
        <w:t>Delivering more care in the community</w:t>
      </w:r>
      <w:r w:rsidRPr="00587DF1">
        <w:rPr>
          <w:rFonts w:ascii="Arial" w:eastAsia="Arial" w:hAnsi="Arial" w:cs="Arial"/>
          <w:bCs/>
          <w:color w:val="000000"/>
        </w:rPr>
        <w:t xml:space="preserve"> – through virtual clinics and sharing information with other care providers</w:t>
      </w:r>
      <w:r w:rsidR="00236908">
        <w:rPr>
          <w:rFonts w:ascii="Arial" w:eastAsia="Arial" w:hAnsi="Arial" w:cs="Arial"/>
          <w:bCs/>
          <w:color w:val="000000"/>
        </w:rPr>
        <w:t>.</w:t>
      </w:r>
    </w:p>
    <w:p w14:paraId="06E2FA85" w14:textId="68AAE399" w:rsidR="0099383D" w:rsidRPr="00587DF1" w:rsidRDefault="0099383D" w:rsidP="005E0D57">
      <w:pPr>
        <w:pStyle w:val="ListParagraph"/>
        <w:numPr>
          <w:ilvl w:val="0"/>
          <w:numId w:val="46"/>
        </w:numPr>
        <w:pBdr>
          <w:top w:val="nil"/>
          <w:left w:val="nil"/>
          <w:bottom w:val="nil"/>
          <w:right w:val="nil"/>
          <w:between w:val="nil"/>
        </w:pBdr>
        <w:tabs>
          <w:tab w:val="left" w:pos="709"/>
        </w:tabs>
        <w:rPr>
          <w:rFonts w:ascii="Arial" w:eastAsia="Arial" w:hAnsi="Arial" w:cs="Arial"/>
          <w:b/>
          <w:color w:val="000000"/>
        </w:rPr>
      </w:pPr>
      <w:r w:rsidRPr="00587DF1">
        <w:rPr>
          <w:rFonts w:ascii="Arial" w:eastAsia="Arial" w:hAnsi="Arial" w:cs="Arial"/>
          <w:b/>
          <w:color w:val="000000"/>
        </w:rPr>
        <w:t>Improving access to services</w:t>
      </w:r>
      <w:r w:rsidRPr="00587DF1">
        <w:rPr>
          <w:rFonts w:ascii="Arial" w:eastAsia="Arial" w:hAnsi="Arial" w:cs="Arial"/>
          <w:bCs/>
          <w:color w:val="000000"/>
        </w:rPr>
        <w:t xml:space="preserve"> – for example, patients will be directed through the </w:t>
      </w:r>
      <w:r w:rsidR="00D76672">
        <w:rPr>
          <w:rFonts w:ascii="Arial" w:eastAsia="Arial" w:hAnsi="Arial" w:cs="Arial"/>
          <w:bCs/>
          <w:color w:val="000000"/>
        </w:rPr>
        <w:t>new centre</w:t>
      </w:r>
      <w:r w:rsidRPr="00587DF1">
        <w:rPr>
          <w:rFonts w:ascii="Arial" w:eastAsia="Arial" w:hAnsi="Arial" w:cs="Arial"/>
          <w:bCs/>
          <w:color w:val="000000"/>
        </w:rPr>
        <w:t xml:space="preserve"> using a combination of visual and intelligent audio guidance.</w:t>
      </w:r>
    </w:p>
    <w:p w14:paraId="4CB18759" w14:textId="7776EA6D" w:rsidR="0099383D" w:rsidRPr="00587DF1" w:rsidRDefault="0099383D" w:rsidP="005E0D57">
      <w:pPr>
        <w:pStyle w:val="ListParagraph"/>
        <w:numPr>
          <w:ilvl w:val="0"/>
          <w:numId w:val="46"/>
        </w:numPr>
        <w:pBdr>
          <w:top w:val="nil"/>
          <w:left w:val="nil"/>
          <w:bottom w:val="nil"/>
          <w:right w:val="nil"/>
          <w:between w:val="nil"/>
        </w:pBdr>
        <w:tabs>
          <w:tab w:val="left" w:pos="709"/>
        </w:tabs>
        <w:rPr>
          <w:rFonts w:ascii="Arial" w:eastAsia="Arial" w:hAnsi="Arial" w:cs="Arial"/>
          <w:b/>
          <w:color w:val="000000"/>
        </w:rPr>
      </w:pPr>
      <w:r w:rsidRPr="00587DF1">
        <w:rPr>
          <w:rFonts w:ascii="Arial" w:eastAsia="Arial" w:hAnsi="Arial" w:cs="Arial"/>
          <w:b/>
          <w:color w:val="000000"/>
        </w:rPr>
        <w:t xml:space="preserve">Collaboration and integration </w:t>
      </w:r>
      <w:r w:rsidRPr="00587DF1">
        <w:rPr>
          <w:rFonts w:ascii="Arial" w:eastAsia="Arial" w:hAnsi="Arial" w:cs="Arial"/>
          <w:bCs/>
          <w:color w:val="000000"/>
        </w:rPr>
        <w:t>– data will be available to clinicians as and when required across multiple devices. Data will be captured directly, close to its source and shared with the patient and other health professionals</w:t>
      </w:r>
      <w:r w:rsidR="003A1814">
        <w:rPr>
          <w:rFonts w:ascii="Arial" w:eastAsia="Arial" w:hAnsi="Arial" w:cs="Arial"/>
          <w:bCs/>
          <w:color w:val="000000"/>
        </w:rPr>
        <w:t xml:space="preserve"> where appropriate</w:t>
      </w:r>
      <w:r w:rsidR="00236908">
        <w:rPr>
          <w:rFonts w:ascii="Arial" w:eastAsia="Arial" w:hAnsi="Arial" w:cs="Arial"/>
          <w:bCs/>
          <w:color w:val="000000"/>
        </w:rPr>
        <w:t>.</w:t>
      </w:r>
    </w:p>
    <w:p w14:paraId="51A242AA" w14:textId="73AEFE0E" w:rsidR="0099383D" w:rsidRPr="00587DF1" w:rsidRDefault="0099383D" w:rsidP="005E0D57">
      <w:pPr>
        <w:pStyle w:val="ListParagraph"/>
        <w:numPr>
          <w:ilvl w:val="0"/>
          <w:numId w:val="46"/>
        </w:numPr>
        <w:pBdr>
          <w:top w:val="nil"/>
          <w:left w:val="nil"/>
          <w:bottom w:val="nil"/>
          <w:right w:val="nil"/>
          <w:between w:val="nil"/>
        </w:pBdr>
        <w:tabs>
          <w:tab w:val="left" w:pos="709"/>
        </w:tabs>
        <w:rPr>
          <w:rFonts w:ascii="Arial" w:eastAsia="Arial" w:hAnsi="Arial" w:cs="Arial"/>
          <w:b/>
          <w:color w:val="000000"/>
        </w:rPr>
      </w:pPr>
      <w:r w:rsidRPr="00587DF1">
        <w:rPr>
          <w:rFonts w:ascii="Arial" w:eastAsia="Arial" w:hAnsi="Arial" w:cs="Arial"/>
          <w:b/>
          <w:color w:val="000000"/>
        </w:rPr>
        <w:t xml:space="preserve">Clinical image management and research </w:t>
      </w:r>
      <w:r w:rsidRPr="00587DF1">
        <w:rPr>
          <w:rFonts w:ascii="Arial" w:eastAsia="Arial" w:hAnsi="Arial" w:cs="Arial"/>
          <w:bCs/>
          <w:color w:val="000000"/>
        </w:rPr>
        <w:t xml:space="preserve">– </w:t>
      </w:r>
      <w:r w:rsidR="00C14576">
        <w:rPr>
          <w:rFonts w:ascii="Arial" w:eastAsia="Arial" w:hAnsi="Arial" w:cs="Arial"/>
          <w:bCs/>
          <w:color w:val="000000"/>
        </w:rPr>
        <w:t>i</w:t>
      </w:r>
      <w:r w:rsidRPr="00587DF1">
        <w:rPr>
          <w:rFonts w:ascii="Arial" w:eastAsia="Arial" w:hAnsi="Arial" w:cs="Arial"/>
          <w:bCs/>
          <w:color w:val="000000"/>
        </w:rPr>
        <w:t>nfrastructure will be in place to support rapid and reliable access to clinical images</w:t>
      </w:r>
      <w:r w:rsidR="00236908">
        <w:rPr>
          <w:rFonts w:ascii="Arial" w:eastAsia="Arial" w:hAnsi="Arial" w:cs="Arial"/>
          <w:bCs/>
          <w:color w:val="000000"/>
        </w:rPr>
        <w:t>.</w:t>
      </w:r>
    </w:p>
    <w:p w14:paraId="58E44BB9" w14:textId="540425CA" w:rsidR="0099383D" w:rsidRDefault="0099383D"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
          <w:color w:val="000000"/>
        </w:rPr>
        <w:t xml:space="preserve">Education </w:t>
      </w:r>
      <w:r w:rsidRPr="00587DF1">
        <w:rPr>
          <w:rFonts w:ascii="Arial" w:eastAsia="Arial" w:hAnsi="Arial" w:cs="Arial"/>
          <w:bCs/>
          <w:color w:val="000000"/>
        </w:rPr>
        <w:t xml:space="preserve">– </w:t>
      </w:r>
      <w:r w:rsidR="00C14576">
        <w:rPr>
          <w:rFonts w:ascii="Arial" w:eastAsia="Arial" w:hAnsi="Arial" w:cs="Arial"/>
          <w:bCs/>
          <w:color w:val="000000"/>
        </w:rPr>
        <w:t>i</w:t>
      </w:r>
      <w:r w:rsidRPr="00587DF1">
        <w:rPr>
          <w:rFonts w:ascii="Arial" w:eastAsia="Arial" w:hAnsi="Arial" w:cs="Arial"/>
          <w:bCs/>
          <w:color w:val="000000"/>
        </w:rPr>
        <w:t>nfrastructure and applications (e.g. desk-top video conferencing, recorded consultations) will enhance the educational experience.</w:t>
      </w:r>
    </w:p>
    <w:p w14:paraId="3E2A9D43" w14:textId="77777777" w:rsidR="00F5376C" w:rsidRPr="00F5376C" w:rsidRDefault="00F5376C" w:rsidP="00F5376C">
      <w:pPr>
        <w:pBdr>
          <w:top w:val="nil"/>
          <w:left w:val="nil"/>
          <w:bottom w:val="nil"/>
          <w:right w:val="nil"/>
          <w:between w:val="nil"/>
        </w:pBdr>
        <w:tabs>
          <w:tab w:val="left" w:pos="709"/>
        </w:tabs>
        <w:rPr>
          <w:rFonts w:ascii="Arial" w:eastAsia="Arial" w:hAnsi="Arial" w:cs="Arial"/>
          <w:bCs/>
          <w:color w:val="000000"/>
        </w:rPr>
      </w:pPr>
    </w:p>
    <w:p w14:paraId="4939DB7D" w14:textId="77777777" w:rsidR="0099383D" w:rsidRPr="00587DF1" w:rsidRDefault="0099383D" w:rsidP="00587DF1">
      <w:pPr>
        <w:pBdr>
          <w:top w:val="nil"/>
          <w:left w:val="nil"/>
          <w:bottom w:val="nil"/>
          <w:right w:val="nil"/>
          <w:between w:val="nil"/>
        </w:pBdr>
        <w:tabs>
          <w:tab w:val="left" w:pos="567"/>
        </w:tabs>
        <w:spacing w:after="0"/>
        <w:rPr>
          <w:rFonts w:ascii="Arial" w:eastAsia="Arial" w:hAnsi="Arial" w:cs="Arial"/>
        </w:rPr>
      </w:pPr>
    </w:p>
    <w:p w14:paraId="763DB285" w14:textId="7FBAEDD7" w:rsidR="009529B1" w:rsidRDefault="00587DF1" w:rsidP="005E0D57">
      <w:pPr>
        <w:pStyle w:val="Heading2"/>
        <w:numPr>
          <w:ilvl w:val="1"/>
          <w:numId w:val="1"/>
        </w:numPr>
        <w:rPr>
          <w:rFonts w:ascii="Arial" w:eastAsia="Arial" w:hAnsi="Arial" w:cs="Arial"/>
        </w:rPr>
      </w:pPr>
      <w:bookmarkStart w:id="6" w:name="_Toc32842665"/>
      <w:r w:rsidRPr="00587DF1">
        <w:rPr>
          <w:rFonts w:ascii="Arial" w:eastAsia="Arial" w:hAnsi="Arial" w:cs="Arial"/>
        </w:rPr>
        <w:t>Finance case</w:t>
      </w:r>
      <w:bookmarkEnd w:id="6"/>
    </w:p>
    <w:p w14:paraId="2A90A2F7" w14:textId="77777777" w:rsidR="006C4800" w:rsidRDefault="006C4800" w:rsidP="00B72F95">
      <w:pPr>
        <w:spacing w:after="0" w:line="264" w:lineRule="auto"/>
        <w:ind w:right="142"/>
        <w:rPr>
          <w:rFonts w:ascii="Arial" w:hAnsi="Arial" w:cs="Arial"/>
        </w:rPr>
      </w:pPr>
    </w:p>
    <w:p w14:paraId="38F1B244" w14:textId="23634BBE" w:rsidR="000C6EFF" w:rsidRDefault="006C4800" w:rsidP="00B72F95">
      <w:pPr>
        <w:spacing w:line="264" w:lineRule="auto"/>
        <w:ind w:right="142"/>
        <w:rPr>
          <w:rFonts w:ascii="Arial" w:hAnsi="Arial" w:cs="Arial"/>
        </w:rPr>
      </w:pPr>
      <w:r>
        <w:rPr>
          <w:rFonts w:ascii="Arial" w:hAnsi="Arial" w:cs="Arial"/>
        </w:rPr>
        <w:t>The purpose of the Finance C</w:t>
      </w:r>
      <w:r w:rsidR="000C6EFF">
        <w:rPr>
          <w:rFonts w:ascii="Arial" w:hAnsi="Arial" w:cs="Arial"/>
        </w:rPr>
        <w:t>ase is to assess the affordability of the preferred option</w:t>
      </w:r>
      <w:r>
        <w:rPr>
          <w:rFonts w:ascii="Arial" w:hAnsi="Arial" w:cs="Arial"/>
        </w:rPr>
        <w:t xml:space="preserve"> </w:t>
      </w:r>
      <w:r w:rsidR="00702F20">
        <w:rPr>
          <w:rFonts w:ascii="Arial" w:hAnsi="Arial" w:cs="Arial"/>
        </w:rPr>
        <w:t>selected in</w:t>
      </w:r>
      <w:r>
        <w:rPr>
          <w:rFonts w:ascii="Arial" w:hAnsi="Arial" w:cs="Arial"/>
        </w:rPr>
        <w:t xml:space="preserve"> the Economic Case,</w:t>
      </w:r>
      <w:r w:rsidR="000C6EFF">
        <w:rPr>
          <w:rFonts w:ascii="Arial" w:hAnsi="Arial" w:cs="Arial"/>
        </w:rPr>
        <w:t xml:space="preserve"> from the perspective of the </w:t>
      </w:r>
      <w:r w:rsidR="00AF7894">
        <w:rPr>
          <w:rFonts w:ascii="Arial" w:hAnsi="Arial" w:cs="Arial"/>
        </w:rPr>
        <w:t>t</w:t>
      </w:r>
      <w:r w:rsidR="000C6EFF">
        <w:rPr>
          <w:rFonts w:ascii="Arial" w:hAnsi="Arial" w:cs="Arial"/>
        </w:rPr>
        <w:t>rust’s budget.  For this purpose, affordability has been defined as:</w:t>
      </w:r>
    </w:p>
    <w:p w14:paraId="2B50B179" w14:textId="1D8DC3C2" w:rsidR="000C6EFF" w:rsidRDefault="000C6EFF" w:rsidP="00190084">
      <w:pPr>
        <w:pStyle w:val="ListParagraph"/>
        <w:numPr>
          <w:ilvl w:val="0"/>
          <w:numId w:val="97"/>
        </w:numPr>
        <w:spacing w:line="264" w:lineRule="auto"/>
        <w:ind w:right="142"/>
        <w:rPr>
          <w:rFonts w:ascii="Arial" w:hAnsi="Arial" w:cs="Arial"/>
        </w:rPr>
      </w:pPr>
      <w:r>
        <w:rPr>
          <w:rFonts w:ascii="Arial" w:hAnsi="Arial" w:cs="Arial"/>
        </w:rPr>
        <w:t>Cash balances above £5m in every year</w:t>
      </w:r>
      <w:r w:rsidR="00267569">
        <w:rPr>
          <w:rFonts w:ascii="Arial" w:hAnsi="Arial" w:cs="Arial"/>
        </w:rPr>
        <w:t>.</w:t>
      </w:r>
    </w:p>
    <w:p w14:paraId="51B52F78" w14:textId="1EF32593" w:rsidR="000C6EFF" w:rsidRDefault="000C6EFF" w:rsidP="00190084">
      <w:pPr>
        <w:pStyle w:val="ListParagraph"/>
        <w:numPr>
          <w:ilvl w:val="0"/>
          <w:numId w:val="97"/>
        </w:numPr>
        <w:spacing w:line="264" w:lineRule="auto"/>
        <w:ind w:right="142"/>
        <w:rPr>
          <w:rFonts w:ascii="Arial" w:hAnsi="Arial" w:cs="Arial"/>
        </w:rPr>
      </w:pPr>
      <w:r>
        <w:rPr>
          <w:rFonts w:ascii="Arial" w:hAnsi="Arial" w:cs="Arial"/>
        </w:rPr>
        <w:t xml:space="preserve">Underlying surpluses (which excludes non-recurrent </w:t>
      </w:r>
      <w:r w:rsidR="008210B2">
        <w:rPr>
          <w:rFonts w:ascii="Arial" w:hAnsi="Arial" w:cs="Arial"/>
        </w:rPr>
        <w:t>items</w:t>
      </w:r>
      <w:r>
        <w:rPr>
          <w:rFonts w:ascii="Arial" w:hAnsi="Arial" w:cs="Arial"/>
        </w:rPr>
        <w:t xml:space="preserve"> e.g. relating to the transition to the new site) in every year</w:t>
      </w:r>
      <w:r w:rsidR="00267569">
        <w:rPr>
          <w:rFonts w:ascii="Arial" w:hAnsi="Arial" w:cs="Arial"/>
        </w:rPr>
        <w:t>.</w:t>
      </w:r>
    </w:p>
    <w:p w14:paraId="637CB473" w14:textId="1F7D3D36" w:rsidR="00964502" w:rsidRDefault="000577C0" w:rsidP="00190084">
      <w:pPr>
        <w:pStyle w:val="ListParagraph"/>
        <w:numPr>
          <w:ilvl w:val="0"/>
          <w:numId w:val="97"/>
        </w:numPr>
        <w:spacing w:line="264" w:lineRule="auto"/>
        <w:ind w:right="142"/>
        <w:rPr>
          <w:rFonts w:ascii="Arial" w:hAnsi="Arial" w:cs="Arial"/>
        </w:rPr>
      </w:pPr>
      <w:r>
        <w:rPr>
          <w:rFonts w:ascii="Arial" w:hAnsi="Arial" w:cs="Arial"/>
        </w:rPr>
        <w:t>Adjusted surplus (t</w:t>
      </w:r>
      <w:r w:rsidR="008210B2">
        <w:rPr>
          <w:rFonts w:ascii="Arial" w:hAnsi="Arial" w:cs="Arial"/>
        </w:rPr>
        <w:t>he measure used by NHSI) by FY29</w:t>
      </w:r>
      <w:r w:rsidR="00267569">
        <w:rPr>
          <w:rFonts w:ascii="Arial" w:hAnsi="Arial" w:cs="Arial"/>
        </w:rPr>
        <w:t>.</w:t>
      </w:r>
    </w:p>
    <w:p w14:paraId="50C0EA03" w14:textId="77777777" w:rsidR="00964502" w:rsidRPr="00964502" w:rsidRDefault="00964502" w:rsidP="00964502">
      <w:pPr>
        <w:pStyle w:val="ListParagraph"/>
        <w:spacing w:line="264" w:lineRule="auto"/>
        <w:ind w:right="142"/>
        <w:jc w:val="both"/>
        <w:rPr>
          <w:rFonts w:ascii="Arial" w:hAnsi="Arial" w:cs="Arial"/>
        </w:rPr>
      </w:pPr>
    </w:p>
    <w:p w14:paraId="54027A34" w14:textId="44AB83B1" w:rsidR="00964502" w:rsidRPr="00964502" w:rsidRDefault="00964502" w:rsidP="005E0D57">
      <w:pPr>
        <w:pStyle w:val="ListParagraph"/>
        <w:numPr>
          <w:ilvl w:val="2"/>
          <w:numId w:val="1"/>
        </w:numPr>
        <w:rPr>
          <w:rFonts w:ascii="Arial" w:hAnsi="Arial" w:cs="Arial"/>
          <w:b/>
        </w:rPr>
      </w:pPr>
      <w:bookmarkStart w:id="7" w:name="_Ref40697036"/>
      <w:r>
        <w:rPr>
          <w:rFonts w:ascii="Arial" w:hAnsi="Arial" w:cs="Arial"/>
          <w:b/>
        </w:rPr>
        <w:t>Summary of financial forecast</w:t>
      </w:r>
      <w:bookmarkEnd w:id="7"/>
    </w:p>
    <w:p w14:paraId="2CA5A411" w14:textId="450B3C83" w:rsidR="00C16091" w:rsidRDefault="000C6EFF" w:rsidP="00CD45FE">
      <w:pPr>
        <w:rPr>
          <w:rFonts w:ascii="Arial" w:hAnsi="Arial" w:cs="Arial"/>
        </w:rPr>
      </w:pPr>
      <w:r>
        <w:rPr>
          <w:rFonts w:ascii="Arial" w:hAnsi="Arial" w:cs="Arial"/>
        </w:rPr>
        <w:t xml:space="preserve">The following </w:t>
      </w:r>
      <w:r w:rsidR="00CD45FE">
        <w:rPr>
          <w:rFonts w:ascii="Arial" w:hAnsi="Arial" w:cs="Arial"/>
        </w:rPr>
        <w:t>table summarise</w:t>
      </w:r>
      <w:r w:rsidR="00964502">
        <w:rPr>
          <w:rFonts w:ascii="Arial" w:hAnsi="Arial" w:cs="Arial"/>
        </w:rPr>
        <w:t xml:space="preserve">s </w:t>
      </w:r>
      <w:r w:rsidR="00CD45FE">
        <w:rPr>
          <w:rFonts w:ascii="Arial" w:hAnsi="Arial" w:cs="Arial"/>
        </w:rPr>
        <w:t xml:space="preserve">the forecast financial performance of the </w:t>
      </w:r>
      <w:r w:rsidR="00AF7894">
        <w:rPr>
          <w:rFonts w:ascii="Arial" w:hAnsi="Arial" w:cs="Arial"/>
        </w:rPr>
        <w:t>trust</w:t>
      </w:r>
      <w:r w:rsidR="00BF42D0">
        <w:rPr>
          <w:rFonts w:ascii="Arial" w:hAnsi="Arial" w:cs="Arial"/>
        </w:rPr>
        <w:t xml:space="preserve"> up to FY29</w:t>
      </w:r>
      <w:r w:rsidR="00964502">
        <w:rPr>
          <w:rFonts w:ascii="Arial" w:hAnsi="Arial" w:cs="Arial"/>
        </w:rPr>
        <w:t>.</w:t>
      </w:r>
    </w:p>
    <w:p w14:paraId="5516306E" w14:textId="68FE6F90" w:rsidR="00B72F95" w:rsidRDefault="00B72F95" w:rsidP="00B72F95">
      <w:pPr>
        <w:pStyle w:val="Caption"/>
      </w:pPr>
      <w:r>
        <w:lastRenderedPageBreak/>
        <w:t xml:space="preserve">Table </w:t>
      </w:r>
      <w:r>
        <w:fldChar w:fldCharType="begin"/>
      </w:r>
      <w:r>
        <w:instrText xml:space="preserve"> SEQ Table \* ARABIC </w:instrText>
      </w:r>
      <w:r>
        <w:fldChar w:fldCharType="separate"/>
      </w:r>
      <w:r w:rsidR="00A936CD">
        <w:rPr>
          <w:noProof/>
        </w:rPr>
        <w:t>2</w:t>
      </w:r>
      <w:r>
        <w:fldChar w:fldCharType="end"/>
      </w:r>
      <w:r>
        <w:t xml:space="preserve">: </w:t>
      </w:r>
      <w:r w:rsidR="00267569">
        <w:rPr>
          <w:b w:val="0"/>
        </w:rPr>
        <w:t>Finance Case</w:t>
      </w:r>
      <w:r w:rsidRPr="00F80115">
        <w:rPr>
          <w:b w:val="0"/>
        </w:rPr>
        <w:t xml:space="preserve"> overview</w:t>
      </w:r>
    </w:p>
    <w:p w14:paraId="54A3CF4A" w14:textId="235286DA" w:rsidR="004A6BFA" w:rsidRDefault="004A6BFA" w:rsidP="004A6BFA">
      <w:pPr>
        <w:keepNext/>
      </w:pPr>
    </w:p>
    <w:p w14:paraId="6993EC4D" w14:textId="54698EE8" w:rsidR="00C16091" w:rsidRDefault="00AC38C4" w:rsidP="00C16091">
      <w:pPr>
        <w:rPr>
          <w:rFonts w:ascii="Arial" w:hAnsi="Arial" w:cs="Arial"/>
        </w:rPr>
      </w:pPr>
      <w:r>
        <w:rPr>
          <w:rFonts w:ascii="Arial" w:hAnsi="Arial" w:cs="Arial"/>
        </w:rPr>
        <w:t>[Redacted]</w:t>
      </w:r>
    </w:p>
    <w:p w14:paraId="1627AEF5" w14:textId="255FAEFA" w:rsidR="00964502" w:rsidRDefault="00964502" w:rsidP="00964502">
      <w:pPr>
        <w:rPr>
          <w:rFonts w:ascii="Arial" w:hAnsi="Arial" w:cs="Arial"/>
        </w:rPr>
      </w:pPr>
      <w:r>
        <w:rPr>
          <w:rFonts w:ascii="Arial" w:hAnsi="Arial" w:cs="Arial"/>
        </w:rPr>
        <w:t>Key points:</w:t>
      </w:r>
    </w:p>
    <w:p w14:paraId="62C87A98" w14:textId="53C19DB5" w:rsidR="00964502" w:rsidRDefault="00BF42D0" w:rsidP="004F4B79">
      <w:pPr>
        <w:pStyle w:val="ListParagraph"/>
        <w:numPr>
          <w:ilvl w:val="0"/>
          <w:numId w:val="146"/>
        </w:numPr>
        <w:rPr>
          <w:rFonts w:ascii="Arial" w:hAnsi="Arial" w:cs="Arial"/>
        </w:rPr>
      </w:pPr>
      <w:r>
        <w:rPr>
          <w:rFonts w:ascii="Arial" w:hAnsi="Arial" w:cs="Arial"/>
        </w:rPr>
        <w:t>By FY29</w:t>
      </w:r>
      <w:r w:rsidR="004A6BFA">
        <w:rPr>
          <w:rFonts w:ascii="Arial" w:hAnsi="Arial" w:cs="Arial"/>
        </w:rPr>
        <w:t xml:space="preserve"> </w:t>
      </w:r>
      <w:r w:rsidR="00964502">
        <w:rPr>
          <w:rFonts w:ascii="Arial" w:hAnsi="Arial" w:cs="Arial"/>
        </w:rPr>
        <w:t>there are additiona</w:t>
      </w:r>
      <w:r>
        <w:rPr>
          <w:rFonts w:ascii="Arial" w:hAnsi="Arial" w:cs="Arial"/>
        </w:rPr>
        <w:t xml:space="preserve">l recurrent revenue costs of </w:t>
      </w:r>
      <w:r w:rsidR="00897582">
        <w:rPr>
          <w:rFonts w:ascii="Arial" w:hAnsi="Arial" w:cs="Arial"/>
        </w:rPr>
        <w:t>£</w:t>
      </w:r>
      <w:r w:rsidR="00AC38C4">
        <w:rPr>
          <w:rFonts w:ascii="Arial" w:hAnsi="Arial" w:cs="Arial"/>
        </w:rPr>
        <w:t>XXX</w:t>
      </w:r>
      <w:r>
        <w:rPr>
          <w:rFonts w:ascii="Arial" w:hAnsi="Arial" w:cs="Arial"/>
        </w:rPr>
        <w:t>m – consisting of</w:t>
      </w:r>
      <w:r w:rsidR="00897582">
        <w:rPr>
          <w:rFonts w:ascii="Arial" w:hAnsi="Arial" w:cs="Arial"/>
        </w:rPr>
        <w:t xml:space="preserve"> PDC (£</w:t>
      </w:r>
      <w:r w:rsidR="00AC38C4">
        <w:rPr>
          <w:rFonts w:ascii="Arial" w:hAnsi="Arial" w:cs="Arial"/>
        </w:rPr>
        <w:t>XXX</w:t>
      </w:r>
      <w:r w:rsidR="00897582">
        <w:rPr>
          <w:rFonts w:ascii="Arial" w:hAnsi="Arial" w:cs="Arial"/>
        </w:rPr>
        <w:t>m), depreciation (£</w:t>
      </w:r>
      <w:r w:rsidR="00AC38C4">
        <w:rPr>
          <w:rFonts w:ascii="Arial" w:hAnsi="Arial" w:cs="Arial"/>
        </w:rPr>
        <w:t>XXX</w:t>
      </w:r>
      <w:r w:rsidR="00964502">
        <w:rPr>
          <w:rFonts w:ascii="Arial" w:hAnsi="Arial" w:cs="Arial"/>
        </w:rPr>
        <w:t xml:space="preserve">m), </w:t>
      </w:r>
      <w:r w:rsidR="00275EBF">
        <w:rPr>
          <w:rFonts w:ascii="Arial" w:hAnsi="Arial" w:cs="Arial"/>
        </w:rPr>
        <w:t>lease costs (£</w:t>
      </w:r>
      <w:r w:rsidR="00AC38C4">
        <w:rPr>
          <w:rFonts w:ascii="Arial" w:hAnsi="Arial" w:cs="Arial"/>
        </w:rPr>
        <w:t>XXX</w:t>
      </w:r>
      <w:r w:rsidR="00275EBF">
        <w:rPr>
          <w:rFonts w:ascii="Arial" w:hAnsi="Arial" w:cs="Arial"/>
        </w:rPr>
        <w:t xml:space="preserve">m), </w:t>
      </w:r>
      <w:r w:rsidR="00964502">
        <w:rPr>
          <w:rFonts w:ascii="Arial" w:hAnsi="Arial" w:cs="Arial"/>
        </w:rPr>
        <w:t>IT costs (£</w:t>
      </w:r>
      <w:r w:rsidR="00AC38C4">
        <w:rPr>
          <w:rFonts w:ascii="Arial" w:hAnsi="Arial" w:cs="Arial"/>
        </w:rPr>
        <w:t>XXX</w:t>
      </w:r>
      <w:r w:rsidR="00964502">
        <w:rPr>
          <w:rFonts w:ascii="Arial" w:hAnsi="Arial" w:cs="Arial"/>
        </w:rPr>
        <w:t xml:space="preserve">m).  </w:t>
      </w:r>
      <w:r w:rsidR="00F5376C">
        <w:rPr>
          <w:rFonts w:ascii="Arial" w:hAnsi="Arial" w:cs="Arial"/>
        </w:rPr>
        <w:t xml:space="preserve">The </w:t>
      </w:r>
      <w:r w:rsidR="00AF7894">
        <w:rPr>
          <w:rFonts w:ascii="Arial" w:hAnsi="Arial" w:cs="Arial"/>
        </w:rPr>
        <w:t>trust</w:t>
      </w:r>
      <w:r w:rsidR="00964502">
        <w:rPr>
          <w:rFonts w:ascii="Arial" w:hAnsi="Arial" w:cs="Arial"/>
        </w:rPr>
        <w:t xml:space="preserve"> is forecasting a</w:t>
      </w:r>
      <w:r w:rsidR="004A6BFA">
        <w:rPr>
          <w:rFonts w:ascii="Arial" w:hAnsi="Arial" w:cs="Arial"/>
        </w:rPr>
        <w:t>n adjusted surplus of £</w:t>
      </w:r>
      <w:r w:rsidR="00AC38C4">
        <w:rPr>
          <w:rFonts w:ascii="Arial" w:hAnsi="Arial" w:cs="Arial"/>
        </w:rPr>
        <w:t>XXX</w:t>
      </w:r>
      <w:r w:rsidR="00964502">
        <w:rPr>
          <w:rFonts w:ascii="Arial" w:hAnsi="Arial" w:cs="Arial"/>
        </w:rPr>
        <w:t>m in that year, with the costs of the new facility offset by CIP and margin on growth in activity.</w:t>
      </w:r>
    </w:p>
    <w:p w14:paraId="30B7D4C8" w14:textId="6C1161C3" w:rsidR="00964502" w:rsidRDefault="00BF42D0" w:rsidP="004F4B79">
      <w:pPr>
        <w:pStyle w:val="ListParagraph"/>
        <w:numPr>
          <w:ilvl w:val="0"/>
          <w:numId w:val="146"/>
        </w:numPr>
        <w:rPr>
          <w:rFonts w:ascii="Arial" w:hAnsi="Arial" w:cs="Arial"/>
        </w:rPr>
      </w:pPr>
      <w:r>
        <w:rPr>
          <w:rFonts w:ascii="Arial" w:hAnsi="Arial" w:cs="Arial"/>
        </w:rPr>
        <w:t>FY26 and FY28</w:t>
      </w:r>
      <w:r w:rsidR="00964502">
        <w:rPr>
          <w:rFonts w:ascii="Arial" w:hAnsi="Arial" w:cs="Arial"/>
        </w:rPr>
        <w:t xml:space="preserve"> </w:t>
      </w:r>
      <w:r>
        <w:rPr>
          <w:rFonts w:ascii="Arial" w:hAnsi="Arial" w:cs="Arial"/>
        </w:rPr>
        <w:t xml:space="preserve">show deficits due to the impact of </w:t>
      </w:r>
      <w:r w:rsidR="00964502">
        <w:rPr>
          <w:rFonts w:ascii="Arial" w:hAnsi="Arial" w:cs="Arial"/>
        </w:rPr>
        <w:t>transitional costs (excluded from the underlying surplus)</w:t>
      </w:r>
      <w:r w:rsidR="00275EBF">
        <w:rPr>
          <w:rFonts w:ascii="Arial" w:hAnsi="Arial" w:cs="Arial"/>
        </w:rPr>
        <w:t xml:space="preserve">.  There are no further transitional costs after this year, </w:t>
      </w:r>
      <w:r w:rsidR="00964502">
        <w:rPr>
          <w:rFonts w:ascii="Arial" w:hAnsi="Arial" w:cs="Arial"/>
        </w:rPr>
        <w:t xml:space="preserve">and the </w:t>
      </w:r>
      <w:r w:rsidR="00AF7894">
        <w:rPr>
          <w:rFonts w:ascii="Arial" w:hAnsi="Arial" w:cs="Arial"/>
        </w:rPr>
        <w:t>trust</w:t>
      </w:r>
      <w:r w:rsidR="00964502">
        <w:rPr>
          <w:rFonts w:ascii="Arial" w:hAnsi="Arial" w:cs="Arial"/>
        </w:rPr>
        <w:t xml:space="preserve"> is forecast to report adjusted surpluses in </w:t>
      </w:r>
      <w:r w:rsidR="00275EBF">
        <w:rPr>
          <w:rFonts w:ascii="Arial" w:hAnsi="Arial" w:cs="Arial"/>
        </w:rPr>
        <w:t>FY29 onwards.</w:t>
      </w:r>
    </w:p>
    <w:p w14:paraId="699AD113" w14:textId="6704C697" w:rsidR="00964502" w:rsidRDefault="00964502" w:rsidP="004F4B79">
      <w:pPr>
        <w:pStyle w:val="ListParagraph"/>
        <w:numPr>
          <w:ilvl w:val="0"/>
          <w:numId w:val="146"/>
        </w:numPr>
        <w:rPr>
          <w:rFonts w:ascii="Arial" w:hAnsi="Arial" w:cs="Arial"/>
        </w:rPr>
      </w:pPr>
      <w:r>
        <w:rPr>
          <w:rFonts w:ascii="Arial" w:hAnsi="Arial" w:cs="Arial"/>
        </w:rPr>
        <w:t>The cash balance does not fall below £5m in any year</w:t>
      </w:r>
      <w:r w:rsidR="00267569">
        <w:rPr>
          <w:rFonts w:ascii="Arial" w:hAnsi="Arial" w:cs="Arial"/>
        </w:rPr>
        <w:t>.</w:t>
      </w:r>
    </w:p>
    <w:p w14:paraId="1DF0A572" w14:textId="37393FE6" w:rsidR="00964502" w:rsidRDefault="004A6BFA" w:rsidP="004F4B79">
      <w:pPr>
        <w:pStyle w:val="ListParagraph"/>
        <w:numPr>
          <w:ilvl w:val="0"/>
          <w:numId w:val="146"/>
        </w:numPr>
        <w:rPr>
          <w:rFonts w:ascii="Arial" w:hAnsi="Arial" w:cs="Arial"/>
        </w:rPr>
      </w:pPr>
      <w:r>
        <w:rPr>
          <w:rFonts w:ascii="Arial" w:hAnsi="Arial" w:cs="Arial"/>
        </w:rPr>
        <w:t>By FY29</w:t>
      </w:r>
      <w:r w:rsidR="00964502">
        <w:rPr>
          <w:rFonts w:ascii="Arial" w:hAnsi="Arial" w:cs="Arial"/>
        </w:rPr>
        <w:t xml:space="preserve"> all of NHSI’s key risk metrics are forecast as a ‘1’ (the lowest risk)</w:t>
      </w:r>
      <w:r w:rsidR="00BF42D0">
        <w:rPr>
          <w:rFonts w:ascii="Arial" w:hAnsi="Arial" w:cs="Arial"/>
        </w:rPr>
        <w:t xml:space="preserve"> or ‘2’</w:t>
      </w:r>
      <w:r w:rsidR="00964502">
        <w:rPr>
          <w:rFonts w:ascii="Arial" w:hAnsi="Arial" w:cs="Arial"/>
        </w:rPr>
        <w:t xml:space="preserve">.  </w:t>
      </w:r>
    </w:p>
    <w:p w14:paraId="17E0E9F8" w14:textId="1E54D474" w:rsidR="00964502" w:rsidRDefault="00964502" w:rsidP="004F4B79">
      <w:pPr>
        <w:pStyle w:val="ListParagraph"/>
        <w:numPr>
          <w:ilvl w:val="0"/>
          <w:numId w:val="146"/>
        </w:numPr>
        <w:rPr>
          <w:rFonts w:ascii="Arial" w:hAnsi="Arial" w:cs="Arial"/>
        </w:rPr>
      </w:pPr>
      <w:r>
        <w:rPr>
          <w:rFonts w:ascii="Arial" w:hAnsi="Arial" w:cs="Arial"/>
        </w:rPr>
        <w:t xml:space="preserve">The </w:t>
      </w:r>
      <w:r w:rsidR="00B72F95">
        <w:rPr>
          <w:rFonts w:ascii="Arial" w:hAnsi="Arial" w:cs="Arial"/>
        </w:rPr>
        <w:t>conclusion</w:t>
      </w:r>
      <w:r>
        <w:rPr>
          <w:rFonts w:ascii="Arial" w:hAnsi="Arial" w:cs="Arial"/>
        </w:rPr>
        <w:t xml:space="preserve"> of this is that the preferred option is considered affordable.</w:t>
      </w:r>
    </w:p>
    <w:p w14:paraId="11651F17" w14:textId="77777777" w:rsidR="00275EBF" w:rsidRPr="00275EBF" w:rsidRDefault="00275EBF" w:rsidP="00B72F95">
      <w:pPr>
        <w:pStyle w:val="ListParagraph"/>
        <w:rPr>
          <w:rFonts w:ascii="Arial" w:hAnsi="Arial" w:cs="Arial"/>
        </w:rPr>
      </w:pPr>
    </w:p>
    <w:p w14:paraId="50C4DE8B" w14:textId="4A46AC15" w:rsidR="00964502" w:rsidRPr="00964502" w:rsidRDefault="00964502" w:rsidP="005E0D57">
      <w:pPr>
        <w:pStyle w:val="ListParagraph"/>
        <w:numPr>
          <w:ilvl w:val="2"/>
          <w:numId w:val="1"/>
        </w:numPr>
        <w:rPr>
          <w:rFonts w:ascii="Arial" w:hAnsi="Arial" w:cs="Arial"/>
          <w:b/>
        </w:rPr>
      </w:pPr>
      <w:r>
        <w:rPr>
          <w:rFonts w:ascii="Arial" w:hAnsi="Arial" w:cs="Arial"/>
          <w:b/>
        </w:rPr>
        <w:t>Source and application of capital funding</w:t>
      </w:r>
    </w:p>
    <w:p w14:paraId="5CD50A71" w14:textId="5439D1F9" w:rsidR="00964502" w:rsidRPr="00267569" w:rsidRDefault="00267569" w:rsidP="00B72F95">
      <w:pPr>
        <w:rPr>
          <w:rFonts w:ascii="Arial" w:hAnsi="Arial" w:cs="Arial"/>
        </w:rPr>
      </w:pPr>
      <w:r w:rsidRPr="00267569">
        <w:rPr>
          <w:rFonts w:ascii="Arial" w:hAnsi="Arial" w:cs="Arial"/>
        </w:rPr>
        <w:fldChar w:fldCharType="begin"/>
      </w:r>
      <w:r w:rsidRPr="00267569">
        <w:rPr>
          <w:rFonts w:ascii="Arial" w:hAnsi="Arial" w:cs="Arial"/>
        </w:rPr>
        <w:instrText xml:space="preserve"> REF _Ref30684302 \h </w:instrText>
      </w:r>
      <w:r>
        <w:rPr>
          <w:rFonts w:ascii="Arial" w:hAnsi="Arial" w:cs="Arial"/>
        </w:rPr>
        <w:instrText xml:space="preserve"> \* MERGEFORMAT </w:instrText>
      </w:r>
      <w:r w:rsidRPr="00267569">
        <w:rPr>
          <w:rFonts w:ascii="Arial" w:hAnsi="Arial" w:cs="Arial"/>
        </w:rPr>
      </w:r>
      <w:r w:rsidRPr="00267569">
        <w:rPr>
          <w:rFonts w:ascii="Arial" w:hAnsi="Arial" w:cs="Arial"/>
        </w:rPr>
        <w:fldChar w:fldCharType="separate"/>
      </w:r>
      <w:r w:rsidR="00A936CD" w:rsidRPr="00A936CD">
        <w:rPr>
          <w:rFonts w:ascii="Arial" w:hAnsi="Arial" w:cs="Arial"/>
        </w:rPr>
        <w:t xml:space="preserve">Figure </w:t>
      </w:r>
      <w:r w:rsidR="00A936CD" w:rsidRPr="00A936CD">
        <w:rPr>
          <w:rFonts w:ascii="Arial" w:hAnsi="Arial" w:cs="Arial"/>
          <w:noProof/>
        </w:rPr>
        <w:t>1</w:t>
      </w:r>
      <w:r w:rsidRPr="00267569">
        <w:rPr>
          <w:rFonts w:ascii="Arial" w:hAnsi="Arial" w:cs="Arial"/>
        </w:rPr>
        <w:fldChar w:fldCharType="end"/>
      </w:r>
      <w:r w:rsidRPr="00267569">
        <w:rPr>
          <w:rFonts w:ascii="Arial" w:hAnsi="Arial" w:cs="Arial"/>
        </w:rPr>
        <w:t xml:space="preserve"> </w:t>
      </w:r>
      <w:r w:rsidR="00964502" w:rsidRPr="00267569">
        <w:rPr>
          <w:rFonts w:ascii="Arial" w:hAnsi="Arial" w:cs="Arial"/>
        </w:rPr>
        <w:t>summarises the sources and application of capital funding for the preferred option.</w:t>
      </w:r>
    </w:p>
    <w:p w14:paraId="33F4C9E8" w14:textId="49061F80" w:rsidR="00B72F95" w:rsidRDefault="00B72F95" w:rsidP="00B72F95">
      <w:pPr>
        <w:pStyle w:val="Caption"/>
      </w:pPr>
      <w:bookmarkStart w:id="8" w:name="_Ref30684302"/>
      <w:r>
        <w:t xml:space="preserve">Figure </w:t>
      </w:r>
      <w:r w:rsidR="00320059">
        <w:fldChar w:fldCharType="begin"/>
      </w:r>
      <w:r w:rsidR="00320059">
        <w:instrText xml:space="preserve"> SEQ Figure \* ARABIC </w:instrText>
      </w:r>
      <w:r w:rsidR="00320059">
        <w:fldChar w:fldCharType="separate"/>
      </w:r>
      <w:r w:rsidR="00A936CD">
        <w:rPr>
          <w:noProof/>
        </w:rPr>
        <w:t>1</w:t>
      </w:r>
      <w:r w:rsidR="00320059">
        <w:fldChar w:fldCharType="end"/>
      </w:r>
      <w:bookmarkEnd w:id="8"/>
      <w:r>
        <w:t xml:space="preserve">: </w:t>
      </w:r>
      <w:r w:rsidRPr="001A74A5">
        <w:rPr>
          <w:b w:val="0"/>
        </w:rPr>
        <w:t>Sources and application of capital funding</w:t>
      </w:r>
    </w:p>
    <w:p w14:paraId="3B878593" w14:textId="77777777" w:rsidR="00AC38C4" w:rsidRDefault="00AC38C4" w:rsidP="00B72F95">
      <w:pPr>
        <w:pBdr>
          <w:top w:val="nil"/>
          <w:left w:val="nil"/>
          <w:bottom w:val="nil"/>
          <w:right w:val="nil"/>
          <w:between w:val="nil"/>
        </w:pBdr>
        <w:tabs>
          <w:tab w:val="left" w:pos="567"/>
        </w:tabs>
        <w:rPr>
          <w:rFonts w:ascii="Arial" w:eastAsia="Arial" w:hAnsi="Arial" w:cs="Arial"/>
          <w:bCs/>
          <w:color w:val="000000"/>
          <w:highlight w:val="yellow"/>
        </w:rPr>
      </w:pPr>
    </w:p>
    <w:p w14:paraId="39E663B8" w14:textId="45CC0870" w:rsidR="00CD45FE" w:rsidRPr="00AC38C4" w:rsidRDefault="00AC38C4" w:rsidP="00B72F95">
      <w:pPr>
        <w:pBdr>
          <w:top w:val="nil"/>
          <w:left w:val="nil"/>
          <w:bottom w:val="nil"/>
          <w:right w:val="nil"/>
          <w:between w:val="nil"/>
        </w:pBdr>
        <w:tabs>
          <w:tab w:val="left" w:pos="567"/>
        </w:tabs>
        <w:rPr>
          <w:rFonts w:ascii="Arial" w:eastAsia="Arial" w:hAnsi="Arial" w:cs="Arial"/>
          <w:bCs/>
          <w:color w:val="000000"/>
        </w:rPr>
      </w:pPr>
      <w:r w:rsidRPr="00AC38C4">
        <w:rPr>
          <w:rFonts w:ascii="Arial" w:eastAsia="Arial" w:hAnsi="Arial" w:cs="Arial"/>
          <w:bCs/>
          <w:color w:val="000000"/>
        </w:rPr>
        <w:t>[Redacted]</w:t>
      </w:r>
    </w:p>
    <w:p w14:paraId="71BE1608" w14:textId="35956E89" w:rsidR="00CD45FE" w:rsidRPr="00964502" w:rsidRDefault="00CD45FE" w:rsidP="00B72F95">
      <w:pPr>
        <w:spacing w:after="160" w:line="259" w:lineRule="auto"/>
        <w:rPr>
          <w:rFonts w:ascii="Arial" w:hAnsi="Arial" w:cs="Arial"/>
        </w:rPr>
      </w:pPr>
      <w:r w:rsidRPr="00964502">
        <w:rPr>
          <w:rFonts w:ascii="Arial" w:hAnsi="Arial" w:cs="Arial"/>
        </w:rPr>
        <w:t>Key points:</w:t>
      </w:r>
    </w:p>
    <w:p w14:paraId="61412A40" w14:textId="0B3FFBE1" w:rsidR="00964502" w:rsidRPr="00237844" w:rsidRDefault="00BF42D0" w:rsidP="00190084">
      <w:pPr>
        <w:pStyle w:val="ListParagraph"/>
        <w:numPr>
          <w:ilvl w:val="0"/>
          <w:numId w:val="123"/>
        </w:numPr>
        <w:spacing w:after="160" w:line="259" w:lineRule="auto"/>
        <w:rPr>
          <w:rFonts w:ascii="Arial" w:hAnsi="Arial" w:cs="Arial"/>
          <w:b/>
        </w:rPr>
      </w:pPr>
      <w:r>
        <w:rPr>
          <w:rFonts w:ascii="Arial" w:hAnsi="Arial" w:cs="Arial"/>
        </w:rPr>
        <w:t>Land purchase of £</w:t>
      </w:r>
      <w:r w:rsidR="00AC38C4">
        <w:rPr>
          <w:rFonts w:ascii="Arial" w:hAnsi="Arial" w:cs="Arial"/>
        </w:rPr>
        <w:t>XXX</w:t>
      </w:r>
      <w:r w:rsidR="00964502" w:rsidRPr="00237844">
        <w:rPr>
          <w:rFonts w:ascii="Arial" w:hAnsi="Arial" w:cs="Arial"/>
        </w:rPr>
        <w:t>m for 2 acres of St Pancras site.  This is showing the cost net of the UCL contribution of £</w:t>
      </w:r>
      <w:r w:rsidR="00AC38C4">
        <w:rPr>
          <w:rFonts w:ascii="Arial" w:hAnsi="Arial" w:cs="Arial"/>
        </w:rPr>
        <w:t>XXX</w:t>
      </w:r>
      <w:r w:rsidR="00964502" w:rsidRPr="00237844">
        <w:rPr>
          <w:rFonts w:ascii="Arial" w:hAnsi="Arial" w:cs="Arial"/>
        </w:rPr>
        <w:t>m</w:t>
      </w:r>
      <w:r w:rsidR="00267569">
        <w:rPr>
          <w:rFonts w:ascii="Arial" w:hAnsi="Arial" w:cs="Arial"/>
        </w:rPr>
        <w:t>.</w:t>
      </w:r>
      <w:r>
        <w:rPr>
          <w:rFonts w:ascii="Arial" w:hAnsi="Arial" w:cs="Arial"/>
        </w:rPr>
        <w:t xml:space="preserve">  It includes £</w:t>
      </w:r>
      <w:r w:rsidR="00AC38C4">
        <w:rPr>
          <w:rFonts w:ascii="Arial" w:hAnsi="Arial" w:cs="Arial"/>
        </w:rPr>
        <w:t>XXX</w:t>
      </w:r>
      <w:r>
        <w:rPr>
          <w:rFonts w:ascii="Arial" w:hAnsi="Arial" w:cs="Arial"/>
        </w:rPr>
        <w:t>m in relation to Stamp Duty Land Tax</w:t>
      </w:r>
      <w:r w:rsidR="00702F20">
        <w:rPr>
          <w:rFonts w:ascii="Arial" w:hAnsi="Arial" w:cs="Arial"/>
        </w:rPr>
        <w:t>.</w:t>
      </w:r>
    </w:p>
    <w:p w14:paraId="1BFEB2DE" w14:textId="54E67F52" w:rsidR="00964502" w:rsidRPr="00237844" w:rsidRDefault="00964502" w:rsidP="00190084">
      <w:pPr>
        <w:pStyle w:val="ListParagraph"/>
        <w:numPr>
          <w:ilvl w:val="0"/>
          <w:numId w:val="123"/>
        </w:numPr>
        <w:spacing w:after="160" w:line="259" w:lineRule="auto"/>
        <w:rPr>
          <w:rFonts w:ascii="Arial" w:hAnsi="Arial" w:cs="Arial"/>
          <w:b/>
        </w:rPr>
      </w:pPr>
      <w:r w:rsidRPr="00237844">
        <w:rPr>
          <w:rFonts w:ascii="Arial" w:hAnsi="Arial" w:cs="Arial"/>
        </w:rPr>
        <w:t>Design and construction costs based on RIBA stage 1 costs as</w:t>
      </w:r>
      <w:r w:rsidR="00702F20">
        <w:rPr>
          <w:rFonts w:ascii="Arial" w:hAnsi="Arial" w:cs="Arial"/>
        </w:rPr>
        <w:t>sessed by Gardiner and Theobald (G&amp;T – the trust’s cost consultants / quantity surveyors)</w:t>
      </w:r>
    </w:p>
    <w:p w14:paraId="1520AB6B" w14:textId="30AEAA40" w:rsidR="00964502" w:rsidRPr="00237844" w:rsidRDefault="00964502" w:rsidP="00190084">
      <w:pPr>
        <w:pStyle w:val="ListParagraph"/>
        <w:numPr>
          <w:ilvl w:val="0"/>
          <w:numId w:val="123"/>
        </w:numPr>
        <w:spacing w:after="160" w:line="259" w:lineRule="auto"/>
        <w:rPr>
          <w:rFonts w:ascii="Arial" w:hAnsi="Arial" w:cs="Arial"/>
          <w:b/>
        </w:rPr>
      </w:pPr>
      <w:r>
        <w:rPr>
          <w:rFonts w:ascii="Arial" w:hAnsi="Arial" w:cs="Arial"/>
        </w:rPr>
        <w:t>City R</w:t>
      </w:r>
      <w:r w:rsidRPr="00237844">
        <w:rPr>
          <w:rFonts w:ascii="Arial" w:hAnsi="Arial" w:cs="Arial"/>
        </w:rPr>
        <w:t xml:space="preserve">oad proceeds </w:t>
      </w:r>
      <w:r>
        <w:rPr>
          <w:rFonts w:ascii="Arial" w:hAnsi="Arial" w:cs="Arial"/>
        </w:rPr>
        <w:t xml:space="preserve">are based on the </w:t>
      </w:r>
      <w:r w:rsidR="00BF42D0">
        <w:rPr>
          <w:rFonts w:ascii="Arial" w:hAnsi="Arial" w:cs="Arial"/>
        </w:rPr>
        <w:t>midpoint of CBRE’s valuation (£</w:t>
      </w:r>
      <w:r w:rsidR="00AC38C4">
        <w:rPr>
          <w:rFonts w:ascii="Arial" w:hAnsi="Arial" w:cs="Arial"/>
        </w:rPr>
        <w:t>XXX</w:t>
      </w:r>
      <w:r w:rsidR="00BF42D0">
        <w:rPr>
          <w:rFonts w:ascii="Arial" w:hAnsi="Arial" w:cs="Arial"/>
        </w:rPr>
        <w:t>m for whole site)</w:t>
      </w:r>
      <w:r w:rsidRPr="00237844">
        <w:rPr>
          <w:rFonts w:ascii="Arial" w:hAnsi="Arial" w:cs="Arial"/>
        </w:rPr>
        <w:t xml:space="preserve"> split between </w:t>
      </w:r>
      <w:r w:rsidR="00267569">
        <w:rPr>
          <w:rFonts w:ascii="Arial" w:hAnsi="Arial" w:cs="Arial"/>
        </w:rPr>
        <w:t>Moorfields</w:t>
      </w:r>
      <w:r w:rsidRPr="00237844">
        <w:rPr>
          <w:rFonts w:ascii="Arial" w:hAnsi="Arial" w:cs="Arial"/>
        </w:rPr>
        <w:t xml:space="preserve"> and UCL on the basis of an expert determination</w:t>
      </w:r>
      <w:r w:rsidR="00267569">
        <w:rPr>
          <w:rFonts w:ascii="Arial" w:hAnsi="Arial" w:cs="Arial"/>
        </w:rPr>
        <w:t>.</w:t>
      </w:r>
    </w:p>
    <w:p w14:paraId="215CE743" w14:textId="37C625FA" w:rsidR="00964502" w:rsidRPr="00237844" w:rsidRDefault="00964502" w:rsidP="00190084">
      <w:pPr>
        <w:pStyle w:val="ListParagraph"/>
        <w:numPr>
          <w:ilvl w:val="0"/>
          <w:numId w:val="123"/>
        </w:numPr>
        <w:spacing w:after="160" w:line="259" w:lineRule="auto"/>
        <w:rPr>
          <w:rFonts w:ascii="Arial" w:hAnsi="Arial" w:cs="Arial"/>
          <w:b/>
        </w:rPr>
      </w:pPr>
      <w:r w:rsidRPr="00237844">
        <w:rPr>
          <w:rFonts w:ascii="Arial" w:hAnsi="Arial" w:cs="Arial"/>
        </w:rPr>
        <w:t>Charitable donations of £</w:t>
      </w:r>
      <w:r w:rsidR="00AC38C4">
        <w:rPr>
          <w:rFonts w:ascii="Arial" w:hAnsi="Arial" w:cs="Arial"/>
        </w:rPr>
        <w:t>XXX</w:t>
      </w:r>
      <w:r w:rsidRPr="00237844">
        <w:rPr>
          <w:rFonts w:ascii="Arial" w:hAnsi="Arial" w:cs="Arial"/>
        </w:rPr>
        <w:t>m – over 50% of this has been committed to by donors</w:t>
      </w:r>
      <w:r w:rsidR="00267569">
        <w:rPr>
          <w:rFonts w:ascii="Arial" w:hAnsi="Arial" w:cs="Arial"/>
        </w:rPr>
        <w:t>.</w:t>
      </w:r>
    </w:p>
    <w:p w14:paraId="5DA413D1" w14:textId="47ABC1A9" w:rsidR="00964502" w:rsidRPr="00964502" w:rsidRDefault="00964502" w:rsidP="00190084">
      <w:pPr>
        <w:pStyle w:val="ListParagraph"/>
        <w:numPr>
          <w:ilvl w:val="0"/>
          <w:numId w:val="123"/>
        </w:numPr>
        <w:spacing w:after="160" w:line="259" w:lineRule="auto"/>
        <w:rPr>
          <w:rFonts w:ascii="Arial" w:hAnsi="Arial" w:cs="Arial"/>
          <w:b/>
        </w:rPr>
      </w:pPr>
      <w:r w:rsidRPr="00237844">
        <w:rPr>
          <w:rFonts w:ascii="Arial" w:hAnsi="Arial" w:cs="Arial"/>
        </w:rPr>
        <w:t>£</w:t>
      </w:r>
      <w:r w:rsidR="00AC38C4">
        <w:rPr>
          <w:rFonts w:ascii="Arial" w:hAnsi="Arial" w:cs="Arial"/>
        </w:rPr>
        <w:t>XXX</w:t>
      </w:r>
      <w:r w:rsidRPr="00237844">
        <w:rPr>
          <w:rFonts w:ascii="Arial" w:hAnsi="Arial" w:cs="Arial"/>
        </w:rPr>
        <w:t>m of STP/PDC funding – approved by DHSC as part of the Phase 4 capital bids</w:t>
      </w:r>
      <w:r w:rsidR="00267569">
        <w:rPr>
          <w:rFonts w:ascii="Arial" w:hAnsi="Arial" w:cs="Arial"/>
        </w:rPr>
        <w:t>.</w:t>
      </w:r>
    </w:p>
    <w:p w14:paraId="46BBA9CD" w14:textId="23314212" w:rsidR="006C4800" w:rsidRPr="00897582" w:rsidRDefault="00BF42D0" w:rsidP="0004407D">
      <w:pPr>
        <w:pStyle w:val="ListParagraph"/>
        <w:numPr>
          <w:ilvl w:val="0"/>
          <w:numId w:val="123"/>
        </w:numPr>
        <w:spacing w:after="160" w:line="259" w:lineRule="auto"/>
        <w:rPr>
          <w:rFonts w:ascii="Arial" w:hAnsi="Arial" w:cs="Arial"/>
          <w:b/>
        </w:rPr>
      </w:pPr>
      <w:r w:rsidRPr="00BF42D0">
        <w:rPr>
          <w:rFonts w:ascii="Arial" w:hAnsi="Arial" w:cs="Arial"/>
        </w:rPr>
        <w:t>£</w:t>
      </w:r>
      <w:r w:rsidR="00AC38C4">
        <w:rPr>
          <w:rFonts w:ascii="Arial" w:hAnsi="Arial" w:cs="Arial"/>
        </w:rPr>
        <w:t>XXX</w:t>
      </w:r>
      <w:r w:rsidR="00964502" w:rsidRPr="00BF42D0">
        <w:rPr>
          <w:rFonts w:ascii="Arial" w:hAnsi="Arial" w:cs="Arial"/>
        </w:rPr>
        <w:t xml:space="preserve">m of </w:t>
      </w:r>
      <w:r w:rsidR="00267569" w:rsidRPr="00BF42D0">
        <w:rPr>
          <w:rFonts w:ascii="Arial" w:hAnsi="Arial" w:cs="Arial"/>
        </w:rPr>
        <w:t>Moorfields</w:t>
      </w:r>
      <w:r w:rsidR="00964502" w:rsidRPr="00BF42D0">
        <w:rPr>
          <w:rFonts w:ascii="Arial" w:hAnsi="Arial" w:cs="Arial"/>
        </w:rPr>
        <w:t xml:space="preserve"> cash – as set out in the previous section, the cash balance remains positi</w:t>
      </w:r>
      <w:r w:rsidRPr="00BF42D0">
        <w:rPr>
          <w:rFonts w:ascii="Arial" w:hAnsi="Arial" w:cs="Arial"/>
        </w:rPr>
        <w:t>ve throughout the period to FY29</w:t>
      </w:r>
      <w:r w:rsidR="00964502" w:rsidRPr="00BF42D0">
        <w:rPr>
          <w:rFonts w:ascii="Arial" w:hAnsi="Arial" w:cs="Arial"/>
        </w:rPr>
        <w:t xml:space="preserve">, and NHSI’s liquidity risk rating </w:t>
      </w:r>
      <w:r w:rsidRPr="00BF42D0">
        <w:rPr>
          <w:rFonts w:ascii="Arial" w:hAnsi="Arial" w:cs="Arial"/>
        </w:rPr>
        <w:t xml:space="preserve">does not fall </w:t>
      </w:r>
      <w:r w:rsidR="008210B2">
        <w:rPr>
          <w:rFonts w:ascii="Arial" w:hAnsi="Arial" w:cs="Arial"/>
        </w:rPr>
        <w:t xml:space="preserve">below a ‘2’ </w:t>
      </w:r>
      <w:r w:rsidRPr="00BF42D0">
        <w:rPr>
          <w:rFonts w:ascii="Arial" w:hAnsi="Arial" w:cs="Arial"/>
        </w:rPr>
        <w:t>except in</w:t>
      </w:r>
      <w:r w:rsidR="008210B2">
        <w:rPr>
          <w:rFonts w:ascii="Arial" w:hAnsi="Arial" w:cs="Arial"/>
        </w:rPr>
        <w:t xml:space="preserve"> FY26</w:t>
      </w:r>
      <w:r w:rsidRPr="00BF42D0">
        <w:rPr>
          <w:rFonts w:ascii="Arial" w:hAnsi="Arial" w:cs="Arial"/>
        </w:rPr>
        <w:t xml:space="preserve"> due</w:t>
      </w:r>
      <w:r w:rsidR="00964502" w:rsidRPr="00BF42D0">
        <w:rPr>
          <w:rFonts w:ascii="Arial" w:hAnsi="Arial" w:cs="Arial"/>
        </w:rPr>
        <w:t xml:space="preserve"> to the impact on net curr</w:t>
      </w:r>
      <w:r>
        <w:rPr>
          <w:rFonts w:ascii="Arial" w:hAnsi="Arial" w:cs="Arial"/>
        </w:rPr>
        <w:t>ent assets of the bridging loan.</w:t>
      </w:r>
    </w:p>
    <w:p w14:paraId="4E4AAE5B" w14:textId="77777777" w:rsidR="00897582" w:rsidRPr="00897582" w:rsidRDefault="00897582" w:rsidP="00897582">
      <w:pPr>
        <w:pStyle w:val="ListParagraph"/>
        <w:spacing w:after="160" w:line="259" w:lineRule="auto"/>
        <w:rPr>
          <w:rFonts w:ascii="Arial" w:hAnsi="Arial" w:cs="Arial"/>
          <w:b/>
        </w:rPr>
      </w:pPr>
    </w:p>
    <w:p w14:paraId="59124C41" w14:textId="4F000411" w:rsidR="00897582" w:rsidRDefault="00897582" w:rsidP="00897582">
      <w:pPr>
        <w:pStyle w:val="ListParagraph"/>
        <w:numPr>
          <w:ilvl w:val="2"/>
          <w:numId w:val="1"/>
        </w:numPr>
        <w:spacing w:after="160" w:line="259" w:lineRule="auto"/>
        <w:rPr>
          <w:rFonts w:ascii="Arial" w:hAnsi="Arial" w:cs="Arial"/>
          <w:b/>
        </w:rPr>
      </w:pPr>
      <w:r>
        <w:rPr>
          <w:rFonts w:ascii="Arial" w:hAnsi="Arial" w:cs="Arial"/>
          <w:b/>
        </w:rPr>
        <w:t>Incremental impact of the preferred option compared to Business as Usual (option 0)</w:t>
      </w:r>
    </w:p>
    <w:p w14:paraId="4EA8E46E" w14:textId="77777777" w:rsidR="00897582" w:rsidRDefault="00897582" w:rsidP="00897582">
      <w:pPr>
        <w:pStyle w:val="ListParagraph"/>
        <w:spacing w:after="160" w:line="259" w:lineRule="auto"/>
        <w:rPr>
          <w:rFonts w:ascii="Arial" w:hAnsi="Arial" w:cs="Arial"/>
          <w:b/>
        </w:rPr>
      </w:pPr>
    </w:p>
    <w:p w14:paraId="14489863" w14:textId="3F02FBD8" w:rsidR="00897582" w:rsidRDefault="00897582" w:rsidP="00897582">
      <w:pPr>
        <w:rPr>
          <w:rFonts w:ascii="Arial" w:hAnsi="Arial" w:cs="Arial"/>
        </w:rPr>
      </w:pPr>
      <w:r>
        <w:rPr>
          <w:rFonts w:ascii="Arial" w:hAnsi="Arial" w:cs="Arial"/>
        </w:rPr>
        <w:lastRenderedPageBreak/>
        <w:t xml:space="preserve">The forecast set out in section </w:t>
      </w:r>
      <w:r>
        <w:rPr>
          <w:rFonts w:ascii="Arial" w:hAnsi="Arial" w:cs="Arial"/>
        </w:rPr>
        <w:fldChar w:fldCharType="begin"/>
      </w:r>
      <w:r>
        <w:rPr>
          <w:rFonts w:ascii="Arial" w:hAnsi="Arial" w:cs="Arial"/>
        </w:rPr>
        <w:instrText xml:space="preserve"> REF _Ref40697036 \r \h </w:instrText>
      </w:r>
      <w:r>
        <w:rPr>
          <w:rFonts w:ascii="Arial" w:hAnsi="Arial" w:cs="Arial"/>
        </w:rPr>
      </w:r>
      <w:r>
        <w:rPr>
          <w:rFonts w:ascii="Arial" w:hAnsi="Arial" w:cs="Arial"/>
        </w:rPr>
        <w:fldChar w:fldCharType="separate"/>
      </w:r>
      <w:r w:rsidR="00A936CD">
        <w:rPr>
          <w:rFonts w:ascii="Arial" w:hAnsi="Arial" w:cs="Arial"/>
        </w:rPr>
        <w:t>1.5.1</w:t>
      </w:r>
      <w:r>
        <w:rPr>
          <w:rFonts w:ascii="Arial" w:hAnsi="Arial" w:cs="Arial"/>
        </w:rPr>
        <w:fldChar w:fldCharType="end"/>
      </w:r>
      <w:r>
        <w:rPr>
          <w:rFonts w:ascii="Arial" w:hAnsi="Arial" w:cs="Arial"/>
        </w:rPr>
        <w:t xml:space="preserve"> is based on the preferred option.  A forecast has also been prepared based on the Business as Usual option (BAU), in order to demonstrate the incremental impact on the Trust’s finances of undertaking the preferred option.  </w:t>
      </w:r>
      <w:r w:rsidR="00F5376C">
        <w:rPr>
          <w:rFonts w:ascii="Arial" w:hAnsi="Arial" w:cs="Arial"/>
        </w:rPr>
        <w:t xml:space="preserve">The difference between these forecasts is </w:t>
      </w:r>
      <w:r>
        <w:rPr>
          <w:rFonts w:ascii="Arial" w:hAnsi="Arial" w:cs="Arial"/>
        </w:rPr>
        <w:t>summarised in the following:</w:t>
      </w:r>
      <w:r w:rsidRPr="00897582">
        <w:rPr>
          <w:rFonts w:ascii="Arial" w:hAnsi="Arial" w:cs="Arial"/>
        </w:rPr>
        <w:t xml:space="preserve"> </w:t>
      </w:r>
    </w:p>
    <w:p w14:paraId="5ECCED2C" w14:textId="6EC6CA34" w:rsidR="00897582" w:rsidRDefault="00897582" w:rsidP="00897582">
      <w:pPr>
        <w:pStyle w:val="Caption"/>
      </w:pPr>
      <w:r>
        <w:t xml:space="preserve">Figure </w:t>
      </w:r>
      <w:r>
        <w:fldChar w:fldCharType="begin"/>
      </w:r>
      <w:r>
        <w:instrText xml:space="preserve"> SEQ Figure \* ARABIC </w:instrText>
      </w:r>
      <w:r>
        <w:fldChar w:fldCharType="separate"/>
      </w:r>
      <w:r w:rsidR="00A936CD">
        <w:rPr>
          <w:noProof/>
        </w:rPr>
        <w:t>2</w:t>
      </w:r>
      <w:r>
        <w:fldChar w:fldCharType="end"/>
      </w:r>
      <w:r>
        <w:t>: Bridge</w:t>
      </w:r>
      <w:r w:rsidR="00F5376C">
        <w:t xml:space="preserve"> of</w:t>
      </w:r>
      <w:r>
        <w:t xml:space="preserve"> the preferred option and BAU adjusted surplus in FY29</w:t>
      </w:r>
    </w:p>
    <w:p w14:paraId="16A7EAB3" w14:textId="33C05F91" w:rsidR="00897582" w:rsidRDefault="00897582" w:rsidP="00897582">
      <w:pPr>
        <w:rPr>
          <w:rFonts w:ascii="Arial" w:hAnsi="Arial" w:cs="Arial"/>
        </w:rPr>
      </w:pPr>
    </w:p>
    <w:p w14:paraId="377564BF" w14:textId="36BEC474" w:rsidR="00AC38C4" w:rsidRDefault="00AC38C4" w:rsidP="00897582">
      <w:pPr>
        <w:rPr>
          <w:rFonts w:ascii="Arial" w:hAnsi="Arial" w:cs="Arial"/>
        </w:rPr>
      </w:pPr>
      <w:r>
        <w:rPr>
          <w:rFonts w:ascii="Arial" w:hAnsi="Arial" w:cs="Arial"/>
        </w:rPr>
        <w:t>[Redacted]</w:t>
      </w:r>
    </w:p>
    <w:p w14:paraId="29FD6F90" w14:textId="0F90A12A" w:rsidR="00897582" w:rsidRPr="00897582" w:rsidRDefault="00897582" w:rsidP="00897582">
      <w:pPr>
        <w:rPr>
          <w:rFonts w:ascii="Arial" w:hAnsi="Arial" w:cs="Arial"/>
        </w:rPr>
      </w:pPr>
      <w:r>
        <w:rPr>
          <w:rFonts w:ascii="Arial" w:hAnsi="Arial" w:cs="Arial"/>
        </w:rPr>
        <w:t xml:space="preserve">This demonstrates </w:t>
      </w:r>
      <w:r w:rsidRPr="00897582">
        <w:rPr>
          <w:rFonts w:ascii="Arial" w:hAnsi="Arial" w:cs="Arial"/>
        </w:rPr>
        <w:t xml:space="preserve">that by </w:t>
      </w:r>
      <w:r>
        <w:rPr>
          <w:rFonts w:ascii="Arial" w:hAnsi="Arial" w:cs="Arial"/>
        </w:rPr>
        <w:t xml:space="preserve">final year of the financial model, </w:t>
      </w:r>
      <w:r w:rsidRPr="00897582">
        <w:rPr>
          <w:rFonts w:ascii="Arial" w:hAnsi="Arial" w:cs="Arial"/>
        </w:rPr>
        <w:t>FY29 (the second full year after opening the new facility), the preferred option will represent a £</w:t>
      </w:r>
      <w:r w:rsidR="00AC38C4">
        <w:rPr>
          <w:rFonts w:ascii="Arial" w:hAnsi="Arial" w:cs="Arial"/>
        </w:rPr>
        <w:t>XXX</w:t>
      </w:r>
      <w:r w:rsidRPr="00897582">
        <w:rPr>
          <w:rFonts w:ascii="Arial" w:hAnsi="Arial" w:cs="Arial"/>
        </w:rPr>
        <w:t>m decrease in the adjusted surplus achieved by the trust compared to BAU.</w:t>
      </w:r>
    </w:p>
    <w:p w14:paraId="7AADAD24" w14:textId="49A2A981" w:rsidR="00897582" w:rsidRPr="00897582" w:rsidRDefault="00897582" w:rsidP="00897582">
      <w:pPr>
        <w:rPr>
          <w:rFonts w:ascii="Arial" w:hAnsi="Arial" w:cs="Arial"/>
        </w:rPr>
      </w:pPr>
      <w:r w:rsidRPr="00897582">
        <w:rPr>
          <w:rFonts w:ascii="Arial" w:hAnsi="Arial" w:cs="Arial"/>
        </w:rPr>
        <w:t>The new facility is assumed to provide five years of additional NHS and private capacity compared to BAU, as well as additional efficiencies over a five year period, and this full benefit is therefore not reflected in the time period of the financial model.  By FY30, taking into account these further benefits, the preferred option would represent a net benefit to the trust’s surplus position, compared to BAU.</w:t>
      </w:r>
    </w:p>
    <w:p w14:paraId="5AB01221" w14:textId="2A6D7753" w:rsidR="00897582" w:rsidRPr="00897582" w:rsidRDefault="00897582" w:rsidP="00897582">
      <w:pPr>
        <w:rPr>
          <w:rFonts w:ascii="Arial" w:hAnsi="Arial" w:cs="Arial"/>
        </w:rPr>
      </w:pPr>
      <w:r w:rsidRPr="00897582">
        <w:rPr>
          <w:rFonts w:ascii="Arial" w:hAnsi="Arial" w:cs="Arial"/>
        </w:rPr>
        <w:t>Therefore, the preferred option represents a net benefit to the surplus position of the Trust within three full years of the opening of the facility.</w:t>
      </w:r>
    </w:p>
    <w:p w14:paraId="47CE3D13" w14:textId="77777777" w:rsidR="00BF42D0" w:rsidRPr="00BF42D0" w:rsidRDefault="00BF42D0" w:rsidP="00BF42D0">
      <w:pPr>
        <w:pStyle w:val="ListParagraph"/>
        <w:spacing w:after="160" w:line="259" w:lineRule="auto"/>
        <w:rPr>
          <w:rFonts w:ascii="Arial" w:hAnsi="Arial" w:cs="Arial"/>
          <w:b/>
        </w:rPr>
      </w:pPr>
    </w:p>
    <w:p w14:paraId="33854F49" w14:textId="468F79E5" w:rsidR="009529B1" w:rsidRPr="00F842AD" w:rsidRDefault="009529B1" w:rsidP="005E0D57">
      <w:pPr>
        <w:pStyle w:val="ListParagraph"/>
        <w:numPr>
          <w:ilvl w:val="2"/>
          <w:numId w:val="1"/>
        </w:numPr>
        <w:rPr>
          <w:rFonts w:ascii="Arial" w:hAnsi="Arial" w:cs="Arial"/>
          <w:b/>
        </w:rPr>
      </w:pPr>
      <w:r w:rsidRPr="00F842AD">
        <w:rPr>
          <w:rFonts w:ascii="Arial" w:hAnsi="Arial" w:cs="Arial"/>
          <w:b/>
        </w:rPr>
        <w:t>Conclusion</w:t>
      </w:r>
    </w:p>
    <w:p w14:paraId="512916A2" w14:textId="71A6427C" w:rsidR="00C16091" w:rsidRDefault="00F842AD" w:rsidP="00B72F95">
      <w:pPr>
        <w:rPr>
          <w:rFonts w:ascii="Arial" w:hAnsi="Arial" w:cs="Arial"/>
        </w:rPr>
      </w:pPr>
      <w:r w:rsidRPr="00F842AD">
        <w:rPr>
          <w:rFonts w:ascii="Arial" w:hAnsi="Arial" w:cs="Arial"/>
        </w:rPr>
        <w:t>T</w:t>
      </w:r>
      <w:r>
        <w:rPr>
          <w:rFonts w:ascii="Arial" w:hAnsi="Arial" w:cs="Arial"/>
        </w:rPr>
        <w:t xml:space="preserve">he </w:t>
      </w:r>
      <w:r w:rsidR="00267569">
        <w:rPr>
          <w:rFonts w:ascii="Arial" w:hAnsi="Arial" w:cs="Arial"/>
        </w:rPr>
        <w:t>Finance Case</w:t>
      </w:r>
      <w:r>
        <w:rPr>
          <w:rFonts w:ascii="Arial" w:hAnsi="Arial" w:cs="Arial"/>
        </w:rPr>
        <w:t xml:space="preserve"> </w:t>
      </w:r>
      <w:r w:rsidR="00267569">
        <w:rPr>
          <w:rFonts w:ascii="Arial" w:hAnsi="Arial" w:cs="Arial"/>
        </w:rPr>
        <w:t xml:space="preserve">concludes that </w:t>
      </w:r>
      <w:r>
        <w:rPr>
          <w:rFonts w:ascii="Arial" w:hAnsi="Arial" w:cs="Arial"/>
        </w:rPr>
        <w:t>the preferred option is affordable</w:t>
      </w:r>
      <w:r w:rsidR="00267569">
        <w:rPr>
          <w:rFonts w:ascii="Arial" w:hAnsi="Arial" w:cs="Arial"/>
        </w:rPr>
        <w:t>.</w:t>
      </w:r>
    </w:p>
    <w:p w14:paraId="01DFCAAE" w14:textId="6C0C6341" w:rsidR="006C4800" w:rsidRDefault="006C4800" w:rsidP="00B72F95">
      <w:pPr>
        <w:rPr>
          <w:rFonts w:ascii="Arial" w:hAnsi="Arial" w:cs="Arial"/>
        </w:rPr>
      </w:pPr>
      <w:r>
        <w:rPr>
          <w:rFonts w:ascii="Arial" w:hAnsi="Arial" w:cs="Arial"/>
        </w:rPr>
        <w:t xml:space="preserve">This has been tested through sensitivity </w:t>
      </w:r>
      <w:r w:rsidR="00B72F95">
        <w:rPr>
          <w:rFonts w:ascii="Arial" w:hAnsi="Arial" w:cs="Arial"/>
        </w:rPr>
        <w:t>analysis</w:t>
      </w:r>
      <w:r>
        <w:rPr>
          <w:rFonts w:ascii="Arial" w:hAnsi="Arial" w:cs="Arial"/>
        </w:rPr>
        <w:t>, which demonstrates that the preferred option remains affordable in a downside scenario in which key risks and mitigations have been quantified</w:t>
      </w:r>
      <w:r w:rsidR="005242E8">
        <w:rPr>
          <w:rFonts w:ascii="Arial" w:hAnsi="Arial" w:cs="Arial"/>
        </w:rPr>
        <w:t xml:space="preserve"> (set out in further detail in section 6.5)</w:t>
      </w:r>
      <w:r>
        <w:rPr>
          <w:rFonts w:ascii="Arial" w:hAnsi="Arial" w:cs="Arial"/>
        </w:rPr>
        <w:t>.</w:t>
      </w:r>
      <w:r w:rsidR="00897582">
        <w:rPr>
          <w:rFonts w:ascii="Arial" w:hAnsi="Arial" w:cs="Arial"/>
        </w:rPr>
        <w:t xml:space="preserve">  The preferred option will be a net benefit to the Trust </w:t>
      </w:r>
      <w:r w:rsidR="00F5376C">
        <w:rPr>
          <w:rFonts w:ascii="Arial" w:hAnsi="Arial" w:cs="Arial"/>
        </w:rPr>
        <w:t xml:space="preserve">compared to the BAU option </w:t>
      </w:r>
      <w:r w:rsidR="00897582">
        <w:rPr>
          <w:rFonts w:ascii="Arial" w:hAnsi="Arial" w:cs="Arial"/>
        </w:rPr>
        <w:t>by the third full year after opening.</w:t>
      </w:r>
    </w:p>
    <w:p w14:paraId="041D48B1" w14:textId="77777777" w:rsidR="00F842AD" w:rsidRPr="00F842AD" w:rsidRDefault="00F842AD" w:rsidP="00B72F95">
      <w:pPr>
        <w:rPr>
          <w:rFonts w:ascii="Arial" w:hAnsi="Arial" w:cs="Arial"/>
        </w:rPr>
      </w:pPr>
    </w:p>
    <w:p w14:paraId="3C871880" w14:textId="75236E27" w:rsidR="00587DF1" w:rsidRPr="00587DF1" w:rsidRDefault="00587DF1" w:rsidP="005E0D57">
      <w:pPr>
        <w:pStyle w:val="Heading2"/>
        <w:numPr>
          <w:ilvl w:val="1"/>
          <w:numId w:val="1"/>
        </w:numPr>
        <w:rPr>
          <w:rFonts w:ascii="Arial" w:eastAsia="Arial" w:hAnsi="Arial" w:cs="Arial"/>
        </w:rPr>
      </w:pPr>
      <w:bookmarkStart w:id="9" w:name="_Toc32842666"/>
      <w:r w:rsidRPr="00587DF1">
        <w:rPr>
          <w:rFonts w:ascii="Arial" w:eastAsia="Arial" w:hAnsi="Arial" w:cs="Arial"/>
        </w:rPr>
        <w:t>Commercial case</w:t>
      </w:r>
      <w:bookmarkEnd w:id="9"/>
    </w:p>
    <w:p w14:paraId="25C3A870" w14:textId="77777777" w:rsidR="00587DF1" w:rsidRPr="00587DF1" w:rsidRDefault="00587DF1" w:rsidP="00B72F95">
      <w:pPr>
        <w:pBdr>
          <w:top w:val="nil"/>
          <w:left w:val="nil"/>
          <w:bottom w:val="nil"/>
          <w:right w:val="nil"/>
          <w:between w:val="nil"/>
        </w:pBdr>
        <w:tabs>
          <w:tab w:val="left" w:pos="567"/>
        </w:tabs>
        <w:spacing w:after="0"/>
        <w:rPr>
          <w:rFonts w:ascii="Arial" w:eastAsia="Arial" w:hAnsi="Arial" w:cs="Arial"/>
        </w:rPr>
      </w:pPr>
    </w:p>
    <w:p w14:paraId="5E21A488" w14:textId="77777777" w:rsidR="00587DF1" w:rsidRPr="00587DF1" w:rsidRDefault="00587DF1" w:rsidP="005E0D57">
      <w:pPr>
        <w:numPr>
          <w:ilvl w:val="2"/>
          <w:numId w:val="1"/>
        </w:numPr>
        <w:pBdr>
          <w:top w:val="nil"/>
          <w:left w:val="nil"/>
          <w:bottom w:val="nil"/>
          <w:right w:val="nil"/>
          <w:between w:val="nil"/>
        </w:pBdr>
        <w:spacing w:after="0" w:line="240" w:lineRule="auto"/>
        <w:ind w:left="567" w:hanging="567"/>
        <w:rPr>
          <w:rFonts w:ascii="Arial" w:eastAsia="Arial" w:hAnsi="Arial" w:cs="Arial"/>
          <w:b/>
        </w:rPr>
      </w:pPr>
      <w:r w:rsidRPr="00587DF1">
        <w:rPr>
          <w:rFonts w:ascii="Arial" w:eastAsia="Arial" w:hAnsi="Arial" w:cs="Arial"/>
          <w:b/>
        </w:rPr>
        <w:t>Procurement strategy</w:t>
      </w:r>
    </w:p>
    <w:p w14:paraId="4BB1D90F" w14:textId="77777777" w:rsidR="00587DF1" w:rsidRPr="00587DF1" w:rsidRDefault="00587DF1" w:rsidP="00B72F95">
      <w:pPr>
        <w:pBdr>
          <w:top w:val="nil"/>
          <w:left w:val="nil"/>
          <w:bottom w:val="nil"/>
          <w:right w:val="nil"/>
          <w:between w:val="nil"/>
        </w:pBdr>
        <w:tabs>
          <w:tab w:val="left" w:pos="567"/>
        </w:tabs>
        <w:spacing w:after="0"/>
        <w:rPr>
          <w:rFonts w:ascii="Arial" w:eastAsia="Arial" w:hAnsi="Arial" w:cs="Arial"/>
        </w:rPr>
      </w:pPr>
    </w:p>
    <w:p w14:paraId="00E1049F" w14:textId="77777777" w:rsidR="00587DF1" w:rsidRPr="00587DF1" w:rsidRDefault="00587DF1" w:rsidP="00B72F95">
      <w:pPr>
        <w:pBdr>
          <w:top w:val="nil"/>
          <w:left w:val="nil"/>
          <w:bottom w:val="nil"/>
          <w:right w:val="nil"/>
          <w:between w:val="nil"/>
        </w:pBdr>
        <w:tabs>
          <w:tab w:val="left" w:pos="567"/>
        </w:tabs>
        <w:spacing w:after="0"/>
        <w:rPr>
          <w:rFonts w:ascii="Arial" w:eastAsia="Arial" w:hAnsi="Arial" w:cs="Arial"/>
        </w:rPr>
      </w:pPr>
      <w:r w:rsidRPr="00587DF1">
        <w:rPr>
          <w:rFonts w:ascii="Arial" w:eastAsia="Arial" w:hAnsi="Arial" w:cs="Arial"/>
        </w:rPr>
        <w:t>Following workshops with UCL and Moorfields, expert procurement advice and extensive market engagement, the partners have selected a contractor procurement route with the following characteristics:</w:t>
      </w:r>
    </w:p>
    <w:p w14:paraId="537AF804" w14:textId="77777777" w:rsidR="00587DF1" w:rsidRPr="00587DF1" w:rsidRDefault="00587DF1" w:rsidP="00B72F95">
      <w:pPr>
        <w:pBdr>
          <w:top w:val="nil"/>
          <w:left w:val="nil"/>
          <w:bottom w:val="nil"/>
          <w:right w:val="nil"/>
          <w:between w:val="nil"/>
        </w:pBdr>
        <w:tabs>
          <w:tab w:val="left" w:pos="567"/>
        </w:tabs>
        <w:spacing w:after="0"/>
        <w:rPr>
          <w:rFonts w:ascii="Arial" w:eastAsia="Arial" w:hAnsi="Arial" w:cs="Arial"/>
        </w:rPr>
      </w:pPr>
    </w:p>
    <w:p w14:paraId="2F898A65" w14:textId="77777777" w:rsidR="00587DF1" w:rsidRPr="00587DF1" w:rsidRDefault="00587DF1" w:rsidP="005E0D57">
      <w:pPr>
        <w:pStyle w:val="ListParagraph"/>
        <w:numPr>
          <w:ilvl w:val="0"/>
          <w:numId w:val="70"/>
        </w:numPr>
        <w:tabs>
          <w:tab w:val="left" w:pos="709"/>
        </w:tabs>
        <w:rPr>
          <w:rFonts w:ascii="Arial" w:eastAsia="Arial" w:hAnsi="Arial" w:cs="Arial"/>
          <w:bCs/>
          <w:color w:val="000000"/>
        </w:rPr>
      </w:pPr>
      <w:r w:rsidRPr="00587DF1">
        <w:rPr>
          <w:rFonts w:ascii="Arial" w:eastAsia="Arial" w:hAnsi="Arial" w:cs="Arial"/>
          <w:b/>
          <w:color w:val="000000"/>
        </w:rPr>
        <w:t>Design and build</w:t>
      </w:r>
      <w:r w:rsidRPr="00587DF1">
        <w:rPr>
          <w:rFonts w:ascii="Arial" w:eastAsia="Arial" w:hAnsi="Arial" w:cs="Arial"/>
          <w:bCs/>
          <w:color w:val="000000"/>
        </w:rPr>
        <w:t xml:space="preserve"> was selected over traditional procurement as it enables transfer of design and construction risk to the same party upon contractor appointment, provides earlier cost certainty, and enables a shorter programme.</w:t>
      </w:r>
    </w:p>
    <w:p w14:paraId="4A8F1AEF" w14:textId="77777777" w:rsidR="00587DF1" w:rsidRPr="00587DF1" w:rsidRDefault="00587DF1" w:rsidP="005E0D57">
      <w:pPr>
        <w:pStyle w:val="ListParagraph"/>
        <w:numPr>
          <w:ilvl w:val="0"/>
          <w:numId w:val="70"/>
        </w:numPr>
        <w:tabs>
          <w:tab w:val="left" w:pos="709"/>
        </w:tabs>
        <w:rPr>
          <w:rFonts w:ascii="Arial" w:eastAsia="Arial" w:hAnsi="Arial" w:cs="Arial"/>
          <w:bCs/>
          <w:color w:val="000000"/>
        </w:rPr>
      </w:pPr>
      <w:r w:rsidRPr="00587DF1">
        <w:rPr>
          <w:rFonts w:ascii="Arial" w:eastAsia="Arial" w:hAnsi="Arial" w:cs="Arial"/>
          <w:b/>
          <w:color w:val="000000"/>
        </w:rPr>
        <w:t xml:space="preserve">Two-stage </w:t>
      </w:r>
      <w:r w:rsidRPr="00587DF1">
        <w:rPr>
          <w:rFonts w:ascii="Arial" w:eastAsia="Arial" w:hAnsi="Arial" w:cs="Arial"/>
          <w:bCs/>
          <w:color w:val="000000"/>
        </w:rPr>
        <w:t xml:space="preserve">procurement was selected over single-stage as is anticipated, given the size and value, that main contractors will only consider a two stage tender route. This </w:t>
      </w:r>
      <w:r w:rsidRPr="00587DF1">
        <w:rPr>
          <w:rFonts w:ascii="Arial" w:eastAsia="Arial" w:hAnsi="Arial" w:cs="Arial"/>
          <w:bCs/>
          <w:color w:val="000000"/>
        </w:rPr>
        <w:lastRenderedPageBreak/>
        <w:t>has been confirmed through market feedback. In addition, this will encourage increased competition, transparency and innovation.</w:t>
      </w:r>
    </w:p>
    <w:p w14:paraId="6F091F48" w14:textId="77777777" w:rsidR="00587DF1" w:rsidRPr="00587DF1" w:rsidRDefault="00587DF1" w:rsidP="005E0D57">
      <w:pPr>
        <w:pStyle w:val="ListParagraph"/>
        <w:numPr>
          <w:ilvl w:val="0"/>
          <w:numId w:val="70"/>
        </w:numPr>
        <w:tabs>
          <w:tab w:val="left" w:pos="709"/>
        </w:tabs>
        <w:rPr>
          <w:rFonts w:ascii="Arial" w:eastAsia="Arial" w:hAnsi="Arial" w:cs="Arial"/>
          <w:bCs/>
          <w:color w:val="000000"/>
        </w:rPr>
      </w:pPr>
      <w:r w:rsidRPr="00587DF1">
        <w:rPr>
          <w:rFonts w:ascii="Arial" w:eastAsia="Arial" w:hAnsi="Arial" w:cs="Arial"/>
          <w:b/>
          <w:color w:val="000000"/>
        </w:rPr>
        <w:t>Official Journal of the European Union (OJEU)</w:t>
      </w:r>
      <w:r w:rsidRPr="00587DF1">
        <w:rPr>
          <w:rFonts w:ascii="Arial" w:eastAsia="Arial" w:hAnsi="Arial" w:cs="Arial"/>
          <w:bCs/>
          <w:color w:val="000000"/>
        </w:rPr>
        <w:t xml:space="preserve"> has been selected over a framework route to allow full competition of the market place.</w:t>
      </w:r>
    </w:p>
    <w:p w14:paraId="4C0212E7" w14:textId="77777777" w:rsidR="00587DF1" w:rsidRPr="00587DF1" w:rsidRDefault="00587DF1" w:rsidP="00B72F95">
      <w:pPr>
        <w:tabs>
          <w:tab w:val="left" w:pos="709"/>
        </w:tabs>
        <w:rPr>
          <w:rFonts w:ascii="Arial" w:eastAsia="Arial" w:hAnsi="Arial" w:cs="Arial"/>
          <w:bCs/>
          <w:color w:val="000000"/>
        </w:rPr>
      </w:pPr>
      <w:r w:rsidRPr="00587DF1">
        <w:rPr>
          <w:rFonts w:ascii="Arial" w:eastAsia="Arial" w:hAnsi="Arial" w:cs="Arial"/>
          <w:bCs/>
          <w:color w:val="000000"/>
        </w:rPr>
        <w:t xml:space="preserve">The </w:t>
      </w:r>
      <w:r w:rsidRPr="00587DF1">
        <w:rPr>
          <w:rFonts w:ascii="Arial" w:eastAsia="Arial" w:hAnsi="Arial" w:cs="Arial"/>
          <w:b/>
          <w:color w:val="000000"/>
        </w:rPr>
        <w:t>benefits</w:t>
      </w:r>
      <w:r w:rsidRPr="00587DF1">
        <w:rPr>
          <w:rFonts w:ascii="Arial" w:eastAsia="Arial" w:hAnsi="Arial" w:cs="Arial"/>
          <w:bCs/>
          <w:color w:val="000000"/>
        </w:rPr>
        <w:t xml:space="preserve"> of this approach are:</w:t>
      </w:r>
    </w:p>
    <w:p w14:paraId="069C0A9A" w14:textId="77777777" w:rsidR="00587DF1" w:rsidRPr="00587DF1" w:rsidRDefault="00587DF1" w:rsidP="005E0D57">
      <w:pPr>
        <w:pStyle w:val="ListParagraph"/>
        <w:numPr>
          <w:ilvl w:val="0"/>
          <w:numId w:val="70"/>
        </w:numPr>
        <w:tabs>
          <w:tab w:val="left" w:pos="709"/>
        </w:tabs>
        <w:rPr>
          <w:rFonts w:ascii="Arial" w:eastAsia="Arial" w:hAnsi="Arial" w:cs="Arial"/>
          <w:bCs/>
          <w:color w:val="000000"/>
        </w:rPr>
      </w:pPr>
      <w:r w:rsidRPr="00587DF1">
        <w:rPr>
          <w:rFonts w:ascii="Arial" w:eastAsia="Arial" w:hAnsi="Arial" w:cs="Arial"/>
          <w:bCs/>
          <w:color w:val="000000"/>
        </w:rPr>
        <w:t>An OJEU tender will allow full competition of the market place.</w:t>
      </w:r>
    </w:p>
    <w:p w14:paraId="2B4F71E4" w14:textId="77777777" w:rsidR="00587DF1" w:rsidRPr="00587DF1" w:rsidRDefault="00587DF1" w:rsidP="005E0D57">
      <w:pPr>
        <w:pStyle w:val="ListParagraph"/>
        <w:numPr>
          <w:ilvl w:val="0"/>
          <w:numId w:val="70"/>
        </w:numPr>
        <w:tabs>
          <w:tab w:val="left" w:pos="709"/>
        </w:tabs>
        <w:rPr>
          <w:rFonts w:ascii="Arial" w:eastAsia="Arial" w:hAnsi="Arial" w:cs="Arial"/>
          <w:bCs/>
          <w:color w:val="000000"/>
        </w:rPr>
      </w:pPr>
      <w:r w:rsidRPr="00587DF1">
        <w:rPr>
          <w:rFonts w:ascii="Arial" w:eastAsia="Arial" w:hAnsi="Arial" w:cs="Arial"/>
          <w:bCs/>
          <w:color w:val="000000"/>
        </w:rPr>
        <w:t>Main contractor market will be unlikely respond to a single stage tender.</w:t>
      </w:r>
    </w:p>
    <w:p w14:paraId="21D0F74B" w14:textId="77777777" w:rsidR="00587DF1" w:rsidRPr="00587DF1" w:rsidRDefault="00587DF1" w:rsidP="005E0D57">
      <w:pPr>
        <w:pStyle w:val="ListParagraph"/>
        <w:numPr>
          <w:ilvl w:val="0"/>
          <w:numId w:val="70"/>
        </w:numPr>
        <w:tabs>
          <w:tab w:val="left" w:pos="709"/>
        </w:tabs>
        <w:rPr>
          <w:rFonts w:ascii="Arial" w:eastAsia="Arial" w:hAnsi="Arial" w:cs="Arial"/>
          <w:bCs/>
          <w:color w:val="000000"/>
        </w:rPr>
      </w:pPr>
      <w:r w:rsidRPr="00587DF1">
        <w:rPr>
          <w:rFonts w:ascii="Arial" w:eastAsia="Arial" w:hAnsi="Arial" w:cs="Arial"/>
          <w:bCs/>
          <w:color w:val="000000"/>
        </w:rPr>
        <w:t>The proposed procurement route will retain competition until a fixed price is agreed.</w:t>
      </w:r>
    </w:p>
    <w:p w14:paraId="68ABCC50" w14:textId="77777777" w:rsidR="00587DF1" w:rsidRPr="00587DF1" w:rsidRDefault="00587DF1" w:rsidP="005E0D57">
      <w:pPr>
        <w:pStyle w:val="ListParagraph"/>
        <w:numPr>
          <w:ilvl w:val="0"/>
          <w:numId w:val="70"/>
        </w:numPr>
        <w:tabs>
          <w:tab w:val="left" w:pos="709"/>
        </w:tabs>
        <w:rPr>
          <w:rFonts w:ascii="Arial" w:eastAsia="Arial" w:hAnsi="Arial" w:cs="Arial"/>
          <w:bCs/>
          <w:color w:val="000000"/>
        </w:rPr>
      </w:pPr>
      <w:r w:rsidRPr="00587DF1">
        <w:rPr>
          <w:rFonts w:ascii="Arial" w:eastAsia="Arial" w:hAnsi="Arial" w:cs="Arial"/>
          <w:bCs/>
          <w:color w:val="000000"/>
        </w:rPr>
        <w:t>The programme allows the main contractors time to consider and integrate innovation and/or off site fabrication in the design.</w:t>
      </w:r>
    </w:p>
    <w:p w14:paraId="21CA11A0" w14:textId="77777777" w:rsidR="00587DF1" w:rsidRPr="00587DF1" w:rsidRDefault="00587DF1" w:rsidP="005E0D57">
      <w:pPr>
        <w:pStyle w:val="ListParagraph"/>
        <w:numPr>
          <w:ilvl w:val="0"/>
          <w:numId w:val="70"/>
        </w:numPr>
        <w:tabs>
          <w:tab w:val="left" w:pos="709"/>
        </w:tabs>
        <w:rPr>
          <w:rFonts w:ascii="Arial" w:eastAsia="Arial" w:hAnsi="Arial" w:cs="Arial"/>
          <w:bCs/>
          <w:color w:val="000000"/>
        </w:rPr>
      </w:pPr>
      <w:r w:rsidRPr="00587DF1">
        <w:rPr>
          <w:rFonts w:ascii="Arial" w:eastAsia="Arial" w:hAnsi="Arial" w:cs="Arial"/>
          <w:bCs/>
          <w:color w:val="000000"/>
        </w:rPr>
        <w:t>A contractor-led Stage 4 design places progression of detailed design with those responsible for delivery.</w:t>
      </w:r>
    </w:p>
    <w:p w14:paraId="6012E491" w14:textId="77777777" w:rsidR="00587DF1" w:rsidRPr="00587DF1" w:rsidRDefault="00587DF1" w:rsidP="005E0D57">
      <w:pPr>
        <w:pStyle w:val="ListParagraph"/>
        <w:numPr>
          <w:ilvl w:val="0"/>
          <w:numId w:val="70"/>
        </w:numPr>
        <w:tabs>
          <w:tab w:val="left" w:pos="709"/>
        </w:tabs>
        <w:rPr>
          <w:rFonts w:ascii="Arial" w:eastAsia="Arial" w:hAnsi="Arial" w:cs="Arial"/>
          <w:bCs/>
          <w:color w:val="000000"/>
        </w:rPr>
      </w:pPr>
      <w:r w:rsidRPr="00587DF1">
        <w:rPr>
          <w:rFonts w:ascii="Arial" w:eastAsia="Arial" w:hAnsi="Arial" w:cs="Arial"/>
          <w:bCs/>
          <w:color w:val="000000"/>
        </w:rPr>
        <w:t>Control of the programme up to contractual award, due to retained competition during second stage process, is maintained by the partners.</w:t>
      </w:r>
    </w:p>
    <w:p w14:paraId="4FD7666B" w14:textId="77777777" w:rsidR="00587DF1" w:rsidRPr="00587DF1" w:rsidRDefault="00587DF1" w:rsidP="00B72F95">
      <w:pPr>
        <w:tabs>
          <w:tab w:val="left" w:pos="709"/>
        </w:tabs>
        <w:rPr>
          <w:rFonts w:ascii="Arial" w:eastAsia="Arial" w:hAnsi="Arial" w:cs="Arial"/>
          <w:bCs/>
          <w:color w:val="000000"/>
        </w:rPr>
      </w:pPr>
      <w:r w:rsidRPr="00587DF1">
        <w:rPr>
          <w:rFonts w:ascii="Arial" w:eastAsia="Arial" w:hAnsi="Arial" w:cs="Arial"/>
          <w:bCs/>
          <w:color w:val="000000"/>
        </w:rPr>
        <w:t>It is likely that the two contractors retained for the second stage of the tender will seek payment if not selected, to contribute towards the significant bidding costs incurred by the tendering contractors. This proposal is supported by Moorfields and UCL.</w:t>
      </w:r>
    </w:p>
    <w:p w14:paraId="1580E540" w14:textId="77777777" w:rsidR="00587DF1" w:rsidRPr="00587DF1" w:rsidRDefault="00587DF1" w:rsidP="005E0D57">
      <w:pPr>
        <w:numPr>
          <w:ilvl w:val="2"/>
          <w:numId w:val="1"/>
        </w:numPr>
        <w:pBdr>
          <w:top w:val="nil"/>
          <w:left w:val="nil"/>
          <w:bottom w:val="nil"/>
          <w:right w:val="nil"/>
          <w:between w:val="nil"/>
        </w:pBdr>
        <w:spacing w:after="0" w:line="240" w:lineRule="auto"/>
        <w:ind w:left="567" w:hanging="567"/>
        <w:jc w:val="both"/>
        <w:rPr>
          <w:rFonts w:ascii="Arial" w:eastAsia="Arial" w:hAnsi="Arial" w:cs="Arial"/>
          <w:b/>
        </w:rPr>
      </w:pPr>
      <w:r w:rsidRPr="00587DF1">
        <w:rPr>
          <w:rFonts w:ascii="Arial" w:eastAsia="Arial" w:hAnsi="Arial" w:cs="Arial"/>
          <w:b/>
        </w:rPr>
        <w:t>Delivery vehicle – enabling a partnership approach</w:t>
      </w:r>
    </w:p>
    <w:p w14:paraId="0CE77B94" w14:textId="77777777" w:rsidR="00587DF1" w:rsidRPr="00587DF1" w:rsidRDefault="00587DF1" w:rsidP="00587DF1">
      <w:pPr>
        <w:tabs>
          <w:tab w:val="left" w:pos="709"/>
        </w:tabs>
        <w:spacing w:after="0"/>
        <w:rPr>
          <w:rFonts w:ascii="Arial" w:eastAsia="Arial" w:hAnsi="Arial" w:cs="Arial"/>
          <w:bCs/>
          <w:color w:val="000000"/>
        </w:rPr>
      </w:pPr>
    </w:p>
    <w:p w14:paraId="277CA081" w14:textId="77777777" w:rsidR="00587DF1" w:rsidRPr="00587DF1" w:rsidRDefault="00587DF1" w:rsidP="00587DF1">
      <w:pPr>
        <w:tabs>
          <w:tab w:val="left" w:pos="709"/>
        </w:tabs>
        <w:rPr>
          <w:rFonts w:ascii="Arial" w:eastAsia="Arial" w:hAnsi="Arial" w:cs="Arial"/>
        </w:rPr>
      </w:pPr>
      <w:r w:rsidRPr="00587DF1">
        <w:rPr>
          <w:rFonts w:ascii="Arial" w:eastAsia="Arial" w:hAnsi="Arial" w:cs="Arial"/>
          <w:bCs/>
          <w:color w:val="000000"/>
        </w:rPr>
        <w:t xml:space="preserve">In order to support a true partnership approach to project delivery, which enables Moorfields and UCL to share potential risks and upsides and supports joint working in the new centre, the partners are proposing to establish a Joint Delivery Vehicle (JDV). This will separate the project from each organisation’s ‘business as usual’ activities, ensuring it benefits from the level of resource and focus required for successful delivery, while retaining </w:t>
      </w:r>
      <w:r w:rsidRPr="00587DF1">
        <w:rPr>
          <w:rFonts w:ascii="Arial" w:eastAsia="Arial" w:hAnsi="Arial" w:cs="Arial"/>
        </w:rPr>
        <w:t>overall management oversight within the remit of each body’s governance structure. The terms of the JDV will be confirmed after OBC approval. The following principles have been agreed:</w:t>
      </w:r>
    </w:p>
    <w:p w14:paraId="73263021" w14:textId="77777777" w:rsidR="00587DF1" w:rsidRPr="00587DF1" w:rsidRDefault="00587DF1" w:rsidP="00190084">
      <w:pPr>
        <w:pStyle w:val="ListParagraph"/>
        <w:numPr>
          <w:ilvl w:val="0"/>
          <w:numId w:val="89"/>
        </w:numPr>
        <w:tabs>
          <w:tab w:val="left" w:pos="709"/>
        </w:tabs>
        <w:rPr>
          <w:rFonts w:ascii="Arial" w:eastAsia="Arial" w:hAnsi="Arial" w:cs="Arial"/>
          <w:bCs/>
          <w:color w:val="000000"/>
        </w:rPr>
      </w:pPr>
      <w:r w:rsidRPr="00587DF1">
        <w:rPr>
          <w:rFonts w:ascii="Arial" w:eastAsia="Arial" w:hAnsi="Arial" w:cs="Arial"/>
          <w:bCs/>
          <w:color w:val="000000"/>
        </w:rPr>
        <w:t>The JDV will be a Limited Liability Partnership.</w:t>
      </w:r>
    </w:p>
    <w:p w14:paraId="1B1155D4" w14:textId="77777777" w:rsidR="00587DF1" w:rsidRPr="00587DF1" w:rsidRDefault="00587DF1" w:rsidP="00190084">
      <w:pPr>
        <w:pStyle w:val="ListParagraph"/>
        <w:numPr>
          <w:ilvl w:val="0"/>
          <w:numId w:val="89"/>
        </w:numPr>
        <w:tabs>
          <w:tab w:val="left" w:pos="709"/>
        </w:tabs>
        <w:rPr>
          <w:rFonts w:ascii="Arial" w:eastAsia="Arial" w:hAnsi="Arial" w:cs="Arial"/>
          <w:bCs/>
          <w:color w:val="000000"/>
        </w:rPr>
      </w:pPr>
      <w:r w:rsidRPr="00587DF1">
        <w:rPr>
          <w:rFonts w:ascii="Arial" w:eastAsia="Arial" w:hAnsi="Arial" w:cs="Arial"/>
          <w:bCs/>
          <w:color w:val="000000"/>
        </w:rPr>
        <w:t>It will be c.70% owned by Moorfields and c.30% by UCL (exact split to be agreed).</w:t>
      </w:r>
    </w:p>
    <w:p w14:paraId="031678F7" w14:textId="77777777" w:rsidR="00587DF1" w:rsidRPr="00587DF1" w:rsidRDefault="00587DF1" w:rsidP="00190084">
      <w:pPr>
        <w:pStyle w:val="ListParagraph"/>
        <w:numPr>
          <w:ilvl w:val="0"/>
          <w:numId w:val="89"/>
        </w:numPr>
        <w:tabs>
          <w:tab w:val="left" w:pos="709"/>
        </w:tabs>
        <w:rPr>
          <w:rFonts w:ascii="Arial" w:eastAsia="Arial" w:hAnsi="Arial" w:cs="Arial"/>
          <w:bCs/>
          <w:color w:val="000000"/>
        </w:rPr>
      </w:pPr>
      <w:r w:rsidRPr="00587DF1">
        <w:rPr>
          <w:rFonts w:ascii="Arial" w:eastAsia="Arial" w:hAnsi="Arial" w:cs="Arial"/>
          <w:bCs/>
          <w:color w:val="000000"/>
        </w:rPr>
        <w:t>The JDV will run Hard and Soft FM services, to ensure consistency and efficiency.</w:t>
      </w:r>
    </w:p>
    <w:p w14:paraId="102B5222" w14:textId="77777777" w:rsidR="00587DF1" w:rsidRPr="00587DF1" w:rsidRDefault="00587DF1" w:rsidP="00190084">
      <w:pPr>
        <w:pStyle w:val="ListParagraph"/>
        <w:numPr>
          <w:ilvl w:val="0"/>
          <w:numId w:val="89"/>
        </w:numPr>
        <w:tabs>
          <w:tab w:val="left" w:pos="709"/>
        </w:tabs>
        <w:rPr>
          <w:rFonts w:ascii="Arial" w:eastAsia="Arial" w:hAnsi="Arial" w:cs="Arial"/>
          <w:bCs/>
          <w:color w:val="000000"/>
        </w:rPr>
      </w:pPr>
      <w:r w:rsidRPr="00587DF1">
        <w:rPr>
          <w:rFonts w:ascii="Arial" w:eastAsia="Arial" w:hAnsi="Arial" w:cs="Arial"/>
          <w:bCs/>
          <w:color w:val="000000"/>
        </w:rPr>
        <w:t>Governance will be designed to give the JDV sufficient independence to make key decisions, whilst ensuring each partner retains a level of control to assure their board (Moorfields) or council (UCL) that they can strategically manage their ownership, benefits and risks.</w:t>
      </w:r>
    </w:p>
    <w:p w14:paraId="68FA90E2" w14:textId="77777777" w:rsidR="00587DF1" w:rsidRPr="00587DF1" w:rsidRDefault="00587DF1" w:rsidP="00587DF1">
      <w:pPr>
        <w:tabs>
          <w:tab w:val="left" w:pos="709"/>
        </w:tabs>
        <w:rPr>
          <w:rFonts w:ascii="Arial" w:eastAsia="Arial" w:hAnsi="Arial" w:cs="Arial"/>
          <w:bCs/>
          <w:color w:val="000000"/>
        </w:rPr>
      </w:pPr>
      <w:r w:rsidRPr="00587DF1">
        <w:rPr>
          <w:rFonts w:ascii="Arial" w:eastAsia="Arial" w:hAnsi="Arial" w:cs="Arial"/>
          <w:bCs/>
          <w:color w:val="000000"/>
        </w:rPr>
        <w:t xml:space="preserve">The proposals will be subject to formal legal advice and sign-off by the trust’s external auditors. It will require NHSE/I approval in line with </w:t>
      </w:r>
      <w:r w:rsidRPr="00587DF1">
        <w:rPr>
          <w:rFonts w:ascii="Arial" w:eastAsia="Arial" w:hAnsi="Arial" w:cs="Arial"/>
          <w:bCs/>
          <w:i/>
          <w:iCs/>
          <w:color w:val="000000"/>
        </w:rPr>
        <w:t>Addendum to the transactions guidance – for trusts forming or changing a subsidiary (November 2018).</w:t>
      </w:r>
    </w:p>
    <w:p w14:paraId="6F951739" w14:textId="49A4D0ED" w:rsidR="00587DF1" w:rsidRPr="00587DF1" w:rsidRDefault="00E5260B" w:rsidP="005E0D57">
      <w:pPr>
        <w:numPr>
          <w:ilvl w:val="2"/>
          <w:numId w:val="1"/>
        </w:numPr>
        <w:pBdr>
          <w:top w:val="nil"/>
          <w:left w:val="nil"/>
          <w:bottom w:val="nil"/>
          <w:right w:val="nil"/>
          <w:between w:val="nil"/>
        </w:pBdr>
        <w:spacing w:after="0" w:line="240" w:lineRule="auto"/>
        <w:ind w:left="567" w:hanging="567"/>
        <w:jc w:val="both"/>
        <w:rPr>
          <w:rFonts w:ascii="Arial" w:eastAsia="Arial" w:hAnsi="Arial" w:cs="Arial"/>
          <w:b/>
        </w:rPr>
      </w:pPr>
      <w:r>
        <w:rPr>
          <w:rFonts w:ascii="Arial" w:eastAsia="Arial" w:hAnsi="Arial" w:cs="Arial"/>
          <w:b/>
        </w:rPr>
        <w:t>Facilities Management (</w:t>
      </w:r>
      <w:r w:rsidR="00587DF1" w:rsidRPr="00587DF1">
        <w:rPr>
          <w:rFonts w:ascii="Arial" w:eastAsia="Arial" w:hAnsi="Arial" w:cs="Arial"/>
          <w:b/>
        </w:rPr>
        <w:t>FM</w:t>
      </w:r>
      <w:r>
        <w:rPr>
          <w:rFonts w:ascii="Arial" w:eastAsia="Arial" w:hAnsi="Arial" w:cs="Arial"/>
          <w:b/>
        </w:rPr>
        <w:t>)</w:t>
      </w:r>
      <w:r w:rsidR="00587DF1" w:rsidRPr="00587DF1">
        <w:rPr>
          <w:rFonts w:ascii="Arial" w:eastAsia="Arial" w:hAnsi="Arial" w:cs="Arial"/>
          <w:b/>
        </w:rPr>
        <w:t xml:space="preserve"> services</w:t>
      </w:r>
    </w:p>
    <w:p w14:paraId="45A8DFD7" w14:textId="77777777" w:rsidR="00587DF1" w:rsidRPr="00587DF1" w:rsidRDefault="00587DF1" w:rsidP="00587DF1">
      <w:pPr>
        <w:tabs>
          <w:tab w:val="left" w:pos="2148"/>
        </w:tabs>
        <w:spacing w:after="0"/>
        <w:rPr>
          <w:rFonts w:ascii="Arial" w:eastAsia="Arial" w:hAnsi="Arial" w:cs="Arial"/>
          <w:bCs/>
          <w:color w:val="000000"/>
        </w:rPr>
      </w:pPr>
    </w:p>
    <w:p w14:paraId="7AA017F0" w14:textId="77777777" w:rsidR="00587DF1" w:rsidRPr="00587DF1" w:rsidRDefault="00587DF1" w:rsidP="00587DF1">
      <w:pPr>
        <w:pBdr>
          <w:top w:val="nil"/>
          <w:left w:val="nil"/>
          <w:bottom w:val="nil"/>
          <w:right w:val="nil"/>
          <w:between w:val="nil"/>
        </w:pBdr>
        <w:tabs>
          <w:tab w:val="left" w:pos="567"/>
        </w:tabs>
        <w:spacing w:after="0"/>
        <w:rPr>
          <w:rFonts w:ascii="Arial" w:eastAsia="Arial" w:hAnsi="Arial" w:cs="Arial"/>
        </w:rPr>
      </w:pPr>
      <w:r w:rsidRPr="00587DF1">
        <w:rPr>
          <w:rFonts w:ascii="Arial" w:eastAsia="Arial" w:hAnsi="Arial" w:cs="Arial"/>
        </w:rPr>
        <w:t>Moorfields and UCL both have a range of outsourcing and in-house solutions for Hard and Soft FM. In Oriel, it is planned that these services will be procured and managed by the JDV. Details of this, including the procurement strategy, will be developed for FBC.</w:t>
      </w:r>
    </w:p>
    <w:p w14:paraId="6AC35469" w14:textId="77777777" w:rsidR="00587DF1" w:rsidRPr="00587DF1" w:rsidRDefault="00587DF1" w:rsidP="00587DF1">
      <w:pPr>
        <w:pBdr>
          <w:top w:val="nil"/>
          <w:left w:val="nil"/>
          <w:bottom w:val="nil"/>
          <w:right w:val="nil"/>
          <w:between w:val="nil"/>
        </w:pBdr>
        <w:tabs>
          <w:tab w:val="left" w:pos="567"/>
        </w:tabs>
        <w:spacing w:after="0"/>
        <w:rPr>
          <w:rFonts w:ascii="Arial" w:eastAsia="Arial" w:hAnsi="Arial" w:cs="Arial"/>
        </w:rPr>
      </w:pPr>
    </w:p>
    <w:p w14:paraId="628A34A8" w14:textId="77777777" w:rsidR="00587DF1" w:rsidRPr="00587DF1" w:rsidRDefault="00587DF1" w:rsidP="005E0D57">
      <w:pPr>
        <w:numPr>
          <w:ilvl w:val="2"/>
          <w:numId w:val="1"/>
        </w:numPr>
        <w:pBdr>
          <w:top w:val="nil"/>
          <w:left w:val="nil"/>
          <w:bottom w:val="nil"/>
          <w:right w:val="nil"/>
          <w:between w:val="nil"/>
        </w:pBdr>
        <w:spacing w:after="0" w:line="240" w:lineRule="auto"/>
        <w:ind w:left="567" w:hanging="567"/>
        <w:jc w:val="both"/>
        <w:rPr>
          <w:rFonts w:ascii="Arial" w:eastAsia="Arial" w:hAnsi="Arial" w:cs="Arial"/>
          <w:b/>
        </w:rPr>
      </w:pPr>
      <w:r w:rsidRPr="00587DF1">
        <w:rPr>
          <w:rFonts w:ascii="Arial" w:eastAsia="Arial" w:hAnsi="Arial" w:cs="Arial"/>
          <w:b/>
        </w:rPr>
        <w:t>Equipment strategy</w:t>
      </w:r>
    </w:p>
    <w:p w14:paraId="6B12FC2D" w14:textId="77777777" w:rsidR="00587DF1" w:rsidRPr="00587DF1" w:rsidRDefault="00587DF1" w:rsidP="00587DF1">
      <w:pPr>
        <w:tabs>
          <w:tab w:val="left" w:pos="2148"/>
        </w:tabs>
        <w:spacing w:after="0"/>
        <w:rPr>
          <w:rFonts w:ascii="Arial" w:eastAsia="Arial" w:hAnsi="Arial" w:cs="Arial"/>
          <w:bCs/>
          <w:color w:val="000000"/>
        </w:rPr>
      </w:pPr>
    </w:p>
    <w:p w14:paraId="526140CF" w14:textId="4786B9F4" w:rsidR="00587DF1" w:rsidRPr="00587DF1" w:rsidRDefault="00587DF1" w:rsidP="00587DF1">
      <w:pPr>
        <w:pBdr>
          <w:top w:val="nil"/>
          <w:left w:val="nil"/>
          <w:bottom w:val="nil"/>
          <w:right w:val="nil"/>
          <w:between w:val="nil"/>
        </w:pBdr>
        <w:tabs>
          <w:tab w:val="left" w:pos="567"/>
        </w:tabs>
        <w:spacing w:after="0"/>
        <w:rPr>
          <w:rFonts w:ascii="Arial" w:eastAsia="Arial" w:hAnsi="Arial" w:cs="Arial"/>
        </w:rPr>
      </w:pPr>
      <w:r w:rsidRPr="00587DF1">
        <w:rPr>
          <w:rFonts w:ascii="Arial" w:eastAsia="Arial" w:hAnsi="Arial" w:cs="Arial"/>
        </w:rPr>
        <w:t>An equipment strategy has been developed by the trust’s equipping advisors.  Its objective is to ensure that the trust has fully equipped facilities, keeping pace with technological developments, whilst also securing best value for money once the development is completed.  The capital cost in this OBC assumes that 40% of Moorfields’ existing equipment will transfer, based on lifecycle replacements happening between now and 2026.</w:t>
      </w:r>
    </w:p>
    <w:p w14:paraId="780025C7" w14:textId="77777777" w:rsidR="00587DF1" w:rsidRPr="00587DF1" w:rsidRDefault="00587DF1" w:rsidP="00587DF1">
      <w:pPr>
        <w:pBdr>
          <w:top w:val="nil"/>
          <w:left w:val="nil"/>
          <w:bottom w:val="nil"/>
          <w:right w:val="nil"/>
          <w:between w:val="nil"/>
        </w:pBdr>
        <w:tabs>
          <w:tab w:val="left" w:pos="567"/>
        </w:tabs>
        <w:spacing w:after="0"/>
        <w:rPr>
          <w:rFonts w:ascii="Arial" w:eastAsia="Arial" w:hAnsi="Arial" w:cs="Arial"/>
        </w:rPr>
      </w:pPr>
    </w:p>
    <w:p w14:paraId="38B648AB" w14:textId="77777777" w:rsidR="00587DF1" w:rsidRPr="00587DF1" w:rsidRDefault="00587DF1" w:rsidP="00587DF1">
      <w:pPr>
        <w:pBdr>
          <w:top w:val="nil"/>
          <w:left w:val="nil"/>
          <w:bottom w:val="nil"/>
          <w:right w:val="nil"/>
          <w:between w:val="nil"/>
        </w:pBdr>
        <w:tabs>
          <w:tab w:val="left" w:pos="567"/>
        </w:tabs>
        <w:spacing w:after="0"/>
        <w:rPr>
          <w:rFonts w:ascii="Arial" w:eastAsia="Arial" w:hAnsi="Arial" w:cs="Arial"/>
        </w:rPr>
      </w:pPr>
      <w:r w:rsidRPr="00587DF1">
        <w:rPr>
          <w:rFonts w:ascii="Arial" w:eastAsia="Arial" w:hAnsi="Arial" w:cs="Arial"/>
        </w:rPr>
        <w:t>The equipment strategy will continue to be developed exploring the procurement options available, accommodating existing equipment and analysing forecasts of future activity taking account of clinical developments and technologies.</w:t>
      </w:r>
    </w:p>
    <w:p w14:paraId="440E87E3" w14:textId="77777777" w:rsidR="00587DF1" w:rsidRPr="00587DF1" w:rsidRDefault="00587DF1" w:rsidP="00587DF1">
      <w:pPr>
        <w:pBdr>
          <w:top w:val="nil"/>
          <w:left w:val="nil"/>
          <w:bottom w:val="nil"/>
          <w:right w:val="nil"/>
          <w:between w:val="nil"/>
        </w:pBdr>
        <w:tabs>
          <w:tab w:val="left" w:pos="567"/>
        </w:tabs>
        <w:spacing w:after="0"/>
        <w:rPr>
          <w:rFonts w:ascii="Arial" w:eastAsia="Arial" w:hAnsi="Arial" w:cs="Arial"/>
        </w:rPr>
      </w:pPr>
    </w:p>
    <w:p w14:paraId="7C7FD90B" w14:textId="77777777" w:rsidR="00587DF1" w:rsidRPr="00587DF1" w:rsidRDefault="00587DF1" w:rsidP="005E0D57">
      <w:pPr>
        <w:numPr>
          <w:ilvl w:val="2"/>
          <w:numId w:val="1"/>
        </w:numPr>
        <w:pBdr>
          <w:top w:val="nil"/>
          <w:left w:val="nil"/>
          <w:bottom w:val="nil"/>
          <w:right w:val="nil"/>
          <w:between w:val="nil"/>
        </w:pBdr>
        <w:spacing w:after="0" w:line="240" w:lineRule="auto"/>
        <w:ind w:left="567" w:hanging="567"/>
        <w:jc w:val="both"/>
        <w:rPr>
          <w:rFonts w:ascii="Arial" w:eastAsia="Arial" w:hAnsi="Arial" w:cs="Arial"/>
          <w:b/>
        </w:rPr>
      </w:pPr>
      <w:r w:rsidRPr="00587DF1">
        <w:rPr>
          <w:rFonts w:ascii="Arial" w:eastAsia="Arial" w:hAnsi="Arial" w:cs="Arial"/>
          <w:b/>
        </w:rPr>
        <w:t>Assurance of value for money</w:t>
      </w:r>
    </w:p>
    <w:p w14:paraId="4FB66312" w14:textId="77777777" w:rsidR="00587DF1" w:rsidRPr="00587DF1" w:rsidRDefault="00587DF1" w:rsidP="00587DF1">
      <w:pPr>
        <w:tabs>
          <w:tab w:val="left" w:pos="2148"/>
        </w:tabs>
        <w:spacing w:after="0"/>
        <w:rPr>
          <w:rFonts w:ascii="Arial" w:eastAsia="Arial" w:hAnsi="Arial" w:cs="Arial"/>
          <w:bCs/>
          <w:color w:val="000000"/>
        </w:rPr>
      </w:pPr>
    </w:p>
    <w:p w14:paraId="23038EEB" w14:textId="77777777" w:rsidR="00587DF1" w:rsidRPr="00587DF1" w:rsidRDefault="00587DF1" w:rsidP="00587DF1">
      <w:pPr>
        <w:pBdr>
          <w:top w:val="nil"/>
          <w:left w:val="nil"/>
          <w:bottom w:val="nil"/>
          <w:right w:val="nil"/>
          <w:between w:val="nil"/>
        </w:pBdr>
        <w:tabs>
          <w:tab w:val="left" w:pos="567"/>
        </w:tabs>
        <w:spacing w:after="0"/>
        <w:rPr>
          <w:rFonts w:ascii="Arial" w:eastAsia="Arial" w:hAnsi="Arial" w:cs="Arial"/>
          <w:bCs/>
          <w:color w:val="000000"/>
        </w:rPr>
      </w:pPr>
      <w:r w:rsidRPr="00587DF1">
        <w:rPr>
          <w:rFonts w:ascii="Arial" w:eastAsia="Arial" w:hAnsi="Arial" w:cs="Arial"/>
        </w:rPr>
        <w:t xml:space="preserve">The estimated capital cost of the scheme, which is based on the </w:t>
      </w:r>
      <w:r w:rsidR="007F01A5">
        <w:rPr>
          <w:rFonts w:ascii="Arial" w:eastAsia="Arial" w:hAnsi="Arial" w:cs="Arial"/>
        </w:rPr>
        <w:t xml:space="preserve">RIBA </w:t>
      </w:r>
      <w:r w:rsidRPr="00587DF1">
        <w:rPr>
          <w:rFonts w:ascii="Arial" w:eastAsia="Arial" w:hAnsi="Arial" w:cs="Arial"/>
        </w:rPr>
        <w:t xml:space="preserve">Stage 1 design, has been benchmarked against similar </w:t>
      </w:r>
      <w:r w:rsidRPr="00587DF1">
        <w:rPr>
          <w:rFonts w:ascii="Arial" w:hAnsi="Arial" w:cs="Arial"/>
        </w:rPr>
        <w:t>projects, including</w:t>
      </w:r>
      <w:r w:rsidRPr="00587DF1">
        <w:rPr>
          <w:rFonts w:ascii="Arial" w:eastAsia="Arial" w:hAnsi="Arial" w:cs="Arial"/>
          <w:bCs/>
          <w:color w:val="000000"/>
        </w:rPr>
        <w:t xml:space="preserve"> buildings containing health, research and science accommodation, in both a public and private setting. This analysis shows that the cost per m</w:t>
      </w:r>
      <w:r w:rsidRPr="00587DF1">
        <w:rPr>
          <w:rFonts w:ascii="Arial" w:eastAsia="Arial" w:hAnsi="Arial" w:cs="Arial"/>
          <w:bCs/>
          <w:color w:val="000000"/>
          <w:vertAlign w:val="superscript"/>
        </w:rPr>
        <w:t>2</w:t>
      </w:r>
      <w:r w:rsidRPr="00587DF1">
        <w:rPr>
          <w:rFonts w:ascii="Arial" w:eastAsia="Arial" w:hAnsi="Arial" w:cs="Arial"/>
          <w:bCs/>
          <w:color w:val="000000"/>
        </w:rPr>
        <w:t xml:space="preserve"> of Oriel is very similar to the benchmark average of the sample.</w:t>
      </w:r>
    </w:p>
    <w:p w14:paraId="5A8E9DFE" w14:textId="77777777" w:rsidR="00587DF1" w:rsidRPr="00587DF1" w:rsidRDefault="00587DF1" w:rsidP="00587DF1">
      <w:pPr>
        <w:pBdr>
          <w:top w:val="nil"/>
          <w:left w:val="nil"/>
          <w:bottom w:val="nil"/>
          <w:right w:val="nil"/>
          <w:between w:val="nil"/>
        </w:pBdr>
        <w:tabs>
          <w:tab w:val="left" w:pos="567"/>
        </w:tabs>
        <w:spacing w:after="0"/>
        <w:rPr>
          <w:rFonts w:ascii="Arial" w:eastAsia="Arial" w:hAnsi="Arial" w:cs="Arial"/>
          <w:bCs/>
          <w:color w:val="000000"/>
        </w:rPr>
      </w:pPr>
    </w:p>
    <w:p w14:paraId="2C500433" w14:textId="6AFCDC18" w:rsidR="00587DF1" w:rsidRDefault="00587DF1" w:rsidP="00587DF1">
      <w:pPr>
        <w:pBdr>
          <w:top w:val="nil"/>
          <w:left w:val="nil"/>
          <w:bottom w:val="nil"/>
          <w:right w:val="nil"/>
          <w:between w:val="nil"/>
        </w:pBdr>
        <w:tabs>
          <w:tab w:val="left" w:pos="567"/>
        </w:tabs>
        <w:spacing w:after="0"/>
        <w:rPr>
          <w:rFonts w:ascii="Arial" w:eastAsia="Arial" w:hAnsi="Arial" w:cs="Arial"/>
          <w:bCs/>
          <w:color w:val="000000"/>
        </w:rPr>
      </w:pPr>
      <w:r w:rsidRPr="00587DF1">
        <w:rPr>
          <w:rFonts w:ascii="Arial" w:eastAsia="Arial" w:hAnsi="Arial" w:cs="Arial"/>
          <w:bCs/>
          <w:color w:val="000000"/>
        </w:rPr>
        <w:t>The purchase price of the St Pancras site is based on a value appraisal undertaken by independent property advisors in line with RIC</w:t>
      </w:r>
      <w:r w:rsidR="007F01A5">
        <w:rPr>
          <w:rFonts w:ascii="Arial" w:eastAsia="Arial" w:hAnsi="Arial" w:cs="Arial"/>
          <w:bCs/>
          <w:color w:val="000000"/>
        </w:rPr>
        <w:t>S</w:t>
      </w:r>
      <w:r w:rsidRPr="00587DF1">
        <w:rPr>
          <w:rFonts w:ascii="Arial" w:eastAsia="Arial" w:hAnsi="Arial" w:cs="Arial"/>
          <w:bCs/>
          <w:color w:val="000000"/>
        </w:rPr>
        <w:t xml:space="preserve"> valuation guidance, and is considered to represent good value for money.</w:t>
      </w:r>
    </w:p>
    <w:p w14:paraId="01947FD4" w14:textId="38F8AC47" w:rsidR="00FF6E56" w:rsidRDefault="00FF6E56" w:rsidP="00587DF1">
      <w:pPr>
        <w:pBdr>
          <w:top w:val="nil"/>
          <w:left w:val="nil"/>
          <w:bottom w:val="nil"/>
          <w:right w:val="nil"/>
          <w:between w:val="nil"/>
        </w:pBdr>
        <w:tabs>
          <w:tab w:val="left" w:pos="567"/>
        </w:tabs>
        <w:spacing w:after="0"/>
        <w:rPr>
          <w:rFonts w:ascii="Arial" w:eastAsia="Arial" w:hAnsi="Arial" w:cs="Arial"/>
          <w:bCs/>
          <w:color w:val="000000"/>
        </w:rPr>
      </w:pPr>
    </w:p>
    <w:p w14:paraId="36F5E57A" w14:textId="77777777" w:rsidR="00FF6E56" w:rsidRPr="00587DF1" w:rsidRDefault="00FF6E56" w:rsidP="00587DF1">
      <w:pPr>
        <w:pBdr>
          <w:top w:val="nil"/>
          <w:left w:val="nil"/>
          <w:bottom w:val="nil"/>
          <w:right w:val="nil"/>
          <w:between w:val="nil"/>
        </w:pBdr>
        <w:tabs>
          <w:tab w:val="left" w:pos="567"/>
        </w:tabs>
        <w:spacing w:after="0"/>
        <w:rPr>
          <w:rFonts w:ascii="Arial" w:eastAsia="Arial" w:hAnsi="Arial" w:cs="Arial"/>
          <w:bCs/>
          <w:color w:val="000000"/>
        </w:rPr>
      </w:pPr>
    </w:p>
    <w:p w14:paraId="14BDD3B9" w14:textId="77777777" w:rsidR="00587DF1" w:rsidRPr="00587DF1" w:rsidRDefault="00587DF1" w:rsidP="00587DF1">
      <w:pPr>
        <w:pBdr>
          <w:top w:val="nil"/>
          <w:left w:val="nil"/>
          <w:bottom w:val="nil"/>
          <w:right w:val="nil"/>
          <w:between w:val="nil"/>
        </w:pBdr>
        <w:tabs>
          <w:tab w:val="left" w:pos="567"/>
        </w:tabs>
        <w:spacing w:after="0"/>
        <w:rPr>
          <w:rFonts w:ascii="Arial" w:eastAsia="Arial" w:hAnsi="Arial" w:cs="Arial"/>
          <w:bCs/>
          <w:color w:val="000000"/>
        </w:rPr>
      </w:pPr>
    </w:p>
    <w:p w14:paraId="517026B7" w14:textId="77777777" w:rsidR="00587DF1" w:rsidRPr="00587DF1" w:rsidRDefault="00587DF1" w:rsidP="005E0D57">
      <w:pPr>
        <w:numPr>
          <w:ilvl w:val="2"/>
          <w:numId w:val="1"/>
        </w:numPr>
        <w:pBdr>
          <w:top w:val="nil"/>
          <w:left w:val="nil"/>
          <w:bottom w:val="nil"/>
          <w:right w:val="nil"/>
          <w:between w:val="nil"/>
        </w:pBdr>
        <w:spacing w:after="0" w:line="240" w:lineRule="auto"/>
        <w:ind w:left="567" w:hanging="567"/>
        <w:jc w:val="both"/>
        <w:rPr>
          <w:rFonts w:ascii="Arial" w:eastAsia="Arial" w:hAnsi="Arial" w:cs="Arial"/>
          <w:b/>
        </w:rPr>
      </w:pPr>
      <w:r w:rsidRPr="00587DF1">
        <w:rPr>
          <w:rFonts w:ascii="Arial" w:eastAsia="Arial" w:hAnsi="Arial" w:cs="Arial"/>
          <w:b/>
        </w:rPr>
        <w:t>Acquisition of the St Pancras site</w:t>
      </w:r>
    </w:p>
    <w:p w14:paraId="568A1165" w14:textId="77777777" w:rsidR="00587DF1" w:rsidRPr="00587DF1" w:rsidRDefault="00587DF1" w:rsidP="00587DF1">
      <w:pPr>
        <w:pBdr>
          <w:top w:val="nil"/>
          <w:left w:val="nil"/>
          <w:bottom w:val="nil"/>
          <w:right w:val="nil"/>
          <w:between w:val="nil"/>
        </w:pBdr>
        <w:tabs>
          <w:tab w:val="left" w:pos="567"/>
        </w:tabs>
        <w:spacing w:after="0"/>
        <w:rPr>
          <w:rFonts w:ascii="Arial" w:eastAsia="Arial" w:hAnsi="Arial" w:cs="Arial"/>
        </w:rPr>
      </w:pPr>
    </w:p>
    <w:p w14:paraId="09CA4482" w14:textId="159A885E" w:rsidR="00587DF1" w:rsidRPr="00587DF1" w:rsidRDefault="00587DF1" w:rsidP="00587DF1">
      <w:pPr>
        <w:pBdr>
          <w:top w:val="nil"/>
          <w:left w:val="nil"/>
          <w:bottom w:val="nil"/>
          <w:right w:val="nil"/>
          <w:between w:val="nil"/>
        </w:pBdr>
        <w:tabs>
          <w:tab w:val="left" w:pos="567"/>
        </w:tabs>
        <w:spacing w:after="0"/>
        <w:rPr>
          <w:rFonts w:ascii="Arial" w:eastAsia="Arial" w:hAnsi="Arial" w:cs="Arial"/>
          <w:bCs/>
          <w:color w:val="000000"/>
        </w:rPr>
      </w:pPr>
      <w:r w:rsidRPr="00587DF1">
        <w:rPr>
          <w:rFonts w:ascii="Arial" w:eastAsia="Arial" w:hAnsi="Arial" w:cs="Arial"/>
          <w:bCs/>
          <w:color w:val="000000"/>
        </w:rPr>
        <w:t xml:space="preserve">Moorfields and C&amp;I have entered into an option agreement which gives Moorfields the ability to acquire 2 acres of the St Pancras site on pre-agreed terms at a price of </w:t>
      </w:r>
      <w:r w:rsidR="00AC38C4">
        <w:rPr>
          <w:rFonts w:ascii="Arial" w:eastAsia="Arial" w:hAnsi="Arial" w:cs="Arial"/>
          <w:bCs/>
          <w:color w:val="000000"/>
        </w:rPr>
        <w:t>£XXX</w:t>
      </w:r>
      <w:r w:rsidRPr="00587DF1">
        <w:rPr>
          <w:rFonts w:ascii="Arial" w:eastAsia="Arial" w:hAnsi="Arial" w:cs="Arial"/>
          <w:bCs/>
          <w:color w:val="000000"/>
        </w:rPr>
        <w:t>m</w:t>
      </w:r>
      <w:r w:rsidR="006B30A3">
        <w:rPr>
          <w:rFonts w:ascii="Arial" w:eastAsia="Arial" w:hAnsi="Arial" w:cs="Arial"/>
          <w:bCs/>
          <w:color w:val="000000"/>
        </w:rPr>
        <w:t xml:space="preserve"> (excluding tax)</w:t>
      </w:r>
      <w:r w:rsidRPr="00587DF1">
        <w:rPr>
          <w:rFonts w:ascii="Arial" w:eastAsia="Arial" w:hAnsi="Arial" w:cs="Arial"/>
          <w:bCs/>
          <w:color w:val="000000"/>
        </w:rPr>
        <w:t xml:space="preserve">. </w:t>
      </w:r>
      <w:r w:rsidR="00267569">
        <w:rPr>
          <w:rFonts w:ascii="Arial" w:eastAsia="Arial" w:hAnsi="Arial" w:cs="Arial"/>
          <w:bCs/>
          <w:color w:val="000000"/>
        </w:rPr>
        <w:t>This will be wholly owned by Moorfields, with a £</w:t>
      </w:r>
      <w:r w:rsidR="00AC38C4">
        <w:rPr>
          <w:rFonts w:ascii="Arial" w:eastAsia="Arial" w:hAnsi="Arial" w:cs="Arial"/>
          <w:bCs/>
          <w:color w:val="000000"/>
        </w:rPr>
        <w:t>XXX</w:t>
      </w:r>
      <w:r w:rsidR="00267569">
        <w:rPr>
          <w:rFonts w:ascii="Arial" w:eastAsia="Arial" w:hAnsi="Arial" w:cs="Arial"/>
          <w:bCs/>
          <w:color w:val="000000"/>
        </w:rPr>
        <w:t>m lease premium paid by UCL IoO.</w:t>
      </w:r>
    </w:p>
    <w:p w14:paraId="2FB2E986" w14:textId="77777777" w:rsidR="00587DF1" w:rsidRPr="00587DF1" w:rsidRDefault="00587DF1" w:rsidP="00587DF1">
      <w:pPr>
        <w:pBdr>
          <w:top w:val="nil"/>
          <w:left w:val="nil"/>
          <w:bottom w:val="nil"/>
          <w:right w:val="nil"/>
          <w:between w:val="nil"/>
        </w:pBdr>
        <w:tabs>
          <w:tab w:val="left" w:pos="567"/>
        </w:tabs>
        <w:spacing w:after="0"/>
        <w:rPr>
          <w:rFonts w:ascii="Arial" w:eastAsia="Arial" w:hAnsi="Arial" w:cs="Arial"/>
          <w:bCs/>
          <w:color w:val="000000"/>
        </w:rPr>
      </w:pPr>
    </w:p>
    <w:p w14:paraId="7DB5794A" w14:textId="77777777" w:rsidR="00587DF1" w:rsidRPr="00587DF1" w:rsidRDefault="00587DF1" w:rsidP="00587DF1">
      <w:pPr>
        <w:tabs>
          <w:tab w:val="left" w:pos="567"/>
        </w:tabs>
        <w:spacing w:after="0"/>
        <w:rPr>
          <w:rFonts w:ascii="Arial" w:eastAsia="Arial" w:hAnsi="Arial" w:cs="Arial"/>
          <w:bCs/>
          <w:color w:val="000000"/>
        </w:rPr>
      </w:pPr>
      <w:r w:rsidRPr="00587DF1">
        <w:rPr>
          <w:rFonts w:ascii="Arial" w:eastAsia="Arial" w:hAnsi="Arial" w:cs="Arial"/>
          <w:bCs/>
          <w:color w:val="000000"/>
        </w:rPr>
        <w:t>The partners have undertaken a pre-planning application process with LB Camden, who wrote to the trust in July 2019 stating their support for the key principles of the proposed scheme, subject to further development. The partners plan to submit a planning application for the site in September 2020.</w:t>
      </w:r>
    </w:p>
    <w:p w14:paraId="35FB1441" w14:textId="77777777" w:rsidR="00587DF1" w:rsidRPr="00587DF1" w:rsidRDefault="00587DF1" w:rsidP="00587DF1">
      <w:pPr>
        <w:tabs>
          <w:tab w:val="left" w:pos="567"/>
        </w:tabs>
        <w:spacing w:after="0"/>
        <w:rPr>
          <w:rFonts w:ascii="Arial" w:eastAsia="Arial" w:hAnsi="Arial" w:cs="Arial"/>
          <w:bCs/>
          <w:color w:val="000000"/>
        </w:rPr>
      </w:pPr>
    </w:p>
    <w:p w14:paraId="76425E3A" w14:textId="2C4A714F" w:rsidR="00587DF1" w:rsidRPr="00587DF1" w:rsidRDefault="00587DF1" w:rsidP="00587DF1">
      <w:pPr>
        <w:tabs>
          <w:tab w:val="left" w:pos="567"/>
        </w:tabs>
        <w:spacing w:after="0"/>
        <w:rPr>
          <w:rFonts w:ascii="Arial" w:eastAsia="Arial" w:hAnsi="Arial" w:cs="Arial"/>
          <w:bCs/>
          <w:color w:val="000000"/>
        </w:rPr>
      </w:pPr>
    </w:p>
    <w:p w14:paraId="6B25CE47" w14:textId="77777777" w:rsidR="00587DF1" w:rsidRPr="00587DF1" w:rsidRDefault="00587DF1" w:rsidP="005E0D57">
      <w:pPr>
        <w:numPr>
          <w:ilvl w:val="2"/>
          <w:numId w:val="1"/>
        </w:numPr>
        <w:pBdr>
          <w:top w:val="nil"/>
          <w:left w:val="nil"/>
          <w:bottom w:val="nil"/>
          <w:right w:val="nil"/>
          <w:between w:val="nil"/>
        </w:pBdr>
        <w:spacing w:after="0" w:line="240" w:lineRule="auto"/>
        <w:ind w:left="567" w:hanging="567"/>
        <w:jc w:val="both"/>
        <w:rPr>
          <w:rFonts w:ascii="Arial" w:eastAsia="Arial" w:hAnsi="Arial" w:cs="Arial"/>
          <w:b/>
        </w:rPr>
      </w:pPr>
      <w:r w:rsidRPr="00587DF1">
        <w:rPr>
          <w:rFonts w:ascii="Arial" w:eastAsia="Arial" w:hAnsi="Arial" w:cs="Arial"/>
          <w:b/>
        </w:rPr>
        <w:t>Disposal of the City Road site</w:t>
      </w:r>
    </w:p>
    <w:p w14:paraId="246779B3" w14:textId="77777777" w:rsidR="00587DF1" w:rsidRPr="00587DF1" w:rsidRDefault="00587DF1" w:rsidP="00587DF1">
      <w:pPr>
        <w:pBdr>
          <w:top w:val="nil"/>
          <w:left w:val="nil"/>
          <w:bottom w:val="nil"/>
          <w:right w:val="nil"/>
          <w:between w:val="nil"/>
        </w:pBdr>
        <w:tabs>
          <w:tab w:val="left" w:pos="567"/>
        </w:tabs>
        <w:spacing w:after="0"/>
        <w:rPr>
          <w:rFonts w:ascii="Arial" w:eastAsia="Arial" w:hAnsi="Arial" w:cs="Arial"/>
        </w:rPr>
      </w:pPr>
    </w:p>
    <w:p w14:paraId="30B47DE7" w14:textId="77777777" w:rsidR="00587DF1" w:rsidRPr="00587DF1" w:rsidRDefault="00587DF1" w:rsidP="00587DF1">
      <w:pPr>
        <w:pBdr>
          <w:top w:val="nil"/>
          <w:left w:val="nil"/>
          <w:bottom w:val="nil"/>
          <w:right w:val="nil"/>
          <w:between w:val="nil"/>
        </w:pBdr>
        <w:tabs>
          <w:tab w:val="left" w:pos="567"/>
        </w:tabs>
        <w:spacing w:after="0"/>
        <w:rPr>
          <w:rFonts w:ascii="Arial" w:eastAsia="Arial" w:hAnsi="Arial" w:cs="Arial"/>
        </w:rPr>
      </w:pPr>
      <w:r w:rsidRPr="00587DF1">
        <w:rPr>
          <w:rFonts w:ascii="Arial" w:eastAsia="Arial" w:hAnsi="Arial" w:cs="Arial"/>
        </w:rPr>
        <w:t xml:space="preserve">The City Road site will be sold subject to planning, in order to achieve best value while minimising the partners’ exposure to risk and costs associated with planning. </w:t>
      </w:r>
      <w:r w:rsidR="00B8080B">
        <w:rPr>
          <w:rFonts w:ascii="Arial" w:eastAsia="Arial" w:hAnsi="Arial" w:cs="Arial"/>
        </w:rPr>
        <w:t>This strategy will give the partners a level of certainty on the disposal receipt, with receipt of funds when the town planning application is granted</w:t>
      </w:r>
      <w:r w:rsidRPr="00587DF1">
        <w:rPr>
          <w:rFonts w:ascii="Arial" w:eastAsia="Arial" w:hAnsi="Arial" w:cs="Arial"/>
        </w:rPr>
        <w:t>.</w:t>
      </w:r>
    </w:p>
    <w:p w14:paraId="174ED166" w14:textId="77777777" w:rsidR="00587DF1" w:rsidRPr="00587DF1" w:rsidRDefault="00587DF1" w:rsidP="00587DF1">
      <w:pPr>
        <w:tabs>
          <w:tab w:val="left" w:pos="567"/>
        </w:tabs>
        <w:spacing w:after="0"/>
        <w:rPr>
          <w:rFonts w:ascii="Arial" w:eastAsia="Arial" w:hAnsi="Arial" w:cs="Arial"/>
          <w:bCs/>
          <w:color w:val="000000"/>
        </w:rPr>
      </w:pPr>
    </w:p>
    <w:p w14:paraId="45C3FEA9" w14:textId="77777777" w:rsidR="00587DF1" w:rsidRPr="00587DF1" w:rsidRDefault="00587DF1" w:rsidP="00587DF1">
      <w:pPr>
        <w:pBdr>
          <w:top w:val="nil"/>
          <w:left w:val="nil"/>
          <w:bottom w:val="nil"/>
          <w:right w:val="nil"/>
          <w:between w:val="nil"/>
        </w:pBdr>
        <w:tabs>
          <w:tab w:val="left" w:pos="567"/>
        </w:tabs>
        <w:spacing w:after="0"/>
        <w:rPr>
          <w:rFonts w:ascii="Arial" w:eastAsia="Arial" w:hAnsi="Arial" w:cs="Arial"/>
        </w:rPr>
      </w:pPr>
    </w:p>
    <w:p w14:paraId="0B0D739D" w14:textId="77777777" w:rsidR="00587DF1" w:rsidRPr="00587DF1" w:rsidRDefault="00587DF1" w:rsidP="005E0D57">
      <w:pPr>
        <w:pStyle w:val="Heading2"/>
        <w:numPr>
          <w:ilvl w:val="1"/>
          <w:numId w:val="1"/>
        </w:numPr>
        <w:rPr>
          <w:rFonts w:ascii="Arial" w:eastAsia="Arial" w:hAnsi="Arial" w:cs="Arial"/>
        </w:rPr>
      </w:pPr>
      <w:bookmarkStart w:id="10" w:name="_Toc32842667"/>
      <w:r w:rsidRPr="00587DF1">
        <w:rPr>
          <w:rFonts w:ascii="Arial" w:eastAsia="Arial" w:hAnsi="Arial" w:cs="Arial"/>
        </w:rPr>
        <w:t>Management case</w:t>
      </w:r>
      <w:bookmarkEnd w:id="10"/>
    </w:p>
    <w:p w14:paraId="1E18F5D3" w14:textId="77777777" w:rsidR="00587DF1" w:rsidRPr="00587DF1" w:rsidRDefault="00587DF1" w:rsidP="00587DF1">
      <w:pPr>
        <w:pBdr>
          <w:top w:val="nil"/>
          <w:left w:val="nil"/>
          <w:bottom w:val="nil"/>
          <w:right w:val="nil"/>
          <w:between w:val="nil"/>
        </w:pBdr>
        <w:tabs>
          <w:tab w:val="left" w:pos="567"/>
        </w:tabs>
        <w:spacing w:after="0"/>
        <w:rPr>
          <w:rFonts w:ascii="Arial" w:eastAsia="Arial" w:hAnsi="Arial" w:cs="Arial"/>
        </w:rPr>
      </w:pPr>
    </w:p>
    <w:p w14:paraId="3E9B6470" w14:textId="77777777" w:rsidR="00587DF1" w:rsidRPr="00587DF1" w:rsidRDefault="00587DF1" w:rsidP="005E0D57">
      <w:pPr>
        <w:numPr>
          <w:ilvl w:val="2"/>
          <w:numId w:val="1"/>
        </w:numPr>
        <w:pBdr>
          <w:top w:val="nil"/>
          <w:left w:val="nil"/>
          <w:bottom w:val="nil"/>
          <w:right w:val="nil"/>
          <w:between w:val="nil"/>
        </w:pBdr>
        <w:spacing w:after="0" w:line="240" w:lineRule="auto"/>
        <w:ind w:left="567" w:hanging="567"/>
        <w:jc w:val="both"/>
        <w:rPr>
          <w:rFonts w:ascii="Arial" w:eastAsia="Arial" w:hAnsi="Arial" w:cs="Arial"/>
          <w:b/>
        </w:rPr>
      </w:pPr>
      <w:r w:rsidRPr="00587DF1">
        <w:rPr>
          <w:rFonts w:ascii="Arial" w:eastAsia="Arial" w:hAnsi="Arial" w:cs="Arial"/>
          <w:b/>
        </w:rPr>
        <w:t>Project framework</w:t>
      </w:r>
    </w:p>
    <w:p w14:paraId="6A68ECC9" w14:textId="77777777" w:rsidR="00587DF1" w:rsidRPr="00587DF1" w:rsidRDefault="00587DF1" w:rsidP="00587DF1">
      <w:pPr>
        <w:pBdr>
          <w:top w:val="nil"/>
          <w:left w:val="nil"/>
          <w:bottom w:val="nil"/>
          <w:right w:val="nil"/>
          <w:between w:val="nil"/>
        </w:pBdr>
        <w:tabs>
          <w:tab w:val="left" w:pos="567"/>
        </w:tabs>
        <w:spacing w:after="0"/>
        <w:rPr>
          <w:rFonts w:ascii="Arial" w:eastAsia="Arial" w:hAnsi="Arial" w:cs="Arial"/>
        </w:rPr>
      </w:pPr>
    </w:p>
    <w:p w14:paraId="5650BB87" w14:textId="77777777" w:rsidR="00587DF1" w:rsidRPr="00587DF1" w:rsidRDefault="00587DF1" w:rsidP="00587DF1">
      <w:pPr>
        <w:spacing w:after="0"/>
        <w:rPr>
          <w:rFonts w:ascii="Arial" w:eastAsia="Arial" w:hAnsi="Arial" w:cs="Arial"/>
        </w:rPr>
      </w:pPr>
      <w:r w:rsidRPr="00587DF1">
        <w:rPr>
          <w:rFonts w:ascii="Arial" w:eastAsia="Arial" w:hAnsi="Arial" w:cs="Arial"/>
        </w:rPr>
        <w:t>The project governance has been established according to the principles of PRINCE2 and Managing Successful Programmes (MSP). The key governance principles for Oriel are:</w:t>
      </w:r>
    </w:p>
    <w:p w14:paraId="72370215" w14:textId="1CFAB3F5" w:rsidR="00587DF1" w:rsidRPr="00587DF1" w:rsidRDefault="00587DF1" w:rsidP="005E0D57">
      <w:pPr>
        <w:pStyle w:val="ListParagraph"/>
        <w:numPr>
          <w:ilvl w:val="0"/>
          <w:numId w:val="8"/>
        </w:numPr>
        <w:spacing w:after="0"/>
        <w:rPr>
          <w:rFonts w:ascii="Arial" w:eastAsia="Arial" w:hAnsi="Arial" w:cs="Arial"/>
        </w:rPr>
      </w:pPr>
      <w:r w:rsidRPr="00587DF1">
        <w:rPr>
          <w:rFonts w:ascii="Arial" w:eastAsia="Arial" w:hAnsi="Arial" w:cs="Arial"/>
        </w:rPr>
        <w:t>Oriel is a collaborative of three independent organisations; UCL</w:t>
      </w:r>
      <w:r w:rsidR="00975CD0">
        <w:rPr>
          <w:rFonts w:ascii="Arial" w:eastAsia="Arial" w:hAnsi="Arial" w:cs="Arial"/>
        </w:rPr>
        <w:t xml:space="preserve"> (IoO)</w:t>
      </w:r>
      <w:r w:rsidRPr="00587DF1">
        <w:rPr>
          <w:rFonts w:ascii="Arial" w:eastAsia="Arial" w:hAnsi="Arial" w:cs="Arial"/>
        </w:rPr>
        <w:t>, Moorfields Eye Hospital and Moorfields Eye Charity.</w:t>
      </w:r>
    </w:p>
    <w:p w14:paraId="4357C9E1" w14:textId="77777777" w:rsidR="00587DF1" w:rsidRPr="00587DF1" w:rsidRDefault="00587DF1" w:rsidP="005E0D57">
      <w:pPr>
        <w:pStyle w:val="ListParagraph"/>
        <w:numPr>
          <w:ilvl w:val="0"/>
          <w:numId w:val="8"/>
        </w:numPr>
        <w:spacing w:after="0"/>
        <w:rPr>
          <w:rFonts w:ascii="Arial" w:eastAsia="Arial" w:hAnsi="Arial" w:cs="Arial"/>
        </w:rPr>
      </w:pPr>
      <w:r w:rsidRPr="00587DF1">
        <w:rPr>
          <w:rFonts w:ascii="Arial" w:eastAsia="Arial" w:hAnsi="Arial" w:cs="Arial"/>
        </w:rPr>
        <w:t xml:space="preserve">The partnership will aim to harness the best of each individual partners’ strengths </w:t>
      </w:r>
      <w:r w:rsidRPr="00587DF1">
        <w:rPr>
          <w:rFonts w:ascii="Arial" w:eastAsia="Arial" w:hAnsi="Arial" w:cs="Arial"/>
          <w:cs/>
          <w:lang w:bidi="mr-IN"/>
        </w:rPr>
        <w:t>–</w:t>
      </w:r>
      <w:r w:rsidRPr="00587DF1">
        <w:rPr>
          <w:rFonts w:ascii="Arial" w:eastAsia="Arial" w:hAnsi="Arial" w:cs="Arial"/>
        </w:rPr>
        <w:t xml:space="preserve"> the sum of the whole is worth more than each part.</w:t>
      </w:r>
    </w:p>
    <w:p w14:paraId="19E88619" w14:textId="77777777" w:rsidR="00587DF1" w:rsidRPr="00587DF1" w:rsidRDefault="00587DF1" w:rsidP="005E0D57">
      <w:pPr>
        <w:pStyle w:val="ListParagraph"/>
        <w:numPr>
          <w:ilvl w:val="0"/>
          <w:numId w:val="8"/>
        </w:numPr>
        <w:spacing w:after="0"/>
        <w:rPr>
          <w:rFonts w:ascii="Arial" w:eastAsia="Arial" w:hAnsi="Arial" w:cs="Arial"/>
        </w:rPr>
      </w:pPr>
      <w:r w:rsidRPr="00587DF1">
        <w:rPr>
          <w:rFonts w:ascii="Arial" w:eastAsia="Arial" w:hAnsi="Arial" w:cs="Arial"/>
        </w:rPr>
        <w:t>The project will produce a single shared suite of project documentation (financial model, programme plan, risk register, benefits register etc), working to a single critical path, delivered by a joint project team. Organisation-specific business cases will be produced to align with the governance requirements of each.</w:t>
      </w:r>
    </w:p>
    <w:p w14:paraId="086D19E5" w14:textId="77777777" w:rsidR="00587DF1" w:rsidRPr="00587DF1" w:rsidRDefault="00587DF1" w:rsidP="00587DF1">
      <w:pPr>
        <w:pBdr>
          <w:top w:val="nil"/>
          <w:left w:val="nil"/>
          <w:bottom w:val="nil"/>
          <w:right w:val="nil"/>
          <w:between w:val="nil"/>
        </w:pBdr>
        <w:tabs>
          <w:tab w:val="left" w:pos="567"/>
        </w:tabs>
        <w:spacing w:after="0"/>
        <w:rPr>
          <w:rFonts w:ascii="Arial" w:eastAsia="Arial" w:hAnsi="Arial" w:cs="Arial"/>
        </w:rPr>
      </w:pPr>
    </w:p>
    <w:p w14:paraId="5C870B21" w14:textId="77777777" w:rsidR="00587DF1" w:rsidRPr="00587DF1" w:rsidRDefault="00587DF1" w:rsidP="00587DF1">
      <w:pPr>
        <w:pBdr>
          <w:top w:val="nil"/>
          <w:left w:val="nil"/>
          <w:bottom w:val="nil"/>
          <w:right w:val="nil"/>
          <w:between w:val="nil"/>
        </w:pBdr>
        <w:tabs>
          <w:tab w:val="left" w:pos="567"/>
        </w:tabs>
        <w:spacing w:after="0"/>
        <w:rPr>
          <w:rFonts w:ascii="Arial" w:eastAsia="Arial" w:hAnsi="Arial" w:cs="Arial"/>
        </w:rPr>
      </w:pPr>
      <w:r w:rsidRPr="00587DF1">
        <w:rPr>
          <w:rFonts w:ascii="Arial" w:eastAsia="Arial" w:hAnsi="Arial" w:cs="Arial"/>
        </w:rPr>
        <w:t>The governance and reporting structure is set out in the figure below.</w:t>
      </w:r>
    </w:p>
    <w:p w14:paraId="43C2DFE2" w14:textId="77777777" w:rsidR="00587DF1" w:rsidRPr="00587DF1" w:rsidRDefault="00587DF1" w:rsidP="00587DF1">
      <w:pPr>
        <w:pBdr>
          <w:top w:val="nil"/>
          <w:left w:val="nil"/>
          <w:bottom w:val="nil"/>
          <w:right w:val="nil"/>
          <w:between w:val="nil"/>
        </w:pBdr>
        <w:tabs>
          <w:tab w:val="left" w:pos="567"/>
        </w:tabs>
        <w:spacing w:after="0"/>
        <w:rPr>
          <w:rFonts w:ascii="Arial" w:eastAsia="Arial" w:hAnsi="Arial" w:cs="Arial"/>
        </w:rPr>
      </w:pPr>
    </w:p>
    <w:p w14:paraId="2613B459" w14:textId="5BDA68FC" w:rsidR="00F20CC0" w:rsidRDefault="00F20CC0" w:rsidP="00F20CC0">
      <w:pPr>
        <w:pStyle w:val="Caption"/>
      </w:pPr>
      <w:r>
        <w:t xml:space="preserve">Figure </w:t>
      </w:r>
      <w:r w:rsidR="00320059">
        <w:fldChar w:fldCharType="begin"/>
      </w:r>
      <w:r w:rsidR="00320059">
        <w:instrText xml:space="preserve"> SEQ Figure \* ARABIC </w:instrText>
      </w:r>
      <w:r w:rsidR="00320059">
        <w:fldChar w:fldCharType="separate"/>
      </w:r>
      <w:r w:rsidR="00A936CD">
        <w:rPr>
          <w:noProof/>
        </w:rPr>
        <w:t>3</w:t>
      </w:r>
      <w:r w:rsidR="00320059">
        <w:fldChar w:fldCharType="end"/>
      </w:r>
      <w:r>
        <w:t xml:space="preserve">: </w:t>
      </w:r>
      <w:r w:rsidRPr="0045256E">
        <w:rPr>
          <w:b w:val="0"/>
          <w:bCs w:val="0"/>
        </w:rPr>
        <w:t>Oriel governance arrangements</w:t>
      </w:r>
    </w:p>
    <w:p w14:paraId="5CFA8C9A" w14:textId="2F2FC668" w:rsidR="00587DF1" w:rsidRPr="00587DF1" w:rsidRDefault="00BD5E2B" w:rsidP="00587DF1">
      <w:pPr>
        <w:pBdr>
          <w:top w:val="nil"/>
          <w:left w:val="nil"/>
          <w:bottom w:val="nil"/>
          <w:right w:val="nil"/>
          <w:between w:val="nil"/>
        </w:pBdr>
        <w:tabs>
          <w:tab w:val="left" w:pos="567"/>
        </w:tabs>
        <w:spacing w:after="0"/>
        <w:rPr>
          <w:rFonts w:ascii="Arial" w:eastAsia="Arial" w:hAnsi="Arial" w:cs="Arial"/>
        </w:rPr>
      </w:pPr>
      <w:r>
        <w:rPr>
          <w:noProof/>
        </w:rPr>
        <w:drawing>
          <wp:inline distT="0" distB="0" distL="0" distR="0" wp14:anchorId="56DB3EAC" wp14:editId="21F857D0">
            <wp:extent cx="6063644" cy="46177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451" t="3733"/>
                    <a:stretch/>
                  </pic:blipFill>
                  <pic:spPr bwMode="auto">
                    <a:xfrm>
                      <a:off x="0" y="0"/>
                      <a:ext cx="6070211" cy="4622721"/>
                    </a:xfrm>
                    <a:prstGeom prst="rect">
                      <a:avLst/>
                    </a:prstGeom>
                    <a:ln>
                      <a:noFill/>
                    </a:ln>
                    <a:extLst>
                      <a:ext uri="{53640926-AAD7-44D8-BBD7-CCE9431645EC}">
                        <a14:shadowObscured xmlns:a14="http://schemas.microsoft.com/office/drawing/2010/main"/>
                      </a:ext>
                    </a:extLst>
                  </pic:spPr>
                </pic:pic>
              </a:graphicData>
            </a:graphic>
          </wp:inline>
        </w:drawing>
      </w:r>
    </w:p>
    <w:p w14:paraId="12F0DAB9" w14:textId="77777777" w:rsidR="00587DF1" w:rsidRPr="00587DF1" w:rsidRDefault="00587DF1" w:rsidP="00587DF1">
      <w:pPr>
        <w:pBdr>
          <w:top w:val="nil"/>
          <w:left w:val="nil"/>
          <w:bottom w:val="nil"/>
          <w:right w:val="nil"/>
          <w:between w:val="nil"/>
        </w:pBdr>
        <w:tabs>
          <w:tab w:val="left" w:pos="567"/>
        </w:tabs>
        <w:spacing w:after="0"/>
        <w:rPr>
          <w:rFonts w:ascii="Arial" w:eastAsia="Arial" w:hAnsi="Arial" w:cs="Arial"/>
        </w:rPr>
      </w:pPr>
    </w:p>
    <w:p w14:paraId="20403812" w14:textId="77777777" w:rsidR="00587DF1" w:rsidRPr="00587DF1" w:rsidRDefault="00587DF1" w:rsidP="00587DF1">
      <w:pPr>
        <w:pBdr>
          <w:top w:val="nil"/>
          <w:left w:val="nil"/>
          <w:bottom w:val="nil"/>
          <w:right w:val="nil"/>
          <w:between w:val="nil"/>
        </w:pBdr>
        <w:tabs>
          <w:tab w:val="left" w:pos="567"/>
        </w:tabs>
        <w:spacing w:after="0"/>
        <w:rPr>
          <w:rFonts w:ascii="Arial" w:eastAsia="Arial" w:hAnsi="Arial" w:cs="Arial"/>
        </w:rPr>
      </w:pPr>
      <w:r w:rsidRPr="00587DF1">
        <w:rPr>
          <w:rFonts w:ascii="Arial" w:eastAsia="Arial" w:hAnsi="Arial" w:cs="Arial"/>
        </w:rPr>
        <w:lastRenderedPageBreak/>
        <w:t>The project has established change control processes to ensure any material changes are signed off appropriately and controlled to ensure any cost and programme implications of proposed changes are understood and mitigated. Governance arrangements have also been set up to oversee organisational change, which is required in order to achieve maximum benefit from the investment.</w:t>
      </w:r>
    </w:p>
    <w:p w14:paraId="5AB3D564" w14:textId="77777777" w:rsidR="00587DF1" w:rsidRPr="00587DF1" w:rsidRDefault="00587DF1" w:rsidP="00587DF1">
      <w:pPr>
        <w:pBdr>
          <w:top w:val="nil"/>
          <w:left w:val="nil"/>
          <w:bottom w:val="nil"/>
          <w:right w:val="nil"/>
          <w:between w:val="nil"/>
        </w:pBdr>
        <w:tabs>
          <w:tab w:val="left" w:pos="567"/>
        </w:tabs>
        <w:spacing w:after="0"/>
        <w:rPr>
          <w:rFonts w:ascii="Arial" w:eastAsia="Arial" w:hAnsi="Arial" w:cs="Arial"/>
        </w:rPr>
      </w:pPr>
    </w:p>
    <w:p w14:paraId="400E48C7" w14:textId="77777777" w:rsidR="00587DF1" w:rsidRPr="00587DF1" w:rsidRDefault="00587DF1" w:rsidP="005E0D57">
      <w:pPr>
        <w:numPr>
          <w:ilvl w:val="2"/>
          <w:numId w:val="1"/>
        </w:numPr>
        <w:pBdr>
          <w:top w:val="nil"/>
          <w:left w:val="nil"/>
          <w:bottom w:val="nil"/>
          <w:right w:val="nil"/>
          <w:between w:val="nil"/>
        </w:pBdr>
        <w:spacing w:after="0" w:line="240" w:lineRule="auto"/>
        <w:ind w:left="567" w:hanging="567"/>
        <w:jc w:val="both"/>
        <w:rPr>
          <w:rFonts w:ascii="Arial" w:eastAsia="Arial" w:hAnsi="Arial" w:cs="Arial"/>
          <w:b/>
        </w:rPr>
      </w:pPr>
      <w:r w:rsidRPr="00587DF1">
        <w:rPr>
          <w:rFonts w:ascii="Arial" w:eastAsia="Arial" w:hAnsi="Arial" w:cs="Arial"/>
          <w:b/>
        </w:rPr>
        <w:t>Programme milestones</w:t>
      </w:r>
    </w:p>
    <w:p w14:paraId="7F0ABFE6" w14:textId="77777777" w:rsidR="00587DF1" w:rsidRPr="00587DF1" w:rsidRDefault="00587DF1" w:rsidP="00587DF1">
      <w:pPr>
        <w:pBdr>
          <w:top w:val="nil"/>
          <w:left w:val="nil"/>
          <w:bottom w:val="nil"/>
          <w:right w:val="nil"/>
          <w:between w:val="nil"/>
        </w:pBdr>
        <w:tabs>
          <w:tab w:val="left" w:pos="567"/>
        </w:tabs>
        <w:spacing w:after="0"/>
        <w:rPr>
          <w:rFonts w:ascii="Arial" w:eastAsia="Arial" w:hAnsi="Arial" w:cs="Arial"/>
        </w:rPr>
      </w:pPr>
    </w:p>
    <w:p w14:paraId="5A70D0F1" w14:textId="77777777" w:rsidR="00587DF1" w:rsidRPr="00587DF1" w:rsidRDefault="00587DF1" w:rsidP="00587DF1">
      <w:pPr>
        <w:pBdr>
          <w:top w:val="nil"/>
          <w:left w:val="nil"/>
          <w:bottom w:val="nil"/>
          <w:right w:val="nil"/>
          <w:between w:val="nil"/>
        </w:pBdr>
        <w:tabs>
          <w:tab w:val="left" w:pos="567"/>
        </w:tabs>
        <w:spacing w:after="0"/>
        <w:rPr>
          <w:rFonts w:ascii="Arial" w:eastAsia="Arial" w:hAnsi="Arial" w:cs="Arial"/>
        </w:rPr>
      </w:pPr>
      <w:r w:rsidRPr="00587DF1">
        <w:rPr>
          <w:rFonts w:ascii="Arial" w:eastAsia="Arial" w:hAnsi="Arial" w:cs="Arial"/>
        </w:rPr>
        <w:t xml:space="preserve">Key milestones are shown in the </w:t>
      </w:r>
      <w:r w:rsidR="00600E4C">
        <w:rPr>
          <w:rFonts w:ascii="Arial" w:eastAsia="Arial" w:hAnsi="Arial" w:cs="Arial"/>
        </w:rPr>
        <w:t>diagram</w:t>
      </w:r>
      <w:r w:rsidRPr="00587DF1">
        <w:rPr>
          <w:rFonts w:ascii="Arial" w:eastAsia="Arial" w:hAnsi="Arial" w:cs="Arial"/>
        </w:rPr>
        <w:t xml:space="preserve"> below:</w:t>
      </w:r>
    </w:p>
    <w:p w14:paraId="3CA75985" w14:textId="6A77C9C2" w:rsidR="00F20CC0" w:rsidRDefault="00F20CC0" w:rsidP="00F20CC0">
      <w:pPr>
        <w:pStyle w:val="Caption"/>
      </w:pPr>
      <w:r>
        <w:t xml:space="preserve">Figure </w:t>
      </w:r>
      <w:r w:rsidR="00320059">
        <w:fldChar w:fldCharType="begin"/>
      </w:r>
      <w:r w:rsidR="00320059">
        <w:instrText xml:space="preserve"> SEQ Figure \* ARABIC </w:instrText>
      </w:r>
      <w:r w:rsidR="00320059">
        <w:fldChar w:fldCharType="separate"/>
      </w:r>
      <w:r w:rsidR="00A936CD">
        <w:rPr>
          <w:noProof/>
        </w:rPr>
        <w:t>4</w:t>
      </w:r>
      <w:r w:rsidR="00320059">
        <w:fldChar w:fldCharType="end"/>
      </w:r>
      <w:r>
        <w:t xml:space="preserve">: </w:t>
      </w:r>
      <w:r>
        <w:rPr>
          <w:b w:val="0"/>
          <w:bCs w:val="0"/>
        </w:rPr>
        <w:t>Oriel critical path</w:t>
      </w:r>
    </w:p>
    <w:p w14:paraId="7B2206D3" w14:textId="77777777" w:rsidR="00600E4C" w:rsidRDefault="00600E4C" w:rsidP="00600E4C">
      <w:pPr>
        <w:pBdr>
          <w:top w:val="nil"/>
          <w:left w:val="nil"/>
          <w:bottom w:val="nil"/>
          <w:right w:val="nil"/>
          <w:between w:val="nil"/>
        </w:pBdr>
        <w:tabs>
          <w:tab w:val="left" w:pos="567"/>
        </w:tabs>
        <w:spacing w:after="0"/>
        <w:ind w:left="-567"/>
        <w:rPr>
          <w:rFonts w:ascii="Arial" w:eastAsia="Arial" w:hAnsi="Arial" w:cs="Arial"/>
        </w:rPr>
      </w:pPr>
      <w:r>
        <w:rPr>
          <w:noProof/>
        </w:rPr>
        <w:drawing>
          <wp:inline distT="0" distB="0" distL="0" distR="0" wp14:anchorId="5F56849D" wp14:editId="4F4D989C">
            <wp:extent cx="6531057" cy="3535052"/>
            <wp:effectExtent l="0" t="0" r="3175" b="8255"/>
            <wp:docPr id="1483731213" name="Picture 148373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39089" cy="3539400"/>
                    </a:xfrm>
                    <a:prstGeom prst="rect">
                      <a:avLst/>
                    </a:prstGeom>
                  </pic:spPr>
                </pic:pic>
              </a:graphicData>
            </a:graphic>
          </wp:inline>
        </w:drawing>
      </w:r>
    </w:p>
    <w:p w14:paraId="636CBFBE" w14:textId="77777777" w:rsidR="00600E4C" w:rsidRDefault="00600E4C" w:rsidP="00587DF1">
      <w:pPr>
        <w:pBdr>
          <w:top w:val="nil"/>
          <w:left w:val="nil"/>
          <w:bottom w:val="nil"/>
          <w:right w:val="nil"/>
          <w:between w:val="nil"/>
        </w:pBdr>
        <w:tabs>
          <w:tab w:val="left" w:pos="567"/>
        </w:tabs>
        <w:spacing w:after="0"/>
        <w:rPr>
          <w:rFonts w:ascii="Arial" w:eastAsia="Arial" w:hAnsi="Arial" w:cs="Arial"/>
        </w:rPr>
      </w:pPr>
    </w:p>
    <w:p w14:paraId="5E04B5DC" w14:textId="77777777" w:rsidR="00587DF1" w:rsidRPr="00587DF1" w:rsidRDefault="00587DF1" w:rsidP="00587DF1">
      <w:pPr>
        <w:pBdr>
          <w:top w:val="nil"/>
          <w:left w:val="nil"/>
          <w:bottom w:val="nil"/>
          <w:right w:val="nil"/>
          <w:between w:val="nil"/>
        </w:pBdr>
        <w:tabs>
          <w:tab w:val="left" w:pos="567"/>
        </w:tabs>
        <w:spacing w:after="0"/>
        <w:rPr>
          <w:rFonts w:ascii="Arial" w:eastAsia="Arial" w:hAnsi="Arial" w:cs="Arial"/>
        </w:rPr>
      </w:pPr>
      <w:r w:rsidRPr="00587DF1">
        <w:rPr>
          <w:rFonts w:ascii="Arial" w:eastAsia="Arial" w:hAnsi="Arial" w:cs="Arial"/>
        </w:rPr>
        <w:t>The interdependencies between these and C&amp;I’s delivery programme are monitored at monthly meetings with Moorfields, C&amp;I, the Whittington and regulators.</w:t>
      </w:r>
    </w:p>
    <w:p w14:paraId="75C1B0F4" w14:textId="77777777" w:rsidR="00587DF1" w:rsidRPr="00587DF1" w:rsidRDefault="00587DF1" w:rsidP="00587DF1">
      <w:pPr>
        <w:pBdr>
          <w:top w:val="nil"/>
          <w:left w:val="nil"/>
          <w:bottom w:val="nil"/>
          <w:right w:val="nil"/>
          <w:between w:val="nil"/>
        </w:pBdr>
        <w:tabs>
          <w:tab w:val="left" w:pos="567"/>
        </w:tabs>
        <w:spacing w:after="0"/>
        <w:rPr>
          <w:rFonts w:ascii="Arial" w:eastAsia="Arial" w:hAnsi="Arial" w:cs="Arial"/>
        </w:rPr>
      </w:pPr>
    </w:p>
    <w:p w14:paraId="22AE8065" w14:textId="77777777" w:rsidR="00587DF1" w:rsidRPr="00587DF1" w:rsidRDefault="00587DF1" w:rsidP="005E0D57">
      <w:pPr>
        <w:numPr>
          <w:ilvl w:val="2"/>
          <w:numId w:val="1"/>
        </w:numPr>
        <w:pBdr>
          <w:top w:val="nil"/>
          <w:left w:val="nil"/>
          <w:bottom w:val="nil"/>
          <w:right w:val="nil"/>
          <w:between w:val="nil"/>
        </w:pBdr>
        <w:spacing w:after="0" w:line="240" w:lineRule="auto"/>
        <w:ind w:left="567" w:hanging="567"/>
        <w:jc w:val="both"/>
        <w:rPr>
          <w:rFonts w:ascii="Arial" w:eastAsia="Arial" w:hAnsi="Arial" w:cs="Arial"/>
          <w:b/>
        </w:rPr>
      </w:pPr>
      <w:r w:rsidRPr="00587DF1">
        <w:rPr>
          <w:rFonts w:ascii="Arial" w:eastAsia="Arial" w:hAnsi="Arial" w:cs="Arial"/>
          <w:b/>
        </w:rPr>
        <w:t>Benefits</w:t>
      </w:r>
    </w:p>
    <w:p w14:paraId="1B8070FE" w14:textId="77777777" w:rsidR="00587DF1" w:rsidRPr="00587DF1" w:rsidRDefault="00587DF1" w:rsidP="00587DF1">
      <w:pPr>
        <w:pBdr>
          <w:top w:val="nil"/>
          <w:left w:val="nil"/>
          <w:bottom w:val="nil"/>
          <w:right w:val="nil"/>
          <w:between w:val="nil"/>
        </w:pBdr>
        <w:tabs>
          <w:tab w:val="left" w:pos="567"/>
        </w:tabs>
        <w:spacing w:after="0"/>
        <w:rPr>
          <w:rFonts w:ascii="Arial" w:eastAsia="Arial" w:hAnsi="Arial" w:cs="Arial"/>
        </w:rPr>
      </w:pPr>
    </w:p>
    <w:p w14:paraId="297B92FF" w14:textId="4E4AB2CE" w:rsidR="007F01A5" w:rsidRPr="00587DF1" w:rsidRDefault="007F01A5" w:rsidP="007F01A5">
      <w:pPr>
        <w:spacing w:after="0"/>
        <w:rPr>
          <w:rFonts w:ascii="Arial" w:hAnsi="Arial" w:cs="Arial"/>
          <w:lang w:val="en"/>
        </w:rPr>
      </w:pPr>
      <w:r w:rsidRPr="00587DF1">
        <w:rPr>
          <w:rFonts w:ascii="Arial" w:eastAsia="Arial" w:hAnsi="Arial" w:cs="Arial"/>
        </w:rPr>
        <w:t xml:space="preserve">Oriel will deliver significant </w:t>
      </w:r>
      <w:r w:rsidRPr="00587DF1">
        <w:rPr>
          <w:rFonts w:ascii="Arial" w:eastAsia="Arial" w:hAnsi="Arial" w:cs="Arial"/>
          <w:b/>
          <w:bCs/>
        </w:rPr>
        <w:t>benefits</w:t>
      </w:r>
      <w:r w:rsidRPr="00587DF1">
        <w:rPr>
          <w:rFonts w:ascii="Arial" w:eastAsia="Arial" w:hAnsi="Arial" w:cs="Arial"/>
        </w:rPr>
        <w:t xml:space="preserve"> including enhanced patient experience, more efficient service delivery, capacity for changing demand, and integration between research, education and clinical services</w:t>
      </w:r>
      <w:r w:rsidRPr="00587DF1">
        <w:rPr>
          <w:rFonts w:ascii="Arial" w:hAnsi="Arial" w:cs="Arial"/>
          <w:lang w:val="en"/>
        </w:rPr>
        <w:t xml:space="preserve">. Critically, Oriel will </w:t>
      </w:r>
      <w:r w:rsidR="004040D3">
        <w:rPr>
          <w:rFonts w:ascii="Arial" w:hAnsi="Arial" w:cs="Arial"/>
          <w:lang w:val="en"/>
        </w:rPr>
        <w:t>enable</w:t>
      </w:r>
      <w:r w:rsidRPr="00587DF1">
        <w:rPr>
          <w:rFonts w:ascii="Arial" w:hAnsi="Arial" w:cs="Arial"/>
          <w:lang w:val="en"/>
        </w:rPr>
        <w:t xml:space="preserve"> Moorfields to </w:t>
      </w:r>
      <w:r w:rsidR="004040D3">
        <w:rPr>
          <w:rFonts w:ascii="Arial" w:hAnsi="Arial" w:cs="Arial"/>
          <w:lang w:val="en"/>
        </w:rPr>
        <w:t xml:space="preserve">remain at </w:t>
      </w:r>
      <w:r w:rsidRPr="00587DF1">
        <w:rPr>
          <w:rFonts w:ascii="Arial" w:hAnsi="Arial" w:cs="Arial"/>
          <w:lang w:val="en"/>
        </w:rPr>
        <w:t>the very forefront of service delivery and clinical research, lead</w:t>
      </w:r>
      <w:r w:rsidR="004040D3">
        <w:rPr>
          <w:rFonts w:ascii="Arial" w:hAnsi="Arial" w:cs="Arial"/>
          <w:lang w:val="en"/>
        </w:rPr>
        <w:t>ing the way</w:t>
      </w:r>
      <w:r w:rsidRPr="00587DF1">
        <w:rPr>
          <w:rFonts w:ascii="Arial" w:hAnsi="Arial" w:cs="Arial"/>
          <w:lang w:val="en"/>
        </w:rPr>
        <w:t xml:space="preserve"> in developing new treatments and technologies for the benefit of the NHS and beyond, as well as flex</w:t>
      </w:r>
      <w:r w:rsidR="004040D3">
        <w:rPr>
          <w:rFonts w:ascii="Arial" w:hAnsi="Arial" w:cs="Arial"/>
          <w:lang w:val="en"/>
        </w:rPr>
        <w:t>ing</w:t>
      </w:r>
      <w:r w:rsidRPr="00587DF1">
        <w:rPr>
          <w:rFonts w:ascii="Arial" w:hAnsi="Arial" w:cs="Arial"/>
          <w:lang w:val="en"/>
        </w:rPr>
        <w:t xml:space="preserve"> to respond to a changing clinical landscape.</w:t>
      </w:r>
    </w:p>
    <w:p w14:paraId="04C3087F" w14:textId="77777777" w:rsidR="00587DF1" w:rsidRPr="00587DF1" w:rsidRDefault="00587DF1" w:rsidP="00587DF1">
      <w:pPr>
        <w:tabs>
          <w:tab w:val="left" w:pos="6120"/>
        </w:tabs>
        <w:spacing w:after="0"/>
        <w:rPr>
          <w:rFonts w:ascii="Arial" w:eastAsia="Arial" w:hAnsi="Arial" w:cs="Arial"/>
        </w:rPr>
      </w:pPr>
      <w:r w:rsidRPr="00587DF1">
        <w:rPr>
          <w:rFonts w:ascii="Arial" w:eastAsia="Arial" w:hAnsi="Arial" w:cs="Arial"/>
        </w:rPr>
        <w:tab/>
      </w:r>
    </w:p>
    <w:p w14:paraId="4929AB08" w14:textId="71A4C85A" w:rsidR="00587DF1" w:rsidRPr="00587DF1" w:rsidRDefault="00587DF1" w:rsidP="00587DF1">
      <w:pPr>
        <w:spacing w:after="0"/>
        <w:rPr>
          <w:rFonts w:ascii="Arial" w:eastAsia="Arial" w:hAnsi="Arial" w:cs="Arial"/>
        </w:rPr>
      </w:pPr>
      <w:r w:rsidRPr="00587DF1">
        <w:rPr>
          <w:rFonts w:ascii="Arial" w:eastAsia="Arial" w:hAnsi="Arial" w:cs="Arial"/>
        </w:rPr>
        <w:t xml:space="preserve">The benefits realisation plan is included in Appendix </w:t>
      </w:r>
      <w:r w:rsidR="0004407D">
        <w:rPr>
          <w:rFonts w:ascii="Arial" w:eastAsia="Arial" w:hAnsi="Arial" w:cs="Arial"/>
        </w:rPr>
        <w:t>8A</w:t>
      </w:r>
      <w:r w:rsidRPr="00587DF1">
        <w:rPr>
          <w:rFonts w:ascii="Arial" w:eastAsia="Arial" w:hAnsi="Arial" w:cs="Arial"/>
        </w:rPr>
        <w:t xml:space="preserve"> which sets out how each benefit will be measured. These have been identified through a benefits mapping exercise involving key clinical and non-clinical staff, and reflect the benefits quantified in the Economic Case where </w:t>
      </w:r>
      <w:r w:rsidRPr="00587DF1">
        <w:rPr>
          <w:rFonts w:ascii="Arial" w:eastAsia="Arial" w:hAnsi="Arial" w:cs="Arial"/>
        </w:rPr>
        <w:lastRenderedPageBreak/>
        <w:t>possible. Most benefits have baseline and target data (which will be further developed for FBC), with a responsible owner identified. These individuals will be responsible for ensuring benefits are achieved. Progress will be monitored by the Oriel Executive Board, which will take appropriate corrective action should delivery be threatened.</w:t>
      </w:r>
    </w:p>
    <w:p w14:paraId="5E9322E7" w14:textId="77777777" w:rsidR="00587DF1" w:rsidRPr="00587DF1" w:rsidRDefault="00587DF1" w:rsidP="00587DF1">
      <w:pPr>
        <w:pBdr>
          <w:top w:val="nil"/>
          <w:left w:val="nil"/>
          <w:bottom w:val="nil"/>
          <w:right w:val="nil"/>
          <w:between w:val="nil"/>
        </w:pBdr>
        <w:tabs>
          <w:tab w:val="left" w:pos="567"/>
        </w:tabs>
        <w:spacing w:after="0"/>
        <w:rPr>
          <w:rFonts w:ascii="Arial" w:eastAsia="Arial" w:hAnsi="Arial" w:cs="Arial"/>
        </w:rPr>
      </w:pPr>
    </w:p>
    <w:p w14:paraId="4DAEDF52" w14:textId="77777777" w:rsidR="00587DF1" w:rsidRPr="00587DF1" w:rsidRDefault="00587DF1" w:rsidP="005E0D57">
      <w:pPr>
        <w:numPr>
          <w:ilvl w:val="2"/>
          <w:numId w:val="1"/>
        </w:numPr>
        <w:pBdr>
          <w:top w:val="nil"/>
          <w:left w:val="nil"/>
          <w:bottom w:val="nil"/>
          <w:right w:val="nil"/>
          <w:between w:val="nil"/>
        </w:pBdr>
        <w:spacing w:after="0" w:line="240" w:lineRule="auto"/>
        <w:ind w:left="567" w:hanging="567"/>
        <w:jc w:val="both"/>
        <w:rPr>
          <w:rFonts w:ascii="Arial" w:eastAsia="Arial" w:hAnsi="Arial" w:cs="Arial"/>
          <w:b/>
        </w:rPr>
      </w:pPr>
      <w:r w:rsidRPr="00587DF1">
        <w:rPr>
          <w:rFonts w:ascii="Arial" w:eastAsia="Arial" w:hAnsi="Arial" w:cs="Arial"/>
          <w:b/>
        </w:rPr>
        <w:t>Risk management</w:t>
      </w:r>
    </w:p>
    <w:p w14:paraId="48BA19BD" w14:textId="77777777" w:rsidR="00587DF1" w:rsidRPr="00587DF1" w:rsidRDefault="00587DF1" w:rsidP="00587DF1">
      <w:pPr>
        <w:pBdr>
          <w:top w:val="nil"/>
          <w:left w:val="nil"/>
          <w:bottom w:val="nil"/>
          <w:right w:val="nil"/>
          <w:between w:val="nil"/>
        </w:pBdr>
        <w:tabs>
          <w:tab w:val="left" w:pos="567"/>
        </w:tabs>
        <w:spacing w:after="0"/>
        <w:rPr>
          <w:rFonts w:ascii="Arial" w:eastAsia="Arial" w:hAnsi="Arial" w:cs="Arial"/>
        </w:rPr>
      </w:pPr>
    </w:p>
    <w:p w14:paraId="267A5668" w14:textId="6D4E0031" w:rsidR="00587DF1" w:rsidRDefault="00587DF1" w:rsidP="00587DF1">
      <w:pPr>
        <w:spacing w:after="0"/>
        <w:rPr>
          <w:rFonts w:ascii="Arial" w:eastAsia="Arial" w:hAnsi="Arial" w:cs="Arial"/>
        </w:rPr>
      </w:pPr>
      <w:r w:rsidRPr="00587DF1">
        <w:rPr>
          <w:rFonts w:ascii="Arial" w:eastAsia="Arial" w:hAnsi="Arial" w:cs="Arial"/>
        </w:rPr>
        <w:t>The project risk register is a live document in which risks are logged, scored based on their probability of occurring and their likely impact, and assigned a responsible owner and mitigating actions.  The risks are reviewed regularly to ensure that all reasonabl</w:t>
      </w:r>
      <w:r w:rsidR="0003510F">
        <w:rPr>
          <w:rFonts w:ascii="Arial" w:eastAsia="Arial" w:hAnsi="Arial" w:cs="Arial"/>
        </w:rPr>
        <w:t>e</w:t>
      </w:r>
      <w:r w:rsidRPr="00587DF1">
        <w:rPr>
          <w:rFonts w:ascii="Arial" w:eastAsia="Arial" w:hAnsi="Arial" w:cs="Arial"/>
        </w:rPr>
        <w:t xml:space="preserve"> measures have been taken to mitigate them. The</w:t>
      </w:r>
      <w:r w:rsidR="0003510F">
        <w:rPr>
          <w:rFonts w:ascii="Arial" w:eastAsia="Arial" w:hAnsi="Arial" w:cs="Arial"/>
        </w:rPr>
        <w:t xml:space="preserve"> current</w:t>
      </w:r>
      <w:r w:rsidRPr="00587DF1">
        <w:rPr>
          <w:rFonts w:ascii="Arial" w:eastAsia="Arial" w:hAnsi="Arial" w:cs="Arial"/>
        </w:rPr>
        <w:t xml:space="preserve"> top risks </w:t>
      </w:r>
      <w:r w:rsidR="0003510F">
        <w:rPr>
          <w:rFonts w:ascii="Arial" w:eastAsia="Arial" w:hAnsi="Arial" w:cs="Arial"/>
        </w:rPr>
        <w:t xml:space="preserve">to Oriel </w:t>
      </w:r>
      <w:r w:rsidRPr="00587DF1">
        <w:rPr>
          <w:rFonts w:ascii="Arial" w:eastAsia="Arial" w:hAnsi="Arial" w:cs="Arial"/>
        </w:rPr>
        <w:t>are shown below.</w:t>
      </w:r>
      <w:r w:rsidR="00623BDC">
        <w:rPr>
          <w:rFonts w:ascii="Arial" w:eastAsia="Arial" w:hAnsi="Arial" w:cs="Arial"/>
        </w:rPr>
        <w:t xml:space="preserve"> The full risk register is included at Appendix </w:t>
      </w:r>
      <w:r w:rsidR="0004407D">
        <w:rPr>
          <w:rFonts w:ascii="Arial" w:eastAsia="Arial" w:hAnsi="Arial" w:cs="Arial"/>
        </w:rPr>
        <w:t>8B</w:t>
      </w:r>
      <w:r w:rsidR="00623BDC">
        <w:rPr>
          <w:rFonts w:ascii="Arial" w:eastAsia="Arial" w:hAnsi="Arial" w:cs="Arial"/>
        </w:rPr>
        <w:t>.</w:t>
      </w:r>
    </w:p>
    <w:p w14:paraId="26535EE1" w14:textId="676BB135" w:rsidR="00623BDC" w:rsidRDefault="00623BDC" w:rsidP="00587DF1">
      <w:pPr>
        <w:spacing w:after="0"/>
        <w:rPr>
          <w:rFonts w:ascii="Arial" w:eastAsia="Arial" w:hAnsi="Arial" w:cs="Arial"/>
        </w:rPr>
      </w:pPr>
    </w:p>
    <w:p w14:paraId="5FB58072" w14:textId="3BFBA600" w:rsidR="00623BDC" w:rsidRDefault="00623BDC" w:rsidP="00623BDC">
      <w:pPr>
        <w:pStyle w:val="Caption"/>
        <w:spacing w:before="0"/>
      </w:pPr>
      <w:r>
        <w:t xml:space="preserve">Table </w:t>
      </w:r>
      <w:r>
        <w:fldChar w:fldCharType="begin"/>
      </w:r>
      <w:r>
        <w:instrText xml:space="preserve"> SEQ Table \* ARABIC </w:instrText>
      </w:r>
      <w:r>
        <w:fldChar w:fldCharType="separate"/>
      </w:r>
      <w:r w:rsidR="00A936CD">
        <w:rPr>
          <w:noProof/>
        </w:rPr>
        <w:t>3</w:t>
      </w:r>
      <w:r>
        <w:fldChar w:fldCharType="end"/>
      </w:r>
      <w:r>
        <w:t>:</w:t>
      </w:r>
      <w:r>
        <w:rPr>
          <w:b w:val="0"/>
          <w:bCs w:val="0"/>
        </w:rPr>
        <w:t xml:space="preserve"> Oriel top risks</w:t>
      </w:r>
    </w:p>
    <w:tbl>
      <w:tblPr>
        <w:tblW w:w="9509" w:type="dxa"/>
        <w:tblCellMar>
          <w:left w:w="0" w:type="dxa"/>
          <w:right w:w="0" w:type="dxa"/>
        </w:tblCellMar>
        <w:tblLook w:val="0600" w:firstRow="0" w:lastRow="0" w:firstColumn="0" w:lastColumn="0" w:noHBand="1" w:noVBand="1"/>
      </w:tblPr>
      <w:tblGrid>
        <w:gridCol w:w="1853"/>
        <w:gridCol w:w="2127"/>
        <w:gridCol w:w="4253"/>
        <w:gridCol w:w="1276"/>
      </w:tblGrid>
      <w:tr w:rsidR="00623BDC" w:rsidRPr="00623BDC" w14:paraId="06E4915E" w14:textId="77777777" w:rsidTr="00E5260B">
        <w:trPr>
          <w:trHeight w:val="445"/>
        </w:trPr>
        <w:tc>
          <w:tcPr>
            <w:tcW w:w="1853" w:type="dxa"/>
            <w:tcBorders>
              <w:top w:val="single" w:sz="8" w:space="0" w:color="000000"/>
              <w:left w:val="single" w:sz="8" w:space="0" w:color="000000"/>
              <w:bottom w:val="single" w:sz="8" w:space="0" w:color="000000"/>
              <w:right w:val="single" w:sz="8" w:space="0" w:color="000000"/>
            </w:tcBorders>
            <w:shd w:val="clear" w:color="auto" w:fill="FFFFFF"/>
            <w:tcMar>
              <w:top w:w="3" w:type="dxa"/>
              <w:left w:w="3" w:type="dxa"/>
              <w:bottom w:w="0" w:type="dxa"/>
              <w:right w:w="3" w:type="dxa"/>
            </w:tcMar>
            <w:hideMark/>
          </w:tcPr>
          <w:p w14:paraId="1B8FF6FF" w14:textId="676BB135" w:rsidR="00623BDC" w:rsidRPr="00623BDC" w:rsidRDefault="00623BDC" w:rsidP="00623BDC">
            <w:pPr>
              <w:spacing w:after="0"/>
              <w:ind w:left="155"/>
              <w:rPr>
                <w:rFonts w:ascii="Arial" w:eastAsia="Arial" w:hAnsi="Arial" w:cs="Arial"/>
              </w:rPr>
            </w:pPr>
            <w:r w:rsidRPr="00623BDC">
              <w:rPr>
                <w:rFonts w:ascii="Arial" w:eastAsia="Arial" w:hAnsi="Arial" w:cs="Arial"/>
                <w:b/>
                <w:bCs/>
              </w:rPr>
              <w:t>Risk</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3" w:type="dxa"/>
              <w:left w:w="3" w:type="dxa"/>
              <w:bottom w:w="0" w:type="dxa"/>
              <w:right w:w="3" w:type="dxa"/>
            </w:tcMar>
            <w:hideMark/>
          </w:tcPr>
          <w:p w14:paraId="7D035BD1" w14:textId="77777777" w:rsidR="00623BDC" w:rsidRPr="00623BDC" w:rsidRDefault="00623BDC" w:rsidP="00623BDC">
            <w:pPr>
              <w:spacing w:after="0"/>
              <w:ind w:left="145"/>
              <w:rPr>
                <w:rFonts w:ascii="Arial" w:eastAsia="Arial" w:hAnsi="Arial" w:cs="Arial"/>
              </w:rPr>
            </w:pPr>
            <w:r w:rsidRPr="00623BDC">
              <w:rPr>
                <w:rFonts w:ascii="Arial" w:eastAsia="Arial" w:hAnsi="Arial" w:cs="Arial"/>
                <w:b/>
                <w:bCs/>
              </w:rPr>
              <w:t>Potential impact</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3" w:type="dxa"/>
              <w:left w:w="3" w:type="dxa"/>
              <w:bottom w:w="0" w:type="dxa"/>
              <w:right w:w="3" w:type="dxa"/>
            </w:tcMar>
            <w:hideMark/>
          </w:tcPr>
          <w:p w14:paraId="04E65033" w14:textId="77777777" w:rsidR="00623BDC" w:rsidRPr="00623BDC" w:rsidRDefault="00623BDC" w:rsidP="00623BDC">
            <w:pPr>
              <w:spacing w:after="0"/>
              <w:ind w:left="146"/>
              <w:rPr>
                <w:rFonts w:ascii="Arial" w:eastAsia="Arial" w:hAnsi="Arial" w:cs="Arial"/>
              </w:rPr>
            </w:pPr>
            <w:r w:rsidRPr="00623BDC">
              <w:rPr>
                <w:rFonts w:ascii="Arial" w:eastAsia="Arial" w:hAnsi="Arial" w:cs="Arial"/>
                <w:b/>
                <w:bCs/>
              </w:rPr>
              <w:t>Mitigation</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3" w:type="dxa"/>
              <w:left w:w="3" w:type="dxa"/>
              <w:bottom w:w="0" w:type="dxa"/>
              <w:right w:w="3" w:type="dxa"/>
            </w:tcMar>
            <w:hideMark/>
          </w:tcPr>
          <w:p w14:paraId="129F5DF7" w14:textId="6DA1E035" w:rsidR="00623BDC" w:rsidRPr="00623BDC" w:rsidRDefault="00623BDC" w:rsidP="00623BDC">
            <w:pPr>
              <w:spacing w:after="0"/>
              <w:ind w:left="146"/>
              <w:rPr>
                <w:rFonts w:ascii="Arial" w:eastAsia="Arial" w:hAnsi="Arial" w:cs="Arial"/>
              </w:rPr>
            </w:pPr>
            <w:r w:rsidRPr="00623BDC">
              <w:rPr>
                <w:rFonts w:ascii="Arial" w:eastAsia="Arial" w:hAnsi="Arial" w:cs="Arial"/>
                <w:b/>
                <w:bCs/>
              </w:rPr>
              <w:t>Post-mitigation score</w:t>
            </w:r>
          </w:p>
        </w:tc>
      </w:tr>
      <w:tr w:rsidR="00623BDC" w:rsidRPr="00623BDC" w14:paraId="716780CA" w14:textId="77777777" w:rsidTr="00E5260B">
        <w:trPr>
          <w:trHeight w:val="1176"/>
        </w:trPr>
        <w:tc>
          <w:tcPr>
            <w:tcW w:w="185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hideMark/>
          </w:tcPr>
          <w:p w14:paraId="09A98550" w14:textId="77777777" w:rsidR="00623BDC" w:rsidRPr="00623BDC" w:rsidRDefault="00623BDC" w:rsidP="00623BDC">
            <w:pPr>
              <w:spacing w:after="0"/>
              <w:ind w:left="155"/>
              <w:rPr>
                <w:rFonts w:ascii="Arial" w:eastAsia="Arial" w:hAnsi="Arial" w:cs="Arial"/>
              </w:rPr>
            </w:pPr>
            <w:r w:rsidRPr="00623BDC">
              <w:rPr>
                <w:rFonts w:ascii="Arial" w:eastAsia="Arial" w:hAnsi="Arial" w:cs="Arial"/>
              </w:rPr>
              <w:t>Delay of Vacant possession at St Pancras by C&amp;I</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hideMark/>
          </w:tcPr>
          <w:p w14:paraId="476C1073" w14:textId="77777777" w:rsidR="00623BDC" w:rsidRPr="00623BDC" w:rsidRDefault="00623BDC" w:rsidP="00623BDC">
            <w:pPr>
              <w:spacing w:after="0"/>
              <w:ind w:left="145"/>
              <w:rPr>
                <w:rFonts w:ascii="Arial" w:eastAsia="Arial" w:hAnsi="Arial" w:cs="Arial"/>
              </w:rPr>
            </w:pPr>
            <w:r w:rsidRPr="00623BDC">
              <w:rPr>
                <w:rFonts w:ascii="Arial" w:eastAsia="Arial" w:hAnsi="Arial" w:cs="Arial"/>
              </w:rPr>
              <w:t>Programme delay and increased inflation costs.</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hideMark/>
          </w:tcPr>
          <w:p w14:paraId="03AA55E2" w14:textId="77777777" w:rsidR="00623BDC" w:rsidRDefault="00623BDC" w:rsidP="004F4B79">
            <w:pPr>
              <w:pStyle w:val="ListParagraph"/>
              <w:numPr>
                <w:ilvl w:val="0"/>
                <w:numId w:val="153"/>
              </w:numPr>
              <w:spacing w:after="0"/>
              <w:rPr>
                <w:rFonts w:ascii="Arial" w:eastAsia="Arial" w:hAnsi="Arial" w:cs="Arial"/>
              </w:rPr>
            </w:pPr>
            <w:r w:rsidRPr="00623BDC">
              <w:rPr>
                <w:rFonts w:ascii="Arial" w:eastAsia="Arial" w:hAnsi="Arial" w:cs="Arial"/>
              </w:rPr>
              <w:t>Negotiations ongoing with C&amp;I to achieve VP.</w:t>
            </w:r>
          </w:p>
          <w:p w14:paraId="6B098135" w14:textId="77777777" w:rsidR="00623BDC" w:rsidRDefault="00623BDC" w:rsidP="004F4B79">
            <w:pPr>
              <w:pStyle w:val="ListParagraph"/>
              <w:numPr>
                <w:ilvl w:val="0"/>
                <w:numId w:val="153"/>
              </w:numPr>
              <w:spacing w:after="0"/>
              <w:rPr>
                <w:rFonts w:ascii="Arial" w:eastAsia="Arial" w:hAnsi="Arial" w:cs="Arial"/>
              </w:rPr>
            </w:pPr>
            <w:r w:rsidRPr="00623BDC">
              <w:rPr>
                <w:rFonts w:ascii="Arial" w:eastAsia="Arial" w:hAnsi="Arial" w:cs="Arial"/>
              </w:rPr>
              <w:t>Chief partners meeting monitors overall programme.</w:t>
            </w:r>
          </w:p>
          <w:p w14:paraId="3776F478" w14:textId="73504F92" w:rsidR="00623BDC" w:rsidRPr="00623BDC" w:rsidRDefault="00623BDC" w:rsidP="004F4B79">
            <w:pPr>
              <w:pStyle w:val="ListParagraph"/>
              <w:numPr>
                <w:ilvl w:val="0"/>
                <w:numId w:val="153"/>
              </w:numPr>
              <w:spacing w:after="0"/>
              <w:rPr>
                <w:rFonts w:ascii="Arial" w:eastAsia="Arial" w:hAnsi="Arial" w:cs="Arial"/>
              </w:rPr>
            </w:pPr>
            <w:r w:rsidRPr="00623BDC">
              <w:rPr>
                <w:rFonts w:ascii="Arial" w:eastAsia="Arial" w:hAnsi="Arial" w:cs="Arial"/>
              </w:rPr>
              <w:t>Construction programme rescheduling</w:t>
            </w:r>
          </w:p>
        </w:tc>
        <w:tc>
          <w:tcPr>
            <w:tcW w:w="1276" w:type="dxa"/>
            <w:tcBorders>
              <w:top w:val="single" w:sz="8" w:space="0" w:color="000000"/>
              <w:left w:val="single" w:sz="8" w:space="0" w:color="000000"/>
              <w:bottom w:val="single" w:sz="8" w:space="0" w:color="000000"/>
              <w:right w:val="single" w:sz="8" w:space="0" w:color="000000"/>
            </w:tcBorders>
            <w:shd w:val="clear" w:color="auto" w:fill="FF0000"/>
            <w:tcMar>
              <w:top w:w="3" w:type="dxa"/>
              <w:left w:w="3" w:type="dxa"/>
              <w:bottom w:w="0" w:type="dxa"/>
              <w:right w:w="3" w:type="dxa"/>
            </w:tcMar>
            <w:hideMark/>
          </w:tcPr>
          <w:p w14:paraId="698D6BA5" w14:textId="77777777" w:rsidR="00623BDC" w:rsidRPr="00623BDC" w:rsidRDefault="00623BDC" w:rsidP="00623BDC">
            <w:pPr>
              <w:spacing w:after="0"/>
              <w:ind w:left="146"/>
              <w:jc w:val="center"/>
              <w:rPr>
                <w:rFonts w:ascii="Arial" w:eastAsia="Arial" w:hAnsi="Arial" w:cs="Arial"/>
              </w:rPr>
            </w:pPr>
            <w:r w:rsidRPr="00623BDC">
              <w:rPr>
                <w:rFonts w:ascii="Arial" w:eastAsia="Arial" w:hAnsi="Arial" w:cs="Arial"/>
              </w:rPr>
              <w:t>16</w:t>
            </w:r>
          </w:p>
        </w:tc>
      </w:tr>
      <w:tr w:rsidR="00623BDC" w:rsidRPr="00623BDC" w14:paraId="3CE0F208" w14:textId="77777777" w:rsidTr="00E5260B">
        <w:trPr>
          <w:trHeight w:val="1176"/>
        </w:trPr>
        <w:tc>
          <w:tcPr>
            <w:tcW w:w="185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hideMark/>
          </w:tcPr>
          <w:p w14:paraId="2AC4BC25" w14:textId="77777777" w:rsidR="00623BDC" w:rsidRPr="00623BDC" w:rsidRDefault="00623BDC" w:rsidP="00623BDC">
            <w:pPr>
              <w:spacing w:after="0"/>
              <w:ind w:left="155"/>
              <w:rPr>
                <w:rFonts w:ascii="Arial" w:eastAsia="Arial" w:hAnsi="Arial" w:cs="Arial"/>
              </w:rPr>
            </w:pPr>
            <w:r w:rsidRPr="00623BDC">
              <w:rPr>
                <w:rFonts w:ascii="Arial" w:eastAsia="Arial" w:hAnsi="Arial" w:cs="Arial"/>
              </w:rPr>
              <w:t>Bids on City Road site not in line with site valuations</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hideMark/>
          </w:tcPr>
          <w:p w14:paraId="5872AD88" w14:textId="77777777" w:rsidR="00623BDC" w:rsidRPr="00623BDC" w:rsidRDefault="00623BDC" w:rsidP="00623BDC">
            <w:pPr>
              <w:spacing w:after="0"/>
              <w:ind w:left="145"/>
              <w:rPr>
                <w:rFonts w:ascii="Arial" w:eastAsia="Arial" w:hAnsi="Arial" w:cs="Arial"/>
              </w:rPr>
            </w:pPr>
            <w:r w:rsidRPr="00623BDC">
              <w:rPr>
                <w:rFonts w:ascii="Arial" w:eastAsia="Arial" w:hAnsi="Arial" w:cs="Arial"/>
              </w:rPr>
              <w:t xml:space="preserve">Project cannot meet its capital funding requirements. </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hideMark/>
          </w:tcPr>
          <w:p w14:paraId="42782F4B" w14:textId="77777777" w:rsidR="00623BDC" w:rsidRPr="00623BDC" w:rsidRDefault="00623BDC" w:rsidP="004F4B79">
            <w:pPr>
              <w:pStyle w:val="ListParagraph"/>
              <w:numPr>
                <w:ilvl w:val="0"/>
                <w:numId w:val="154"/>
              </w:numPr>
              <w:spacing w:after="0"/>
              <w:rPr>
                <w:rFonts w:ascii="Arial" w:eastAsia="Arial" w:hAnsi="Arial" w:cs="Arial"/>
              </w:rPr>
            </w:pPr>
            <w:r w:rsidRPr="00623BDC">
              <w:rPr>
                <w:rFonts w:ascii="Arial" w:eastAsia="Arial" w:hAnsi="Arial" w:cs="Arial"/>
              </w:rPr>
              <w:t xml:space="preserve">Pursued disposal as joint approach to maximise marriage value. </w:t>
            </w:r>
            <w:r w:rsidRPr="00623BDC">
              <w:rPr>
                <w:rFonts w:ascii="Arial" w:eastAsia="Arial" w:hAnsi="Arial" w:cs="Arial"/>
              </w:rPr>
              <w:br/>
              <w:t>Sensitivity analysis modelled.</w:t>
            </w:r>
          </w:p>
          <w:p w14:paraId="17BB37E0" w14:textId="77777777" w:rsidR="00623BDC" w:rsidRPr="00623BDC" w:rsidRDefault="00623BDC" w:rsidP="004F4B79">
            <w:pPr>
              <w:pStyle w:val="ListParagraph"/>
              <w:numPr>
                <w:ilvl w:val="0"/>
                <w:numId w:val="154"/>
              </w:numPr>
              <w:spacing w:after="0"/>
              <w:rPr>
                <w:rFonts w:ascii="Arial" w:eastAsia="Arial" w:hAnsi="Arial" w:cs="Arial"/>
              </w:rPr>
            </w:pPr>
            <w:r w:rsidRPr="00623BDC">
              <w:rPr>
                <w:rFonts w:ascii="Arial" w:eastAsia="Arial" w:hAnsi="Arial" w:cs="Arial"/>
              </w:rPr>
              <w:t xml:space="preserve">Ongoing engagement with town planners and property market. </w:t>
            </w:r>
          </w:p>
        </w:tc>
        <w:tc>
          <w:tcPr>
            <w:tcW w:w="1276" w:type="dxa"/>
            <w:tcBorders>
              <w:top w:val="single" w:sz="8" w:space="0" w:color="000000"/>
              <w:left w:val="single" w:sz="8" w:space="0" w:color="000000"/>
              <w:bottom w:val="single" w:sz="8" w:space="0" w:color="000000"/>
              <w:right w:val="single" w:sz="8" w:space="0" w:color="000000"/>
            </w:tcBorders>
            <w:shd w:val="clear" w:color="auto" w:fill="FFC000"/>
            <w:tcMar>
              <w:top w:w="3" w:type="dxa"/>
              <w:left w:w="3" w:type="dxa"/>
              <w:bottom w:w="0" w:type="dxa"/>
              <w:right w:w="3" w:type="dxa"/>
            </w:tcMar>
            <w:hideMark/>
          </w:tcPr>
          <w:p w14:paraId="045B47DF" w14:textId="77777777" w:rsidR="00623BDC" w:rsidRPr="00623BDC" w:rsidRDefault="00623BDC" w:rsidP="00623BDC">
            <w:pPr>
              <w:spacing w:after="0"/>
              <w:ind w:left="146"/>
              <w:jc w:val="center"/>
              <w:rPr>
                <w:rFonts w:ascii="Arial" w:eastAsia="Arial" w:hAnsi="Arial" w:cs="Arial"/>
              </w:rPr>
            </w:pPr>
            <w:r w:rsidRPr="00623BDC">
              <w:rPr>
                <w:rFonts w:ascii="Arial" w:eastAsia="Arial" w:hAnsi="Arial" w:cs="Arial"/>
              </w:rPr>
              <w:t>15</w:t>
            </w:r>
          </w:p>
        </w:tc>
      </w:tr>
      <w:tr w:rsidR="00623BDC" w:rsidRPr="00623BDC" w14:paraId="713AE1EB" w14:textId="77777777" w:rsidTr="00E5260B">
        <w:trPr>
          <w:trHeight w:val="784"/>
        </w:trPr>
        <w:tc>
          <w:tcPr>
            <w:tcW w:w="185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hideMark/>
          </w:tcPr>
          <w:p w14:paraId="1CB1E357" w14:textId="77777777" w:rsidR="00623BDC" w:rsidRPr="00623BDC" w:rsidRDefault="00623BDC" w:rsidP="00623BDC">
            <w:pPr>
              <w:spacing w:after="0"/>
              <w:ind w:left="155"/>
              <w:rPr>
                <w:rFonts w:ascii="Arial" w:eastAsia="Arial" w:hAnsi="Arial" w:cs="Arial"/>
              </w:rPr>
            </w:pPr>
            <w:r w:rsidRPr="00623BDC">
              <w:rPr>
                <w:rFonts w:ascii="Arial" w:eastAsia="Arial" w:hAnsi="Arial" w:cs="Arial"/>
              </w:rPr>
              <w:t>RPIF funding cannot be drawn down by deadline</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hideMark/>
          </w:tcPr>
          <w:p w14:paraId="6F6B508D" w14:textId="77777777" w:rsidR="00623BDC" w:rsidRPr="00623BDC" w:rsidRDefault="00623BDC" w:rsidP="00623BDC">
            <w:pPr>
              <w:spacing w:after="0"/>
              <w:ind w:left="145"/>
              <w:rPr>
                <w:rFonts w:ascii="Arial" w:eastAsia="Arial" w:hAnsi="Arial" w:cs="Arial"/>
              </w:rPr>
            </w:pPr>
            <w:r w:rsidRPr="00623BDC">
              <w:rPr>
                <w:rFonts w:ascii="Arial" w:eastAsia="Arial" w:hAnsi="Arial" w:cs="Arial"/>
              </w:rPr>
              <w:t xml:space="preserve">Project unable to meet its capital funding requirements. </w:t>
            </w:r>
            <w:r w:rsidRPr="00623BDC">
              <w:rPr>
                <w:rFonts w:ascii="Arial" w:eastAsia="Arial" w:hAnsi="Arial" w:cs="Arial"/>
              </w:rPr>
              <w:br/>
              <w:t>Reputational impact</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hideMark/>
          </w:tcPr>
          <w:p w14:paraId="02FE2A29" w14:textId="77777777" w:rsidR="00623BDC" w:rsidRPr="00623BDC" w:rsidRDefault="00623BDC" w:rsidP="004F4B79">
            <w:pPr>
              <w:pStyle w:val="ListParagraph"/>
              <w:numPr>
                <w:ilvl w:val="0"/>
                <w:numId w:val="155"/>
              </w:numPr>
              <w:spacing w:after="0"/>
              <w:rPr>
                <w:rFonts w:ascii="Arial" w:eastAsia="Arial" w:hAnsi="Arial" w:cs="Arial"/>
              </w:rPr>
            </w:pPr>
            <w:r w:rsidRPr="00623BDC">
              <w:rPr>
                <w:rFonts w:ascii="Arial" w:eastAsia="Arial" w:hAnsi="Arial" w:cs="Arial"/>
              </w:rPr>
              <w:t>Programme aligns with RPIF dates.</w:t>
            </w:r>
          </w:p>
          <w:p w14:paraId="6BA420F6" w14:textId="77777777" w:rsidR="00623BDC" w:rsidRPr="00623BDC" w:rsidRDefault="00623BDC" w:rsidP="004F4B79">
            <w:pPr>
              <w:pStyle w:val="ListParagraph"/>
              <w:numPr>
                <w:ilvl w:val="0"/>
                <w:numId w:val="155"/>
              </w:numPr>
              <w:spacing w:after="0"/>
              <w:rPr>
                <w:rFonts w:ascii="Arial" w:eastAsia="Arial" w:hAnsi="Arial" w:cs="Arial"/>
              </w:rPr>
            </w:pPr>
            <w:r w:rsidRPr="00623BDC">
              <w:rPr>
                <w:rFonts w:ascii="Arial" w:eastAsia="Arial" w:hAnsi="Arial" w:cs="Arial"/>
              </w:rPr>
              <w:t>Ensure agreement between Moorfields, C&amp;I and UCL to enable transaction.</w:t>
            </w:r>
          </w:p>
        </w:tc>
        <w:tc>
          <w:tcPr>
            <w:tcW w:w="1276" w:type="dxa"/>
            <w:tcBorders>
              <w:top w:val="single" w:sz="8" w:space="0" w:color="000000"/>
              <w:left w:val="single" w:sz="8" w:space="0" w:color="000000"/>
              <w:bottom w:val="single" w:sz="8" w:space="0" w:color="000000"/>
              <w:right w:val="single" w:sz="8" w:space="0" w:color="000000"/>
            </w:tcBorders>
            <w:shd w:val="clear" w:color="auto" w:fill="FFC000"/>
            <w:tcMar>
              <w:top w:w="3" w:type="dxa"/>
              <w:left w:w="3" w:type="dxa"/>
              <w:bottom w:w="0" w:type="dxa"/>
              <w:right w:w="3" w:type="dxa"/>
            </w:tcMar>
            <w:hideMark/>
          </w:tcPr>
          <w:p w14:paraId="129174CF" w14:textId="77777777" w:rsidR="00623BDC" w:rsidRPr="00623BDC" w:rsidRDefault="00623BDC" w:rsidP="00623BDC">
            <w:pPr>
              <w:spacing w:after="0"/>
              <w:ind w:left="146"/>
              <w:jc w:val="center"/>
              <w:rPr>
                <w:rFonts w:ascii="Arial" w:eastAsia="Arial" w:hAnsi="Arial" w:cs="Arial"/>
              </w:rPr>
            </w:pPr>
            <w:r w:rsidRPr="00623BDC">
              <w:rPr>
                <w:rFonts w:ascii="Arial" w:eastAsia="Arial" w:hAnsi="Arial" w:cs="Arial"/>
              </w:rPr>
              <w:t>15</w:t>
            </w:r>
          </w:p>
        </w:tc>
      </w:tr>
      <w:tr w:rsidR="00623BDC" w:rsidRPr="00623BDC" w14:paraId="0FBC02A9" w14:textId="77777777" w:rsidTr="00E5260B">
        <w:trPr>
          <w:trHeight w:val="1306"/>
        </w:trPr>
        <w:tc>
          <w:tcPr>
            <w:tcW w:w="185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hideMark/>
          </w:tcPr>
          <w:p w14:paraId="7AF9E177" w14:textId="77777777" w:rsidR="00623BDC" w:rsidRPr="00623BDC" w:rsidRDefault="00623BDC" w:rsidP="00623BDC">
            <w:pPr>
              <w:spacing w:after="0"/>
              <w:ind w:left="155"/>
              <w:rPr>
                <w:rFonts w:ascii="Arial" w:eastAsia="Arial" w:hAnsi="Arial" w:cs="Arial"/>
              </w:rPr>
            </w:pPr>
            <w:r w:rsidRPr="00623BDC">
              <w:rPr>
                <w:rFonts w:ascii="Arial" w:eastAsia="Arial" w:hAnsi="Arial" w:cs="Arial"/>
              </w:rPr>
              <w:t>Philanthropic targets not met</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hideMark/>
          </w:tcPr>
          <w:p w14:paraId="5F4B7E0D" w14:textId="77777777" w:rsidR="00623BDC" w:rsidRPr="00623BDC" w:rsidRDefault="00623BDC" w:rsidP="00623BDC">
            <w:pPr>
              <w:spacing w:after="0"/>
              <w:ind w:left="145"/>
              <w:rPr>
                <w:rFonts w:ascii="Arial" w:eastAsia="Arial" w:hAnsi="Arial" w:cs="Arial"/>
              </w:rPr>
            </w:pPr>
            <w:r w:rsidRPr="00623BDC">
              <w:rPr>
                <w:rFonts w:ascii="Arial" w:eastAsia="Arial" w:hAnsi="Arial" w:cs="Arial"/>
              </w:rPr>
              <w:t>Project unable to meet its capital funding requirements.</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hideMark/>
          </w:tcPr>
          <w:p w14:paraId="418E5AB5" w14:textId="77777777" w:rsidR="00E5260B" w:rsidRDefault="00623BDC" w:rsidP="004F4B79">
            <w:pPr>
              <w:pStyle w:val="ListParagraph"/>
              <w:numPr>
                <w:ilvl w:val="0"/>
                <w:numId w:val="156"/>
              </w:numPr>
              <w:spacing w:after="0"/>
              <w:rPr>
                <w:rFonts w:ascii="Arial" w:eastAsia="Arial" w:hAnsi="Arial" w:cs="Arial"/>
              </w:rPr>
            </w:pPr>
            <w:r w:rsidRPr="00623BDC">
              <w:rPr>
                <w:rFonts w:ascii="Arial" w:eastAsia="Arial" w:hAnsi="Arial" w:cs="Arial"/>
              </w:rPr>
              <w:t xml:space="preserve">Continued monitoring of progress by campaign workstream. </w:t>
            </w:r>
          </w:p>
          <w:p w14:paraId="3CCBEA3A" w14:textId="77777777" w:rsidR="00E5260B" w:rsidRDefault="00623BDC" w:rsidP="004F4B79">
            <w:pPr>
              <w:pStyle w:val="ListParagraph"/>
              <w:numPr>
                <w:ilvl w:val="0"/>
                <w:numId w:val="156"/>
              </w:numPr>
              <w:spacing w:after="0"/>
              <w:rPr>
                <w:rFonts w:ascii="Arial" w:eastAsia="Arial" w:hAnsi="Arial" w:cs="Arial"/>
              </w:rPr>
            </w:pPr>
            <w:r w:rsidRPr="00623BDC">
              <w:rPr>
                <w:rFonts w:ascii="Arial" w:eastAsia="Arial" w:hAnsi="Arial" w:cs="Arial"/>
              </w:rPr>
              <w:t xml:space="preserve">Due diligence into all prospects and donors. </w:t>
            </w:r>
          </w:p>
          <w:p w14:paraId="6E2FA13F" w14:textId="20FD9F10" w:rsidR="00623BDC" w:rsidRPr="00623BDC" w:rsidRDefault="00623BDC" w:rsidP="004F4B79">
            <w:pPr>
              <w:pStyle w:val="ListParagraph"/>
              <w:numPr>
                <w:ilvl w:val="0"/>
                <w:numId w:val="156"/>
              </w:numPr>
              <w:spacing w:after="0"/>
              <w:rPr>
                <w:rFonts w:ascii="Arial" w:eastAsia="Arial" w:hAnsi="Arial" w:cs="Arial"/>
              </w:rPr>
            </w:pPr>
            <w:r w:rsidRPr="00623BDC">
              <w:rPr>
                <w:rFonts w:ascii="Arial" w:eastAsia="Arial" w:hAnsi="Arial" w:cs="Arial"/>
              </w:rPr>
              <w:t>Workshop with fundraising consultant.</w:t>
            </w:r>
          </w:p>
        </w:tc>
        <w:tc>
          <w:tcPr>
            <w:tcW w:w="1276" w:type="dxa"/>
            <w:tcBorders>
              <w:top w:val="single" w:sz="8" w:space="0" w:color="000000"/>
              <w:left w:val="single" w:sz="8" w:space="0" w:color="000000"/>
              <w:bottom w:val="single" w:sz="8" w:space="0" w:color="000000"/>
              <w:right w:val="single" w:sz="8" w:space="0" w:color="000000"/>
            </w:tcBorders>
            <w:shd w:val="clear" w:color="auto" w:fill="FFC000"/>
            <w:tcMar>
              <w:top w:w="3" w:type="dxa"/>
              <w:left w:w="3" w:type="dxa"/>
              <w:bottom w:w="0" w:type="dxa"/>
              <w:right w:w="3" w:type="dxa"/>
            </w:tcMar>
            <w:hideMark/>
          </w:tcPr>
          <w:p w14:paraId="3449D6A3" w14:textId="77777777" w:rsidR="00623BDC" w:rsidRPr="00623BDC" w:rsidRDefault="00623BDC" w:rsidP="00623BDC">
            <w:pPr>
              <w:spacing w:after="0"/>
              <w:ind w:left="146"/>
              <w:jc w:val="center"/>
              <w:rPr>
                <w:rFonts w:ascii="Arial" w:eastAsia="Arial" w:hAnsi="Arial" w:cs="Arial"/>
              </w:rPr>
            </w:pPr>
            <w:r w:rsidRPr="00623BDC">
              <w:rPr>
                <w:rFonts w:ascii="Arial" w:eastAsia="Arial" w:hAnsi="Arial" w:cs="Arial"/>
              </w:rPr>
              <w:t>12</w:t>
            </w:r>
          </w:p>
        </w:tc>
      </w:tr>
      <w:tr w:rsidR="00623BDC" w:rsidRPr="00623BDC" w14:paraId="5EFBC18A" w14:textId="77777777" w:rsidTr="00E5260B">
        <w:trPr>
          <w:trHeight w:val="1306"/>
        </w:trPr>
        <w:tc>
          <w:tcPr>
            <w:tcW w:w="185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hideMark/>
          </w:tcPr>
          <w:p w14:paraId="3ABEBFE6" w14:textId="2B4E44E6" w:rsidR="00623BDC" w:rsidRPr="00623BDC" w:rsidRDefault="00623BDC" w:rsidP="00E5260B">
            <w:pPr>
              <w:spacing w:after="0"/>
              <w:ind w:left="155" w:right="129"/>
              <w:rPr>
                <w:rFonts w:ascii="Arial" w:eastAsia="Arial" w:hAnsi="Arial" w:cs="Arial"/>
              </w:rPr>
            </w:pPr>
            <w:r w:rsidRPr="00623BDC">
              <w:rPr>
                <w:rFonts w:ascii="Arial" w:eastAsia="Arial" w:hAnsi="Arial" w:cs="Arial"/>
              </w:rPr>
              <w:t xml:space="preserve">UCL </w:t>
            </w:r>
            <w:r w:rsidR="00E5260B">
              <w:rPr>
                <w:rFonts w:ascii="Arial" w:eastAsia="Arial" w:hAnsi="Arial" w:cs="Arial"/>
              </w:rPr>
              <w:t>business case</w:t>
            </w:r>
            <w:r w:rsidRPr="00623BDC">
              <w:rPr>
                <w:rFonts w:ascii="Arial" w:eastAsia="Arial" w:hAnsi="Arial" w:cs="Arial"/>
              </w:rPr>
              <w:t xml:space="preserve"> approval delayed</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hideMark/>
          </w:tcPr>
          <w:p w14:paraId="42D49E5D" w14:textId="77777777" w:rsidR="00623BDC" w:rsidRPr="00623BDC" w:rsidRDefault="00623BDC" w:rsidP="00623BDC">
            <w:pPr>
              <w:spacing w:after="0"/>
              <w:ind w:left="145"/>
              <w:rPr>
                <w:rFonts w:ascii="Arial" w:eastAsia="Arial" w:hAnsi="Arial" w:cs="Arial"/>
              </w:rPr>
            </w:pPr>
            <w:r w:rsidRPr="00623BDC">
              <w:rPr>
                <w:rFonts w:ascii="Arial" w:eastAsia="Arial" w:hAnsi="Arial" w:cs="Arial"/>
              </w:rPr>
              <w:t>Potential delay to project</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hideMark/>
          </w:tcPr>
          <w:p w14:paraId="38B29ED6" w14:textId="77777777" w:rsidR="00E5260B" w:rsidRDefault="00623BDC" w:rsidP="004F4B79">
            <w:pPr>
              <w:pStyle w:val="ListParagraph"/>
              <w:numPr>
                <w:ilvl w:val="0"/>
                <w:numId w:val="157"/>
              </w:numPr>
              <w:spacing w:after="0"/>
              <w:rPr>
                <w:rFonts w:ascii="Arial" w:eastAsia="Arial" w:hAnsi="Arial" w:cs="Arial"/>
              </w:rPr>
            </w:pPr>
            <w:r w:rsidRPr="00623BDC">
              <w:rPr>
                <w:rFonts w:ascii="Arial" w:eastAsia="Arial" w:hAnsi="Arial" w:cs="Arial"/>
              </w:rPr>
              <w:t>Consider de-scoping elements of the project.</w:t>
            </w:r>
          </w:p>
          <w:p w14:paraId="71CC3E62" w14:textId="7FE614A3" w:rsidR="00623BDC" w:rsidRPr="00623BDC" w:rsidRDefault="00623BDC" w:rsidP="004F4B79">
            <w:pPr>
              <w:pStyle w:val="ListParagraph"/>
              <w:numPr>
                <w:ilvl w:val="0"/>
                <w:numId w:val="157"/>
              </w:numPr>
              <w:spacing w:after="0"/>
              <w:rPr>
                <w:rFonts w:ascii="Arial" w:eastAsia="Arial" w:hAnsi="Arial" w:cs="Arial"/>
              </w:rPr>
            </w:pPr>
            <w:r w:rsidRPr="00623BDC">
              <w:rPr>
                <w:rFonts w:ascii="Arial" w:eastAsia="Arial" w:hAnsi="Arial" w:cs="Arial"/>
              </w:rPr>
              <w:t>Create a robust business case aligning all elements (financial, academic, estates).</w:t>
            </w:r>
          </w:p>
          <w:p w14:paraId="43822552" w14:textId="77777777" w:rsidR="00623BDC" w:rsidRPr="00623BDC" w:rsidRDefault="00623BDC" w:rsidP="004F4B79">
            <w:pPr>
              <w:pStyle w:val="ListParagraph"/>
              <w:numPr>
                <w:ilvl w:val="0"/>
                <w:numId w:val="157"/>
              </w:numPr>
              <w:spacing w:after="0"/>
              <w:rPr>
                <w:rFonts w:ascii="Arial" w:eastAsia="Arial" w:hAnsi="Arial" w:cs="Arial"/>
              </w:rPr>
            </w:pPr>
            <w:r w:rsidRPr="00623BDC">
              <w:rPr>
                <w:rFonts w:ascii="Arial" w:eastAsia="Arial" w:hAnsi="Arial" w:cs="Arial"/>
              </w:rPr>
              <w:t>Engage with BC approvers.</w:t>
            </w:r>
          </w:p>
        </w:tc>
        <w:tc>
          <w:tcPr>
            <w:tcW w:w="1276" w:type="dxa"/>
            <w:tcBorders>
              <w:top w:val="single" w:sz="8" w:space="0" w:color="000000"/>
              <w:left w:val="single" w:sz="8" w:space="0" w:color="000000"/>
              <w:bottom w:val="single" w:sz="8" w:space="0" w:color="000000"/>
              <w:right w:val="single" w:sz="8" w:space="0" w:color="000000"/>
            </w:tcBorders>
            <w:shd w:val="clear" w:color="auto" w:fill="FFC000"/>
            <w:tcMar>
              <w:top w:w="3" w:type="dxa"/>
              <w:left w:w="3" w:type="dxa"/>
              <w:bottom w:w="0" w:type="dxa"/>
              <w:right w:w="3" w:type="dxa"/>
            </w:tcMar>
            <w:hideMark/>
          </w:tcPr>
          <w:p w14:paraId="72DE8E08" w14:textId="77777777" w:rsidR="00623BDC" w:rsidRPr="00623BDC" w:rsidRDefault="00623BDC" w:rsidP="00623BDC">
            <w:pPr>
              <w:spacing w:after="0"/>
              <w:ind w:left="146"/>
              <w:jc w:val="center"/>
              <w:rPr>
                <w:rFonts w:ascii="Arial" w:eastAsia="Arial" w:hAnsi="Arial" w:cs="Arial"/>
              </w:rPr>
            </w:pPr>
            <w:r w:rsidRPr="00623BDC">
              <w:rPr>
                <w:rFonts w:ascii="Arial" w:eastAsia="Arial" w:hAnsi="Arial" w:cs="Arial"/>
              </w:rPr>
              <w:t>12</w:t>
            </w:r>
          </w:p>
        </w:tc>
      </w:tr>
    </w:tbl>
    <w:p w14:paraId="297A256F" w14:textId="77777777" w:rsidR="00623BDC" w:rsidRPr="00587DF1" w:rsidRDefault="00623BDC" w:rsidP="00587DF1">
      <w:pPr>
        <w:spacing w:after="0"/>
        <w:rPr>
          <w:rFonts w:ascii="Arial" w:eastAsia="Arial" w:hAnsi="Arial" w:cs="Arial"/>
        </w:rPr>
      </w:pPr>
    </w:p>
    <w:p w14:paraId="3E519917" w14:textId="2740817B" w:rsidR="00587DF1" w:rsidRDefault="00587DF1" w:rsidP="00587DF1">
      <w:pPr>
        <w:spacing w:after="0"/>
        <w:rPr>
          <w:rFonts w:ascii="Arial" w:eastAsia="Arial" w:hAnsi="Arial" w:cs="Arial"/>
        </w:rPr>
      </w:pPr>
    </w:p>
    <w:p w14:paraId="63C90025" w14:textId="77777777" w:rsidR="00587DF1" w:rsidRPr="00587DF1" w:rsidRDefault="00587DF1" w:rsidP="005E0D57">
      <w:pPr>
        <w:numPr>
          <w:ilvl w:val="2"/>
          <w:numId w:val="1"/>
        </w:numPr>
        <w:pBdr>
          <w:top w:val="nil"/>
          <w:left w:val="nil"/>
          <w:bottom w:val="nil"/>
          <w:right w:val="nil"/>
          <w:between w:val="nil"/>
        </w:pBdr>
        <w:spacing w:after="0" w:line="240" w:lineRule="auto"/>
        <w:ind w:left="567" w:hanging="567"/>
        <w:jc w:val="both"/>
        <w:rPr>
          <w:rFonts w:ascii="Arial" w:eastAsia="Arial" w:hAnsi="Arial" w:cs="Arial"/>
          <w:b/>
        </w:rPr>
      </w:pPr>
      <w:r w:rsidRPr="00587DF1">
        <w:rPr>
          <w:rFonts w:ascii="Arial" w:eastAsia="Arial" w:hAnsi="Arial" w:cs="Arial"/>
          <w:b/>
        </w:rPr>
        <w:lastRenderedPageBreak/>
        <w:t>Communication and engagement strategy</w:t>
      </w:r>
    </w:p>
    <w:p w14:paraId="31178367" w14:textId="77777777" w:rsidR="00587DF1" w:rsidRPr="00587DF1" w:rsidRDefault="00587DF1" w:rsidP="00587DF1">
      <w:pPr>
        <w:spacing w:after="0"/>
        <w:rPr>
          <w:rFonts w:ascii="Arial" w:eastAsia="Arial" w:hAnsi="Arial" w:cs="Arial"/>
        </w:rPr>
      </w:pPr>
    </w:p>
    <w:p w14:paraId="6E18D8D6" w14:textId="77777777" w:rsidR="00587DF1" w:rsidRPr="00587DF1" w:rsidRDefault="00587DF1" w:rsidP="00587DF1">
      <w:pPr>
        <w:spacing w:after="0"/>
        <w:rPr>
          <w:rFonts w:ascii="Arial" w:eastAsia="Arial" w:hAnsi="Arial" w:cs="Arial"/>
        </w:rPr>
      </w:pPr>
      <w:r w:rsidRPr="00587DF1">
        <w:rPr>
          <w:rFonts w:ascii="Arial" w:eastAsia="Arial" w:hAnsi="Arial" w:cs="Arial"/>
        </w:rPr>
        <w:t>Oriel has benefitted from significant stakeholder engagement to date, through the public consultation which captured the views of over 4,600 people. Pre-consultation and consultation activities have extended and strengthened relationships with patient and community representatives, particularly people associated with the sight-loss community. Around 450 people expressed a specific interest in staying involved with the Oriel programme, the Oriel Advisory Group of 17 members has agreed to continue working closely with the programme, and leading sight loss charities have offered their expertise to the next stages of design and planning.</w:t>
      </w:r>
    </w:p>
    <w:p w14:paraId="4A438274" w14:textId="77777777" w:rsidR="00587DF1" w:rsidRPr="00587DF1" w:rsidRDefault="00587DF1" w:rsidP="00587DF1">
      <w:pPr>
        <w:spacing w:after="0"/>
        <w:rPr>
          <w:rFonts w:ascii="Arial" w:eastAsia="Arial" w:hAnsi="Arial" w:cs="Arial"/>
        </w:rPr>
      </w:pPr>
    </w:p>
    <w:p w14:paraId="1AF06799" w14:textId="4F381C77" w:rsidR="00587DF1" w:rsidRPr="00587DF1" w:rsidRDefault="00587DF1" w:rsidP="00587DF1">
      <w:pPr>
        <w:spacing w:after="0"/>
        <w:rPr>
          <w:rFonts w:ascii="Arial" w:eastAsia="Arial" w:hAnsi="Arial" w:cs="Arial"/>
        </w:rPr>
      </w:pPr>
      <w:r w:rsidRPr="00587DF1">
        <w:rPr>
          <w:rFonts w:ascii="Arial" w:eastAsia="Arial" w:hAnsi="Arial" w:cs="Arial"/>
        </w:rPr>
        <w:t xml:space="preserve">Involvement of patients and the public will continue through the Oriel Advisory Group, user groups to develop designs, and wider engagement as </w:t>
      </w:r>
      <w:r w:rsidR="0003510F">
        <w:rPr>
          <w:rFonts w:ascii="Arial" w:eastAsia="Arial" w:hAnsi="Arial" w:cs="Arial"/>
        </w:rPr>
        <w:t>required</w:t>
      </w:r>
      <w:r w:rsidRPr="00587DF1">
        <w:rPr>
          <w:rFonts w:ascii="Arial" w:eastAsia="Arial" w:hAnsi="Arial" w:cs="Arial"/>
        </w:rPr>
        <w:t>. Project updates will be shared through a variety of channels including the Oriel website, newsletters and Moorfields patient participation groups.</w:t>
      </w:r>
    </w:p>
    <w:p w14:paraId="13C308B0" w14:textId="77777777" w:rsidR="00587DF1" w:rsidRPr="00587DF1" w:rsidRDefault="00587DF1" w:rsidP="00587DF1">
      <w:pPr>
        <w:spacing w:after="0"/>
        <w:rPr>
          <w:rFonts w:ascii="Arial" w:eastAsia="Arial" w:hAnsi="Arial" w:cs="Arial"/>
        </w:rPr>
      </w:pPr>
    </w:p>
    <w:p w14:paraId="3C3112F1" w14:textId="1970D4BF" w:rsidR="00587DF1" w:rsidRPr="00587DF1" w:rsidRDefault="0003510F" w:rsidP="00587DF1">
      <w:pPr>
        <w:spacing w:after="0"/>
        <w:rPr>
          <w:rFonts w:ascii="Arial" w:eastAsia="Arial" w:hAnsi="Arial" w:cs="Arial"/>
        </w:rPr>
      </w:pPr>
      <w:r>
        <w:rPr>
          <w:rFonts w:ascii="Arial" w:eastAsia="Arial" w:hAnsi="Arial" w:cs="Arial"/>
        </w:rPr>
        <w:t>S</w:t>
      </w:r>
      <w:r w:rsidR="00587DF1" w:rsidRPr="00587DF1">
        <w:rPr>
          <w:rFonts w:ascii="Arial" w:eastAsia="Arial" w:hAnsi="Arial" w:cs="Arial"/>
        </w:rPr>
        <w:t xml:space="preserve">takeholders </w:t>
      </w:r>
      <w:r>
        <w:rPr>
          <w:rFonts w:ascii="Arial" w:eastAsia="Arial" w:hAnsi="Arial" w:cs="Arial"/>
        </w:rPr>
        <w:t>including</w:t>
      </w:r>
      <w:r w:rsidR="00587DF1" w:rsidRPr="00587DF1">
        <w:rPr>
          <w:rFonts w:ascii="Arial" w:eastAsia="Arial" w:hAnsi="Arial" w:cs="Arial"/>
        </w:rPr>
        <w:t xml:space="preserve"> commissioners, local authorities and local interest groups will continue to be engaged and informed of proposals, according to their relationship with the project.</w:t>
      </w:r>
    </w:p>
    <w:p w14:paraId="41B07A92" w14:textId="77777777" w:rsidR="00587DF1" w:rsidRPr="00587DF1" w:rsidRDefault="00587DF1" w:rsidP="00587DF1">
      <w:pPr>
        <w:spacing w:after="0"/>
        <w:rPr>
          <w:rFonts w:ascii="Arial" w:eastAsia="Arial" w:hAnsi="Arial" w:cs="Arial"/>
        </w:rPr>
      </w:pPr>
    </w:p>
    <w:p w14:paraId="2A5B16C5" w14:textId="77777777" w:rsidR="00587DF1" w:rsidRPr="00587DF1" w:rsidRDefault="00587DF1" w:rsidP="00587DF1">
      <w:pPr>
        <w:spacing w:after="0"/>
        <w:rPr>
          <w:rFonts w:ascii="Arial" w:eastAsia="Arial" w:hAnsi="Arial" w:cs="Arial"/>
        </w:rPr>
      </w:pPr>
      <w:r w:rsidRPr="00587DF1">
        <w:rPr>
          <w:rFonts w:ascii="Arial" w:eastAsia="Arial" w:hAnsi="Arial" w:cs="Arial"/>
        </w:rPr>
        <w:t>A staff engagement strategy has been developed to ensure appropriate involvement in project planning, and widespread buy-in to proposals and new ways of working.</w:t>
      </w:r>
    </w:p>
    <w:p w14:paraId="03855458" w14:textId="77777777" w:rsidR="00587DF1" w:rsidRPr="00587DF1" w:rsidRDefault="00587DF1" w:rsidP="00587DF1">
      <w:pPr>
        <w:spacing w:after="160"/>
        <w:rPr>
          <w:rFonts w:ascii="Arial" w:eastAsia="Arial" w:hAnsi="Arial" w:cs="Arial"/>
        </w:rPr>
      </w:pPr>
    </w:p>
    <w:p w14:paraId="2D01601A" w14:textId="77777777" w:rsidR="00587DF1" w:rsidRPr="00587DF1" w:rsidRDefault="00587DF1" w:rsidP="005E0D57">
      <w:pPr>
        <w:numPr>
          <w:ilvl w:val="2"/>
          <w:numId w:val="1"/>
        </w:numPr>
        <w:pBdr>
          <w:top w:val="nil"/>
          <w:left w:val="nil"/>
          <w:bottom w:val="nil"/>
          <w:right w:val="nil"/>
          <w:between w:val="nil"/>
        </w:pBdr>
        <w:spacing w:after="0" w:line="240" w:lineRule="auto"/>
        <w:ind w:left="567" w:hanging="567"/>
        <w:jc w:val="both"/>
        <w:rPr>
          <w:rFonts w:ascii="Arial" w:eastAsia="Arial" w:hAnsi="Arial" w:cs="Arial"/>
          <w:b/>
        </w:rPr>
      </w:pPr>
      <w:r w:rsidRPr="00587DF1">
        <w:rPr>
          <w:rFonts w:ascii="Arial" w:eastAsia="Arial" w:hAnsi="Arial" w:cs="Arial"/>
          <w:b/>
        </w:rPr>
        <w:t>Project assurance and evaluation</w:t>
      </w:r>
    </w:p>
    <w:p w14:paraId="28D09EC3" w14:textId="77777777" w:rsidR="00587DF1" w:rsidRPr="00587DF1" w:rsidRDefault="00587DF1" w:rsidP="00587DF1">
      <w:pPr>
        <w:spacing w:after="0"/>
        <w:rPr>
          <w:rFonts w:ascii="Arial" w:eastAsia="Arial" w:hAnsi="Arial" w:cs="Arial"/>
        </w:rPr>
      </w:pPr>
    </w:p>
    <w:p w14:paraId="66676618" w14:textId="720958F7" w:rsidR="00587DF1" w:rsidRPr="00587DF1" w:rsidRDefault="00E5260B" w:rsidP="00587DF1">
      <w:pPr>
        <w:spacing w:after="0"/>
        <w:rPr>
          <w:rFonts w:ascii="Arial" w:eastAsia="Arial" w:hAnsi="Arial" w:cs="Arial"/>
        </w:rPr>
      </w:pPr>
      <w:r>
        <w:rPr>
          <w:rFonts w:ascii="Arial" w:eastAsia="Arial" w:hAnsi="Arial" w:cs="Arial"/>
        </w:rPr>
        <w:t xml:space="preserve">A peer review of the project was undertaken by </w:t>
      </w:r>
      <w:r w:rsidRPr="00E5260B">
        <w:rPr>
          <w:rFonts w:ascii="Arial" w:eastAsia="Arial" w:hAnsi="Arial" w:cs="Arial"/>
        </w:rPr>
        <w:t xml:space="preserve">Guys </w:t>
      </w:r>
      <w:r>
        <w:rPr>
          <w:rFonts w:ascii="Arial" w:eastAsia="Arial" w:hAnsi="Arial" w:cs="Arial"/>
        </w:rPr>
        <w:t>and</w:t>
      </w:r>
      <w:r w:rsidRPr="00E5260B">
        <w:rPr>
          <w:rFonts w:ascii="Arial" w:eastAsia="Arial" w:hAnsi="Arial" w:cs="Arial"/>
        </w:rPr>
        <w:t xml:space="preserve"> St Thomas NHS Foundation Trust</w:t>
      </w:r>
      <w:r>
        <w:rPr>
          <w:rFonts w:ascii="Arial" w:eastAsia="Arial" w:hAnsi="Arial" w:cs="Arial"/>
        </w:rPr>
        <w:t xml:space="preserve"> in late 2019. Their recommendations for the project are included at </w:t>
      </w:r>
      <w:r w:rsidRPr="00CC57B7">
        <w:rPr>
          <w:rFonts w:ascii="Arial" w:eastAsia="Arial" w:hAnsi="Arial" w:cs="Arial"/>
        </w:rPr>
        <w:t xml:space="preserve">Appendix </w:t>
      </w:r>
      <w:r w:rsidR="00CC57B7" w:rsidRPr="00CC57B7">
        <w:rPr>
          <w:rFonts w:ascii="Arial" w:eastAsia="Arial" w:hAnsi="Arial" w:cs="Arial"/>
        </w:rPr>
        <w:t>8F</w:t>
      </w:r>
      <w:r>
        <w:rPr>
          <w:rFonts w:ascii="Arial" w:eastAsia="Arial" w:hAnsi="Arial" w:cs="Arial"/>
        </w:rPr>
        <w:t>.</w:t>
      </w:r>
    </w:p>
    <w:p w14:paraId="27C49CF5" w14:textId="77777777" w:rsidR="00587DF1" w:rsidRPr="00587DF1" w:rsidRDefault="00587DF1" w:rsidP="00587DF1">
      <w:pPr>
        <w:spacing w:after="0"/>
        <w:rPr>
          <w:rFonts w:ascii="Arial" w:eastAsia="Arial" w:hAnsi="Arial" w:cs="Arial"/>
        </w:rPr>
      </w:pPr>
    </w:p>
    <w:p w14:paraId="3CC62E9B" w14:textId="77777777" w:rsidR="00587DF1" w:rsidRPr="00587DF1" w:rsidRDefault="00587DF1" w:rsidP="00587DF1">
      <w:pPr>
        <w:spacing w:after="0"/>
        <w:rPr>
          <w:rFonts w:ascii="Arial" w:eastAsia="Arial" w:hAnsi="Arial" w:cs="Arial"/>
          <w:bCs/>
          <w:color w:val="000000"/>
        </w:rPr>
      </w:pPr>
      <w:r w:rsidRPr="00587DF1">
        <w:rPr>
          <w:rFonts w:ascii="Arial" w:eastAsia="Arial" w:hAnsi="Arial" w:cs="Arial"/>
        </w:rPr>
        <w:t xml:space="preserve">Moorfields has undertaken a lessons learnt review of the </w:t>
      </w:r>
      <w:r w:rsidRPr="00587DF1">
        <w:rPr>
          <w:rFonts w:ascii="Arial" w:eastAsia="Arial" w:hAnsi="Arial" w:cs="Arial"/>
          <w:bCs/>
          <w:color w:val="000000"/>
        </w:rPr>
        <w:t>Richard Desmond Children’s Eye Centre (RDCEC) which was built in 2007, which is being factored into project delivery.</w:t>
      </w:r>
    </w:p>
    <w:p w14:paraId="19F6D4B7" w14:textId="77777777" w:rsidR="00587DF1" w:rsidRPr="00587DF1" w:rsidRDefault="00587DF1" w:rsidP="00587DF1">
      <w:pPr>
        <w:spacing w:after="0"/>
        <w:rPr>
          <w:rFonts w:ascii="Arial" w:eastAsia="Arial" w:hAnsi="Arial" w:cs="Arial"/>
          <w:bCs/>
          <w:color w:val="000000"/>
        </w:rPr>
      </w:pPr>
    </w:p>
    <w:p w14:paraId="2D4B333E" w14:textId="77777777" w:rsidR="00587DF1" w:rsidRPr="00587DF1" w:rsidRDefault="00587DF1" w:rsidP="00587DF1">
      <w:pPr>
        <w:spacing w:after="0"/>
        <w:rPr>
          <w:rFonts w:ascii="Arial" w:eastAsia="Arial" w:hAnsi="Arial" w:cs="Arial"/>
        </w:rPr>
      </w:pPr>
      <w:r w:rsidRPr="00587DF1">
        <w:rPr>
          <w:rFonts w:ascii="Arial" w:eastAsia="Arial" w:hAnsi="Arial" w:cs="Arial"/>
          <w:bCs/>
          <w:color w:val="000000"/>
        </w:rPr>
        <w:t>The trust is committed to undertaking a Post-Project Evaluation (PPE) after completion of Oriel, to learn lessons from the delivery and assess achievement of benefits, in line with best practice.</w:t>
      </w:r>
    </w:p>
    <w:p w14:paraId="38F9A54B" w14:textId="77777777" w:rsidR="00587DF1" w:rsidRPr="00587DF1" w:rsidRDefault="00587DF1" w:rsidP="00587DF1">
      <w:pPr>
        <w:spacing w:after="0"/>
        <w:rPr>
          <w:rFonts w:ascii="Arial" w:eastAsia="Arial" w:hAnsi="Arial" w:cs="Arial"/>
        </w:rPr>
      </w:pPr>
    </w:p>
    <w:p w14:paraId="5C470AEE" w14:textId="77777777" w:rsidR="00587DF1" w:rsidRPr="00587DF1" w:rsidRDefault="00587DF1" w:rsidP="00587DF1">
      <w:pPr>
        <w:spacing w:after="0"/>
        <w:rPr>
          <w:rFonts w:ascii="Arial" w:eastAsia="Arial" w:hAnsi="Arial" w:cs="Arial"/>
        </w:rPr>
      </w:pPr>
    </w:p>
    <w:p w14:paraId="2C7B40C0" w14:textId="77777777" w:rsidR="00587DF1" w:rsidRPr="00587DF1" w:rsidRDefault="00587DF1" w:rsidP="00587DF1">
      <w:pPr>
        <w:spacing w:after="0"/>
        <w:rPr>
          <w:rFonts w:ascii="Arial" w:eastAsia="Arial" w:hAnsi="Arial" w:cs="Arial"/>
        </w:rPr>
      </w:pPr>
    </w:p>
    <w:p w14:paraId="0F6FDBFF" w14:textId="77777777" w:rsidR="00587DF1" w:rsidRPr="00587DF1" w:rsidRDefault="00587DF1" w:rsidP="00587DF1">
      <w:pPr>
        <w:spacing w:after="0"/>
        <w:rPr>
          <w:rFonts w:ascii="Arial" w:eastAsia="Arial" w:hAnsi="Arial" w:cs="Arial"/>
        </w:rPr>
      </w:pPr>
    </w:p>
    <w:p w14:paraId="51577BBC" w14:textId="77777777" w:rsidR="009148B5" w:rsidRPr="00587DF1" w:rsidRDefault="009148B5" w:rsidP="00E47761">
      <w:pPr>
        <w:ind w:left="567"/>
        <w:rPr>
          <w:rFonts w:ascii="Arial" w:eastAsia="Arial" w:hAnsi="Arial" w:cs="Arial"/>
        </w:rPr>
      </w:pPr>
      <w:r w:rsidRPr="00587DF1">
        <w:rPr>
          <w:rFonts w:ascii="Arial" w:eastAsia="Arial" w:hAnsi="Arial" w:cs="Arial"/>
        </w:rPr>
        <w:br w:type="page"/>
      </w:r>
    </w:p>
    <w:p w14:paraId="2432BAAF" w14:textId="77777777" w:rsidR="00E47761" w:rsidRPr="00587DF1" w:rsidRDefault="00E47761" w:rsidP="005E0D57">
      <w:pPr>
        <w:pStyle w:val="Heading1"/>
        <w:numPr>
          <w:ilvl w:val="0"/>
          <w:numId w:val="1"/>
        </w:numPr>
        <w:ind w:hanging="720"/>
        <w:rPr>
          <w:rFonts w:ascii="Arial" w:eastAsia="Arial" w:hAnsi="Arial" w:cs="Arial"/>
        </w:rPr>
      </w:pPr>
      <w:bookmarkStart w:id="11" w:name="_Toc32842668"/>
      <w:bookmarkStart w:id="12" w:name="_Hlk24986958"/>
      <w:r w:rsidRPr="00587DF1">
        <w:rPr>
          <w:rFonts w:ascii="Arial" w:eastAsia="Arial" w:hAnsi="Arial" w:cs="Arial"/>
        </w:rPr>
        <w:lastRenderedPageBreak/>
        <w:t>Introduction to the Outline Business Case (OBC)</w:t>
      </w:r>
      <w:bookmarkEnd w:id="11"/>
    </w:p>
    <w:p w14:paraId="493087D1" w14:textId="77777777" w:rsidR="00E47761" w:rsidRPr="00587DF1" w:rsidRDefault="00E47761" w:rsidP="00E47761">
      <w:pPr>
        <w:pBdr>
          <w:top w:val="nil"/>
          <w:left w:val="nil"/>
          <w:bottom w:val="nil"/>
          <w:right w:val="nil"/>
          <w:between w:val="nil"/>
        </w:pBdr>
        <w:spacing w:after="0" w:line="240" w:lineRule="auto"/>
        <w:ind w:left="567" w:hanging="720"/>
        <w:jc w:val="both"/>
        <w:rPr>
          <w:rFonts w:ascii="Arial" w:eastAsia="Arial" w:hAnsi="Arial" w:cs="Arial"/>
          <w:color w:val="000000"/>
          <w:sz w:val="28"/>
          <w:szCs w:val="28"/>
        </w:rPr>
      </w:pPr>
    </w:p>
    <w:p w14:paraId="65D73843" w14:textId="77777777" w:rsidR="00FF7B07" w:rsidRPr="00587DF1" w:rsidRDefault="00FF7B07" w:rsidP="00E47761">
      <w:pPr>
        <w:spacing w:after="0"/>
        <w:rPr>
          <w:rFonts w:ascii="Arial" w:eastAsia="Arial" w:hAnsi="Arial" w:cs="Arial"/>
        </w:rPr>
      </w:pPr>
      <w:bookmarkStart w:id="13" w:name="_Hlk27126777"/>
      <w:r w:rsidRPr="00587DF1">
        <w:rPr>
          <w:rFonts w:ascii="Arial" w:eastAsia="Arial" w:hAnsi="Arial" w:cs="Arial"/>
        </w:rPr>
        <w:t xml:space="preserve">This Outline Business Case (OBC) sets out the case for investment in </w:t>
      </w:r>
      <w:r w:rsidR="000C6CD9">
        <w:rPr>
          <w:rFonts w:ascii="Arial" w:eastAsia="Arial" w:hAnsi="Arial" w:cs="Arial"/>
        </w:rPr>
        <w:t xml:space="preserve">relocating </w:t>
      </w:r>
      <w:r w:rsidRPr="00587DF1">
        <w:rPr>
          <w:rFonts w:ascii="Arial" w:eastAsia="Arial" w:hAnsi="Arial" w:cs="Arial"/>
        </w:rPr>
        <w:t>Moorfields’ ophthalmology services from their current location at City Road, to a new facility on the St Pancras Hospital site. This project is known as Oriel.</w:t>
      </w:r>
    </w:p>
    <w:p w14:paraId="0C964C4B" w14:textId="20E6E128" w:rsidR="00FF7B07" w:rsidRPr="00587DF1" w:rsidRDefault="00FF7B07" w:rsidP="00E47761">
      <w:pPr>
        <w:spacing w:after="0"/>
        <w:rPr>
          <w:rFonts w:ascii="Arial" w:eastAsia="Arial" w:hAnsi="Arial" w:cs="Arial"/>
        </w:rPr>
      </w:pPr>
    </w:p>
    <w:p w14:paraId="7CF98693" w14:textId="77777777" w:rsidR="00FF7B07" w:rsidRPr="00587DF1" w:rsidRDefault="00FF7B07" w:rsidP="00FF7B07">
      <w:pPr>
        <w:spacing w:after="0"/>
        <w:rPr>
          <w:rFonts w:ascii="Arial" w:eastAsia="Arial" w:hAnsi="Arial" w:cs="Arial"/>
        </w:rPr>
      </w:pPr>
      <w:r w:rsidRPr="00587DF1">
        <w:rPr>
          <w:rFonts w:ascii="Arial" w:eastAsia="Arial" w:hAnsi="Arial" w:cs="Arial"/>
        </w:rPr>
        <w:t xml:space="preserve">The scope of this project is to provide a new building at St Pancras, with associated equipment, staffing and organisational change, to </w:t>
      </w:r>
      <w:r w:rsidR="0047556D" w:rsidRPr="00587DF1">
        <w:rPr>
          <w:rFonts w:ascii="Arial" w:eastAsia="Arial" w:hAnsi="Arial" w:cs="Arial"/>
        </w:rPr>
        <w:t>deliver both local and specialised clinical services, education and research</w:t>
      </w:r>
      <w:r w:rsidRPr="00587DF1">
        <w:rPr>
          <w:rFonts w:ascii="Arial" w:eastAsia="Arial" w:hAnsi="Arial" w:cs="Arial"/>
        </w:rPr>
        <w:t>.</w:t>
      </w:r>
      <w:r w:rsidR="0047556D" w:rsidRPr="00587DF1">
        <w:rPr>
          <w:rFonts w:ascii="Arial" w:eastAsia="Arial" w:hAnsi="Arial" w:cs="Arial"/>
        </w:rPr>
        <w:t xml:space="preserve"> This will provide a significantly improved clinical environment, designed specifically to meet the needs of people with sight-loss, and enable an expanded and patient-centred approach to research which will further contribute to development of new technologies for diagnosis and treatment of ophthalmic conditions. An improved education offering will attract high-calibre trainees and staff members to remain at Moorfields, as well as improving the overall supply of </w:t>
      </w:r>
      <w:r w:rsidR="000C6CD9">
        <w:rPr>
          <w:rFonts w:ascii="Arial" w:eastAsia="Arial" w:hAnsi="Arial" w:cs="Arial"/>
        </w:rPr>
        <w:t xml:space="preserve">eye-care </w:t>
      </w:r>
      <w:r w:rsidR="0047556D" w:rsidRPr="00587DF1">
        <w:rPr>
          <w:rFonts w:ascii="Arial" w:eastAsia="Arial" w:hAnsi="Arial" w:cs="Arial"/>
        </w:rPr>
        <w:t xml:space="preserve">clinicians </w:t>
      </w:r>
      <w:r w:rsidR="000C6CD9">
        <w:rPr>
          <w:rFonts w:ascii="Arial" w:eastAsia="Arial" w:hAnsi="Arial" w:cs="Arial"/>
        </w:rPr>
        <w:t xml:space="preserve">across </w:t>
      </w:r>
      <w:r w:rsidR="0047556D" w:rsidRPr="00587DF1">
        <w:rPr>
          <w:rFonts w:ascii="Arial" w:eastAsia="Arial" w:hAnsi="Arial" w:cs="Arial"/>
        </w:rPr>
        <w:t>London</w:t>
      </w:r>
      <w:r w:rsidR="000C6CD9">
        <w:rPr>
          <w:rFonts w:ascii="Arial" w:eastAsia="Arial" w:hAnsi="Arial" w:cs="Arial"/>
        </w:rPr>
        <w:t xml:space="preserve"> and the UK</w:t>
      </w:r>
      <w:r w:rsidR="0047556D" w:rsidRPr="00587DF1">
        <w:rPr>
          <w:rFonts w:ascii="Arial" w:eastAsia="Arial" w:hAnsi="Arial" w:cs="Arial"/>
        </w:rPr>
        <w:t>.</w:t>
      </w:r>
    </w:p>
    <w:p w14:paraId="0BACB17D" w14:textId="77777777" w:rsidR="00FF7B07" w:rsidRPr="00587DF1" w:rsidRDefault="00FF7B07" w:rsidP="00FF7B07">
      <w:pPr>
        <w:spacing w:after="0"/>
        <w:rPr>
          <w:rFonts w:ascii="Arial" w:eastAsia="Arial" w:hAnsi="Arial" w:cs="Arial"/>
        </w:rPr>
      </w:pPr>
    </w:p>
    <w:p w14:paraId="7B21B417" w14:textId="11B7F376" w:rsidR="00FF7B07" w:rsidRPr="00587DF1" w:rsidRDefault="00FF7B07" w:rsidP="00FF7B07">
      <w:pPr>
        <w:spacing w:after="0"/>
        <w:rPr>
          <w:rFonts w:ascii="Arial" w:eastAsia="Arial" w:hAnsi="Arial" w:cs="Arial"/>
        </w:rPr>
      </w:pPr>
      <w:r w:rsidRPr="00587DF1">
        <w:rPr>
          <w:rFonts w:ascii="Arial" w:eastAsia="Arial" w:hAnsi="Arial" w:cs="Arial"/>
        </w:rPr>
        <w:t>This is a joint project between Moorfields</w:t>
      </w:r>
      <w:r w:rsidR="00975CD0">
        <w:rPr>
          <w:rFonts w:ascii="Arial" w:eastAsia="Arial" w:hAnsi="Arial" w:cs="Arial"/>
        </w:rPr>
        <w:t xml:space="preserve"> and</w:t>
      </w:r>
      <w:r w:rsidRPr="00587DF1">
        <w:rPr>
          <w:rFonts w:ascii="Arial" w:eastAsia="Arial" w:hAnsi="Arial" w:cs="Arial"/>
        </w:rPr>
        <w:t xml:space="preserve"> UCL IoO</w:t>
      </w:r>
      <w:r w:rsidR="00C8221A" w:rsidRPr="00587DF1">
        <w:rPr>
          <w:rFonts w:ascii="Arial" w:eastAsia="Arial" w:hAnsi="Arial" w:cs="Arial"/>
        </w:rPr>
        <w:t xml:space="preserve"> (referred to as ‘the partners’)</w:t>
      </w:r>
      <w:r w:rsidRPr="00587DF1">
        <w:rPr>
          <w:rFonts w:ascii="Arial" w:eastAsia="Arial" w:hAnsi="Arial" w:cs="Arial"/>
        </w:rPr>
        <w:t xml:space="preserve">. </w:t>
      </w:r>
      <w:r w:rsidR="00975CD0">
        <w:rPr>
          <w:rFonts w:ascii="Arial" w:eastAsia="Arial" w:hAnsi="Arial" w:cs="Arial"/>
        </w:rPr>
        <w:t xml:space="preserve">In addition, </w:t>
      </w:r>
      <w:r w:rsidR="00975CD0" w:rsidRPr="00587DF1">
        <w:rPr>
          <w:rFonts w:ascii="Arial" w:eastAsia="Arial" w:hAnsi="Arial" w:cs="Arial"/>
        </w:rPr>
        <w:t xml:space="preserve">Moorfields Eye Charity </w:t>
      </w:r>
      <w:r w:rsidR="00975CD0">
        <w:rPr>
          <w:rFonts w:ascii="Arial" w:eastAsia="Arial" w:hAnsi="Arial" w:cs="Arial"/>
        </w:rPr>
        <w:t xml:space="preserve">(MEC) have an important role, having committed to raise significant capital and revenue funding for both partners. </w:t>
      </w:r>
      <w:r w:rsidRPr="00587DF1">
        <w:rPr>
          <w:rFonts w:ascii="Arial" w:eastAsia="Arial" w:hAnsi="Arial" w:cs="Arial"/>
        </w:rPr>
        <w:t xml:space="preserve">While some areas of the new centre will be primarily designated to one or other party, and the costs of the building will be split accordingly, the vision for the project is that the two organisations </w:t>
      </w:r>
      <w:r w:rsidR="000C6CD9">
        <w:rPr>
          <w:rFonts w:ascii="Arial" w:eastAsia="Arial" w:hAnsi="Arial" w:cs="Arial"/>
        </w:rPr>
        <w:t xml:space="preserve">will </w:t>
      </w:r>
      <w:r w:rsidRPr="00587DF1">
        <w:rPr>
          <w:rFonts w:ascii="Arial" w:eastAsia="Arial" w:hAnsi="Arial" w:cs="Arial"/>
        </w:rPr>
        <w:t>be truly integrated. Implementation of this from a commercial and financial perspective is set out in the Commercial Case (chapter 7).</w:t>
      </w:r>
    </w:p>
    <w:p w14:paraId="5706D296" w14:textId="77777777" w:rsidR="00FF7B07" w:rsidRPr="00587DF1" w:rsidRDefault="00FF7B07" w:rsidP="00FF7B07">
      <w:pPr>
        <w:spacing w:after="0"/>
        <w:rPr>
          <w:rFonts w:ascii="Arial" w:eastAsia="Arial" w:hAnsi="Arial" w:cs="Arial"/>
        </w:rPr>
      </w:pPr>
    </w:p>
    <w:bookmarkEnd w:id="13"/>
    <w:p w14:paraId="416FBA43" w14:textId="4FAE7172" w:rsidR="00F92B17" w:rsidRPr="00587DF1" w:rsidRDefault="00F92B17" w:rsidP="00F92B17">
      <w:pPr>
        <w:spacing w:after="0"/>
        <w:rPr>
          <w:rFonts w:ascii="Arial" w:eastAsia="Arial" w:hAnsi="Arial" w:cs="Arial"/>
        </w:rPr>
      </w:pPr>
      <w:r w:rsidRPr="00587DF1">
        <w:rPr>
          <w:rFonts w:ascii="Arial" w:eastAsia="Arial" w:hAnsi="Arial" w:cs="Arial"/>
        </w:rPr>
        <w:t xml:space="preserve">The total capital cost of the project </w:t>
      </w:r>
      <w:r>
        <w:rPr>
          <w:rFonts w:ascii="Arial" w:eastAsia="Arial" w:hAnsi="Arial" w:cs="Arial"/>
        </w:rPr>
        <w:t>to Moorfields</w:t>
      </w:r>
      <w:r w:rsidRPr="00587DF1">
        <w:rPr>
          <w:rFonts w:ascii="Arial" w:eastAsia="Arial" w:hAnsi="Arial" w:cs="Arial"/>
        </w:rPr>
        <w:t xml:space="preserve"> is </w:t>
      </w:r>
      <w:r w:rsidR="006B30A3">
        <w:rPr>
          <w:rFonts w:ascii="Arial" w:eastAsia="Arial" w:hAnsi="Arial" w:cs="Arial"/>
          <w:b/>
          <w:bCs/>
        </w:rPr>
        <w:t>£</w:t>
      </w:r>
      <w:r w:rsidR="00AC38C4">
        <w:rPr>
          <w:rFonts w:ascii="Arial" w:eastAsia="Arial" w:hAnsi="Arial" w:cs="Arial"/>
          <w:b/>
          <w:bCs/>
        </w:rPr>
        <w:t>XXX</w:t>
      </w:r>
      <w:r w:rsidRPr="00587DF1">
        <w:rPr>
          <w:rFonts w:ascii="Arial" w:eastAsia="Arial" w:hAnsi="Arial" w:cs="Arial"/>
          <w:b/>
          <w:bCs/>
        </w:rPr>
        <w:t>m</w:t>
      </w:r>
      <w:r w:rsidRPr="00587DF1">
        <w:rPr>
          <w:rFonts w:ascii="Arial" w:eastAsia="Arial" w:hAnsi="Arial" w:cs="Arial"/>
        </w:rPr>
        <w:t>.</w:t>
      </w:r>
    </w:p>
    <w:p w14:paraId="41BD69B0" w14:textId="77777777" w:rsidR="00FF7B07" w:rsidRPr="00587DF1" w:rsidRDefault="00FF7B07" w:rsidP="00E47761">
      <w:pPr>
        <w:spacing w:after="0"/>
        <w:rPr>
          <w:rFonts w:ascii="Arial" w:eastAsia="Arial" w:hAnsi="Arial" w:cs="Arial"/>
        </w:rPr>
      </w:pPr>
    </w:p>
    <w:p w14:paraId="1A8C5D6E" w14:textId="77777777" w:rsidR="00FF7B07" w:rsidRPr="00587DF1" w:rsidRDefault="00FF7B07" w:rsidP="00E47761">
      <w:pPr>
        <w:spacing w:after="0"/>
        <w:rPr>
          <w:rFonts w:ascii="Arial" w:eastAsia="Arial" w:hAnsi="Arial" w:cs="Arial"/>
        </w:rPr>
      </w:pPr>
    </w:p>
    <w:p w14:paraId="15E90C4C" w14:textId="77777777" w:rsidR="00E47761" w:rsidRPr="00587DF1" w:rsidRDefault="00E47761" w:rsidP="005E0D57">
      <w:pPr>
        <w:pStyle w:val="Heading2"/>
        <w:numPr>
          <w:ilvl w:val="1"/>
          <w:numId w:val="1"/>
        </w:numPr>
        <w:rPr>
          <w:rFonts w:ascii="Arial" w:hAnsi="Arial" w:cs="Arial"/>
        </w:rPr>
      </w:pPr>
      <w:bookmarkStart w:id="14" w:name="_Toc32842669"/>
      <w:r w:rsidRPr="00587DF1">
        <w:rPr>
          <w:rFonts w:ascii="Arial" w:eastAsia="Arial" w:hAnsi="Arial" w:cs="Arial"/>
        </w:rPr>
        <w:t>The journey so far</w:t>
      </w:r>
      <w:bookmarkEnd w:id="14"/>
    </w:p>
    <w:p w14:paraId="28897017" w14:textId="77777777" w:rsidR="00E47761" w:rsidRPr="00587DF1" w:rsidRDefault="00E47761" w:rsidP="00E47761">
      <w:pPr>
        <w:spacing w:after="0"/>
        <w:rPr>
          <w:rFonts w:ascii="Arial" w:eastAsia="Arial" w:hAnsi="Arial" w:cs="Arial"/>
        </w:rPr>
      </w:pPr>
    </w:p>
    <w:p w14:paraId="3B9DE9D6" w14:textId="2D1FCF23" w:rsidR="00E47761" w:rsidRPr="00587DF1" w:rsidRDefault="00E47761" w:rsidP="00E47761">
      <w:pPr>
        <w:spacing w:after="0"/>
        <w:rPr>
          <w:rFonts w:ascii="Arial" w:eastAsia="Arial" w:hAnsi="Arial" w:cs="Arial"/>
        </w:rPr>
      </w:pPr>
      <w:r w:rsidRPr="00587DF1">
        <w:rPr>
          <w:rFonts w:ascii="Arial" w:eastAsia="Arial" w:hAnsi="Arial" w:cs="Arial"/>
        </w:rPr>
        <w:t xml:space="preserve">In 2010 the </w:t>
      </w:r>
      <w:r w:rsidR="000C6CD9">
        <w:rPr>
          <w:rFonts w:ascii="Arial" w:eastAsia="Arial" w:hAnsi="Arial" w:cs="Arial"/>
        </w:rPr>
        <w:t>leadership teams</w:t>
      </w:r>
      <w:r w:rsidRPr="00587DF1">
        <w:rPr>
          <w:rFonts w:ascii="Arial" w:eastAsia="Arial" w:hAnsi="Arial" w:cs="Arial"/>
        </w:rPr>
        <w:t xml:space="preserve"> of the partner organisations established the re-provision project, to address the significant constraints imposed by the existing estate (described in chapter 3 of this OBC), with the aim of ensuring </w:t>
      </w:r>
      <w:r w:rsidR="00AD3E2C" w:rsidRPr="00587DF1">
        <w:rPr>
          <w:rFonts w:ascii="Arial" w:eastAsia="Arial" w:hAnsi="Arial" w:cs="Arial"/>
        </w:rPr>
        <w:t xml:space="preserve">Moorfields </w:t>
      </w:r>
      <w:r w:rsidRPr="00587DF1">
        <w:rPr>
          <w:rFonts w:ascii="Arial" w:eastAsia="Arial" w:hAnsi="Arial" w:cs="Arial"/>
        </w:rPr>
        <w:t xml:space="preserve">and UCL IoO remain at the forefront of ophthalmic clinical care, research and education. Work was undertaken in 2012 and early 2013 </w:t>
      </w:r>
      <w:r w:rsidR="00FF7B07" w:rsidRPr="00587DF1">
        <w:rPr>
          <w:rFonts w:ascii="Arial" w:eastAsia="Arial" w:hAnsi="Arial" w:cs="Arial"/>
        </w:rPr>
        <w:t xml:space="preserve">with Moorfields executives and clinical leads </w:t>
      </w:r>
      <w:r w:rsidRPr="00587DF1">
        <w:rPr>
          <w:rFonts w:ascii="Arial" w:eastAsia="Arial" w:hAnsi="Arial" w:cs="Arial"/>
        </w:rPr>
        <w:t xml:space="preserve">to enable a decision to be made as to whether the partners would pursue an option to develop the City Road campus (the ‘stay’ option) or relocate elsewhere in North London (the ‘go’ option). A pre-feasibility report was developed in 2013 which concluded that the preferred option was the ‘go’ option, defined as relocating the partners to the Kings Cross / Euston / St. Pancras area. </w:t>
      </w:r>
      <w:r w:rsidR="00FA2D12" w:rsidRPr="00587DF1">
        <w:rPr>
          <w:rFonts w:ascii="Arial" w:eastAsia="Arial" w:hAnsi="Arial" w:cs="Arial"/>
        </w:rPr>
        <w:t xml:space="preserve">The St Pancras site was identified as an option at this stage. </w:t>
      </w:r>
      <w:r w:rsidRPr="00587DF1">
        <w:rPr>
          <w:rFonts w:ascii="Arial" w:eastAsia="Arial" w:hAnsi="Arial" w:cs="Arial"/>
        </w:rPr>
        <w:t xml:space="preserve">This decision was supported </w:t>
      </w:r>
      <w:r w:rsidR="00FA2D12" w:rsidRPr="00587DF1">
        <w:rPr>
          <w:rFonts w:ascii="Arial" w:eastAsia="Arial" w:hAnsi="Arial" w:cs="Arial"/>
        </w:rPr>
        <w:t xml:space="preserve">by </w:t>
      </w:r>
      <w:r w:rsidRPr="00587DF1">
        <w:rPr>
          <w:rFonts w:ascii="Arial" w:eastAsia="Arial" w:hAnsi="Arial" w:cs="Arial"/>
        </w:rPr>
        <w:t xml:space="preserve">the Moorfields </w:t>
      </w:r>
      <w:r w:rsidR="00FA2D12" w:rsidRPr="00587DF1">
        <w:rPr>
          <w:rFonts w:ascii="Arial" w:eastAsia="Arial" w:hAnsi="Arial" w:cs="Arial"/>
        </w:rPr>
        <w:t xml:space="preserve">trust board </w:t>
      </w:r>
      <w:r w:rsidR="000C6CD9">
        <w:rPr>
          <w:rFonts w:ascii="Arial" w:eastAsia="Arial" w:hAnsi="Arial" w:cs="Arial"/>
        </w:rPr>
        <w:t xml:space="preserve">and membership council, </w:t>
      </w:r>
      <w:r w:rsidRPr="00587DF1">
        <w:rPr>
          <w:rFonts w:ascii="Arial" w:eastAsia="Arial" w:hAnsi="Arial" w:cs="Arial"/>
        </w:rPr>
        <w:t>and corroborated by UCL</w:t>
      </w:r>
      <w:r w:rsidR="0099383D">
        <w:rPr>
          <w:rFonts w:ascii="Arial" w:eastAsia="Arial" w:hAnsi="Arial" w:cs="Arial"/>
        </w:rPr>
        <w:t xml:space="preserve"> who favour</w:t>
      </w:r>
      <w:r w:rsidR="00623BDC">
        <w:rPr>
          <w:rFonts w:ascii="Arial" w:eastAsia="Arial" w:hAnsi="Arial" w:cs="Arial"/>
        </w:rPr>
        <w:t>ed</w:t>
      </w:r>
      <w:r w:rsidR="0099383D">
        <w:rPr>
          <w:rFonts w:ascii="Arial" w:eastAsia="Arial" w:hAnsi="Arial" w:cs="Arial"/>
        </w:rPr>
        <w:t xml:space="preserve"> the St Pancras location due to its location near the UCL Bloomsbury campus</w:t>
      </w:r>
      <w:r w:rsidRPr="00587DF1">
        <w:rPr>
          <w:rFonts w:ascii="Arial" w:eastAsia="Arial" w:hAnsi="Arial" w:cs="Arial"/>
        </w:rPr>
        <w:t>.</w:t>
      </w:r>
    </w:p>
    <w:p w14:paraId="34209B86" w14:textId="77777777" w:rsidR="00E47761" w:rsidRPr="00587DF1" w:rsidRDefault="00E47761" w:rsidP="00E47761">
      <w:pPr>
        <w:spacing w:after="0"/>
        <w:rPr>
          <w:rFonts w:ascii="Arial" w:eastAsia="Arial" w:hAnsi="Arial" w:cs="Arial"/>
        </w:rPr>
      </w:pPr>
    </w:p>
    <w:p w14:paraId="61FB22EB" w14:textId="40BB9ABC" w:rsidR="00E47761" w:rsidRPr="00587DF1" w:rsidRDefault="00E47761" w:rsidP="00E47761">
      <w:pPr>
        <w:spacing w:after="0"/>
        <w:rPr>
          <w:rFonts w:ascii="Arial" w:eastAsia="Arial" w:hAnsi="Arial" w:cs="Arial"/>
        </w:rPr>
      </w:pPr>
      <w:r w:rsidRPr="00587DF1">
        <w:rPr>
          <w:rFonts w:ascii="Arial" w:eastAsia="Arial" w:hAnsi="Arial" w:cs="Arial"/>
        </w:rPr>
        <w:t xml:space="preserve">Following this decision, a Land Acquisition Business Case was approved by </w:t>
      </w:r>
      <w:r w:rsidR="00AD3E2C" w:rsidRPr="00587DF1">
        <w:rPr>
          <w:rFonts w:ascii="Arial" w:eastAsia="Arial" w:hAnsi="Arial" w:cs="Arial"/>
        </w:rPr>
        <w:t xml:space="preserve">Moorfields </w:t>
      </w:r>
      <w:r w:rsidRPr="00587DF1">
        <w:rPr>
          <w:rFonts w:ascii="Arial" w:eastAsia="Arial" w:hAnsi="Arial" w:cs="Arial"/>
        </w:rPr>
        <w:t xml:space="preserve">and UCL in 2014, which set out the case for identifying and purchasing </w:t>
      </w:r>
      <w:r w:rsidR="00851E21" w:rsidRPr="00587DF1">
        <w:rPr>
          <w:rFonts w:ascii="Arial" w:eastAsia="Arial" w:hAnsi="Arial" w:cs="Arial"/>
        </w:rPr>
        <w:t xml:space="preserve">up to </w:t>
      </w:r>
      <w:r w:rsidRPr="00587DF1">
        <w:rPr>
          <w:rFonts w:ascii="Arial" w:eastAsia="Arial" w:hAnsi="Arial" w:cs="Arial"/>
        </w:rPr>
        <w:t xml:space="preserve">two acres of land in the Kings Cross / Euston / St. Pancras area. This was refreshed in </w:t>
      </w:r>
      <w:r w:rsidR="00000E8A" w:rsidRPr="00587DF1">
        <w:rPr>
          <w:rFonts w:ascii="Arial" w:eastAsia="Arial" w:hAnsi="Arial" w:cs="Arial"/>
        </w:rPr>
        <w:t>2017</w:t>
      </w:r>
      <w:r w:rsidRPr="00587DF1">
        <w:rPr>
          <w:rFonts w:ascii="Arial" w:eastAsia="Arial" w:hAnsi="Arial" w:cs="Arial"/>
        </w:rPr>
        <w:t xml:space="preserve">, when the opportunity arose to acquire part of the </w:t>
      </w:r>
      <w:r w:rsidR="00C9177D">
        <w:rPr>
          <w:rFonts w:ascii="Arial" w:eastAsia="Arial" w:hAnsi="Arial" w:cs="Arial"/>
        </w:rPr>
        <w:t>Camden and Islington NHS Foundation Trust</w:t>
      </w:r>
      <w:r w:rsidRPr="00587DF1">
        <w:rPr>
          <w:rFonts w:ascii="Arial" w:eastAsia="Arial" w:hAnsi="Arial" w:cs="Arial"/>
        </w:rPr>
        <w:t xml:space="preserve"> (C</w:t>
      </w:r>
      <w:r w:rsidR="00D60A93" w:rsidRPr="00587DF1">
        <w:rPr>
          <w:rFonts w:ascii="Arial" w:eastAsia="Arial" w:hAnsi="Arial" w:cs="Arial"/>
        </w:rPr>
        <w:t>&amp;</w:t>
      </w:r>
      <w:r w:rsidRPr="00587DF1">
        <w:rPr>
          <w:rFonts w:ascii="Arial" w:eastAsia="Arial" w:hAnsi="Arial" w:cs="Arial"/>
        </w:rPr>
        <w:t xml:space="preserve">I) </w:t>
      </w:r>
      <w:r w:rsidRPr="00587DF1">
        <w:rPr>
          <w:rFonts w:ascii="Arial" w:eastAsia="Arial" w:hAnsi="Arial" w:cs="Arial"/>
        </w:rPr>
        <w:lastRenderedPageBreak/>
        <w:t xml:space="preserve">site in St Pancras, and represented the Strategic Outline Case (SOC). </w:t>
      </w:r>
      <w:r w:rsidR="00125628" w:rsidRPr="00587DF1">
        <w:rPr>
          <w:rFonts w:ascii="Arial" w:eastAsia="Arial" w:hAnsi="Arial" w:cs="Arial"/>
        </w:rPr>
        <w:t>This</w:t>
      </w:r>
      <w:r w:rsidRPr="00587DF1">
        <w:rPr>
          <w:rFonts w:ascii="Arial" w:eastAsia="Arial" w:hAnsi="Arial" w:cs="Arial"/>
        </w:rPr>
        <w:t xml:space="preserve"> SOC was approved by </w:t>
      </w:r>
      <w:r w:rsidR="00000E8A" w:rsidRPr="00587DF1">
        <w:rPr>
          <w:rFonts w:ascii="Arial" w:eastAsia="Arial" w:hAnsi="Arial" w:cs="Arial"/>
        </w:rPr>
        <w:t xml:space="preserve">the Moorfields </w:t>
      </w:r>
      <w:r w:rsidR="00FA2D12" w:rsidRPr="00587DF1">
        <w:rPr>
          <w:rFonts w:ascii="Arial" w:eastAsia="Arial" w:hAnsi="Arial" w:cs="Arial"/>
        </w:rPr>
        <w:t>trust</w:t>
      </w:r>
      <w:r w:rsidRPr="00587DF1">
        <w:rPr>
          <w:rFonts w:ascii="Arial" w:eastAsia="Arial" w:hAnsi="Arial" w:cs="Arial"/>
        </w:rPr>
        <w:t xml:space="preserve"> </w:t>
      </w:r>
      <w:r w:rsidR="00000E8A" w:rsidRPr="00587DF1">
        <w:rPr>
          <w:rFonts w:ascii="Arial" w:eastAsia="Arial" w:hAnsi="Arial" w:cs="Arial"/>
        </w:rPr>
        <w:t>b</w:t>
      </w:r>
      <w:r w:rsidR="00FA2D12" w:rsidRPr="00587DF1">
        <w:rPr>
          <w:rFonts w:ascii="Arial" w:eastAsia="Arial" w:hAnsi="Arial" w:cs="Arial"/>
        </w:rPr>
        <w:t>oard</w:t>
      </w:r>
      <w:r w:rsidRPr="00587DF1">
        <w:rPr>
          <w:rFonts w:ascii="Arial" w:eastAsia="Arial" w:hAnsi="Arial" w:cs="Arial"/>
        </w:rPr>
        <w:t xml:space="preserve"> in </w:t>
      </w:r>
      <w:r w:rsidR="007036FC">
        <w:rPr>
          <w:rFonts w:ascii="Arial" w:eastAsia="Arial" w:hAnsi="Arial" w:cs="Arial"/>
        </w:rPr>
        <w:t>June 2017</w:t>
      </w:r>
      <w:r w:rsidRPr="00587DF1">
        <w:rPr>
          <w:rFonts w:ascii="Arial" w:eastAsia="Arial" w:hAnsi="Arial" w:cs="Arial"/>
        </w:rPr>
        <w:t xml:space="preserve"> and NHS Improvement (NHSI) in January 201</w:t>
      </w:r>
      <w:r w:rsidR="00000E8A" w:rsidRPr="00587DF1">
        <w:rPr>
          <w:rFonts w:ascii="Arial" w:eastAsia="Arial" w:hAnsi="Arial" w:cs="Arial"/>
        </w:rPr>
        <w:t>8</w:t>
      </w:r>
      <w:r w:rsidRPr="00587DF1">
        <w:rPr>
          <w:rFonts w:ascii="Arial" w:eastAsia="Arial" w:hAnsi="Arial" w:cs="Arial"/>
        </w:rPr>
        <w:t xml:space="preserve">. </w:t>
      </w:r>
      <w:r w:rsidR="007036FC" w:rsidRPr="007036FC">
        <w:rPr>
          <w:rFonts w:ascii="Arial" w:eastAsia="Arial" w:hAnsi="Arial" w:cs="Arial"/>
        </w:rPr>
        <w:t>UCL also received commitment from their Finance Committee to progress Oriel in October 2017</w:t>
      </w:r>
      <w:r w:rsidR="007036FC">
        <w:rPr>
          <w:rFonts w:ascii="Arial" w:eastAsia="Arial" w:hAnsi="Arial" w:cs="Arial"/>
        </w:rPr>
        <w:t xml:space="preserve">. </w:t>
      </w:r>
      <w:r w:rsidRPr="00587DF1">
        <w:rPr>
          <w:rFonts w:ascii="Arial" w:eastAsia="Arial" w:hAnsi="Arial" w:cs="Arial"/>
        </w:rPr>
        <w:t xml:space="preserve">Due to a change in the government </w:t>
      </w:r>
      <w:r w:rsidR="00FA2D12" w:rsidRPr="00587DF1">
        <w:rPr>
          <w:rFonts w:ascii="Arial" w:eastAsia="Arial" w:hAnsi="Arial" w:cs="Arial"/>
        </w:rPr>
        <w:t xml:space="preserve">guidance </w:t>
      </w:r>
      <w:r w:rsidRPr="00587DF1">
        <w:rPr>
          <w:rFonts w:ascii="Arial" w:eastAsia="Arial" w:hAnsi="Arial" w:cs="Arial"/>
        </w:rPr>
        <w:t xml:space="preserve">around public consultation during the approval period, the Department of Health and Social Care (DHSC) </w:t>
      </w:r>
      <w:r w:rsidR="00942ED8" w:rsidRPr="00587DF1">
        <w:rPr>
          <w:rFonts w:ascii="Arial" w:eastAsia="Arial" w:hAnsi="Arial" w:cs="Arial"/>
        </w:rPr>
        <w:t xml:space="preserve">reviewed the SOC but were unable to issue an </w:t>
      </w:r>
      <w:r w:rsidRPr="00587DF1">
        <w:rPr>
          <w:rFonts w:ascii="Arial" w:eastAsia="Arial" w:hAnsi="Arial" w:cs="Arial"/>
        </w:rPr>
        <w:t>appro</w:t>
      </w:r>
      <w:r w:rsidR="00942ED8" w:rsidRPr="00587DF1">
        <w:rPr>
          <w:rFonts w:ascii="Arial" w:eastAsia="Arial" w:hAnsi="Arial" w:cs="Arial"/>
        </w:rPr>
        <w:t>val</w:t>
      </w:r>
      <w:r w:rsidRPr="00587DF1">
        <w:rPr>
          <w:rFonts w:ascii="Arial" w:eastAsia="Arial" w:hAnsi="Arial" w:cs="Arial"/>
        </w:rPr>
        <w:t xml:space="preserve"> </w:t>
      </w:r>
      <w:r w:rsidR="00942ED8" w:rsidRPr="00587DF1">
        <w:rPr>
          <w:rFonts w:ascii="Arial" w:eastAsia="Arial" w:hAnsi="Arial" w:cs="Arial"/>
        </w:rPr>
        <w:t xml:space="preserve">in advance of the </w:t>
      </w:r>
      <w:r w:rsidRPr="00587DF1">
        <w:rPr>
          <w:rFonts w:ascii="Arial" w:eastAsia="Arial" w:hAnsi="Arial" w:cs="Arial"/>
        </w:rPr>
        <w:t>public consultation.</w:t>
      </w:r>
      <w:r w:rsidR="00942ED8" w:rsidRPr="00587DF1">
        <w:rPr>
          <w:rFonts w:ascii="Arial" w:eastAsia="Arial" w:hAnsi="Arial" w:cs="Arial"/>
        </w:rPr>
        <w:t xml:space="preserve"> In December 2019, DHSC confirmed that OBC review and approval could proceed without SOC approval.</w:t>
      </w:r>
    </w:p>
    <w:p w14:paraId="7A7776E5" w14:textId="77777777" w:rsidR="00E47761" w:rsidRPr="00587DF1" w:rsidRDefault="00E47761" w:rsidP="00E47761">
      <w:pPr>
        <w:spacing w:after="0"/>
        <w:rPr>
          <w:rFonts w:ascii="Arial" w:eastAsia="Arial" w:hAnsi="Arial" w:cs="Arial"/>
        </w:rPr>
      </w:pPr>
    </w:p>
    <w:p w14:paraId="5419341D" w14:textId="5CA7533F" w:rsidR="00E47761" w:rsidRPr="00587DF1" w:rsidRDefault="00E47761" w:rsidP="00E47761">
      <w:pPr>
        <w:spacing w:after="0"/>
        <w:rPr>
          <w:rFonts w:ascii="Arial" w:eastAsia="Arial" w:hAnsi="Arial" w:cs="Arial"/>
        </w:rPr>
      </w:pPr>
      <w:r w:rsidRPr="00587DF1">
        <w:rPr>
          <w:rFonts w:ascii="Arial" w:eastAsia="Arial" w:hAnsi="Arial" w:cs="Arial"/>
        </w:rPr>
        <w:t xml:space="preserve">In order to secure Public Dividend Capital (PDC) funding for the scheme, the </w:t>
      </w:r>
      <w:r w:rsidR="00FA2D12" w:rsidRPr="00587DF1">
        <w:rPr>
          <w:rFonts w:ascii="Arial" w:eastAsia="Arial" w:hAnsi="Arial" w:cs="Arial"/>
        </w:rPr>
        <w:t>trust</w:t>
      </w:r>
      <w:r w:rsidRPr="00587DF1">
        <w:rPr>
          <w:rFonts w:ascii="Arial" w:eastAsia="Arial" w:hAnsi="Arial" w:cs="Arial"/>
        </w:rPr>
        <w:t xml:space="preserve"> submitted a Wave 4 </w:t>
      </w:r>
      <w:r w:rsidR="00FA583F" w:rsidRPr="00587DF1">
        <w:rPr>
          <w:rFonts w:ascii="Arial" w:eastAsia="Arial" w:hAnsi="Arial" w:cs="Arial"/>
        </w:rPr>
        <w:t>STP</w:t>
      </w:r>
      <w:r w:rsidRPr="00587DF1">
        <w:rPr>
          <w:rFonts w:ascii="Arial" w:eastAsia="Arial" w:hAnsi="Arial" w:cs="Arial"/>
        </w:rPr>
        <w:t xml:space="preserve"> funding application to NHS England in 2018 for £</w:t>
      </w:r>
      <w:r w:rsidR="002B2926">
        <w:rPr>
          <w:rFonts w:ascii="Arial" w:eastAsia="Arial" w:hAnsi="Arial" w:cs="Arial"/>
        </w:rPr>
        <w:t>XXX</w:t>
      </w:r>
      <w:r w:rsidRPr="00587DF1">
        <w:rPr>
          <w:rFonts w:ascii="Arial" w:eastAsia="Arial" w:hAnsi="Arial" w:cs="Arial"/>
        </w:rPr>
        <w:t>m of PDC, and a £</w:t>
      </w:r>
      <w:r w:rsidR="002B2926">
        <w:rPr>
          <w:rFonts w:ascii="Arial" w:eastAsia="Arial" w:hAnsi="Arial" w:cs="Arial"/>
        </w:rPr>
        <w:t>XXX</w:t>
      </w:r>
      <w:r w:rsidRPr="00587DF1">
        <w:rPr>
          <w:rFonts w:ascii="Arial" w:eastAsia="Arial" w:hAnsi="Arial" w:cs="Arial"/>
        </w:rPr>
        <w:t xml:space="preserve">m bridging loan to be repaid once receipts for the City Road site have been received. This was approved by NHS </w:t>
      </w:r>
      <w:r w:rsidR="00FA583F" w:rsidRPr="00587DF1">
        <w:rPr>
          <w:rFonts w:ascii="Arial" w:eastAsia="Arial" w:hAnsi="Arial" w:cs="Arial"/>
        </w:rPr>
        <w:t xml:space="preserve">England </w:t>
      </w:r>
      <w:r w:rsidRPr="00587DF1">
        <w:rPr>
          <w:rFonts w:ascii="Arial" w:eastAsia="Arial" w:hAnsi="Arial" w:cs="Arial"/>
        </w:rPr>
        <w:t>and DHSC in December 2018.</w:t>
      </w:r>
      <w:r w:rsidR="00BD5E2B">
        <w:rPr>
          <w:rFonts w:ascii="Arial" w:eastAsia="Arial" w:hAnsi="Arial" w:cs="Arial"/>
        </w:rPr>
        <w:t xml:space="preserve"> Note, since this, the bridging loan requirement has increased to £</w:t>
      </w:r>
      <w:r w:rsidR="00AC38C4">
        <w:rPr>
          <w:rFonts w:ascii="Arial" w:eastAsia="Arial" w:hAnsi="Arial" w:cs="Arial"/>
        </w:rPr>
        <w:t>XXX</w:t>
      </w:r>
      <w:r w:rsidR="00BD5E2B">
        <w:rPr>
          <w:rFonts w:ascii="Arial" w:eastAsia="Arial" w:hAnsi="Arial" w:cs="Arial"/>
        </w:rPr>
        <w:t>m.</w:t>
      </w:r>
    </w:p>
    <w:p w14:paraId="65F11F5D" w14:textId="77777777" w:rsidR="00E47761" w:rsidRPr="00587DF1" w:rsidRDefault="00E47761" w:rsidP="00E47761">
      <w:pPr>
        <w:spacing w:after="0"/>
        <w:rPr>
          <w:rFonts w:ascii="Arial" w:eastAsia="Arial" w:hAnsi="Arial" w:cs="Arial"/>
        </w:rPr>
      </w:pPr>
    </w:p>
    <w:p w14:paraId="6E4D2306" w14:textId="6A99A8AC" w:rsidR="00E47761" w:rsidRPr="00587DF1" w:rsidRDefault="00AD3E2C" w:rsidP="00E47761">
      <w:pPr>
        <w:spacing w:after="0"/>
        <w:rPr>
          <w:rFonts w:ascii="Arial" w:eastAsia="Arial" w:hAnsi="Arial" w:cs="Arial"/>
        </w:rPr>
      </w:pPr>
      <w:bookmarkStart w:id="15" w:name="_Hlk10647747"/>
      <w:r w:rsidRPr="00587DF1">
        <w:rPr>
          <w:rFonts w:ascii="Arial" w:eastAsia="Arial" w:hAnsi="Arial" w:cs="Arial"/>
        </w:rPr>
        <w:t>Moorfields</w:t>
      </w:r>
      <w:r w:rsidR="00125628" w:rsidRPr="00587DF1">
        <w:rPr>
          <w:rFonts w:ascii="Arial" w:eastAsia="Arial" w:hAnsi="Arial" w:cs="Arial"/>
        </w:rPr>
        <w:t>’ commissioners</w:t>
      </w:r>
      <w:r w:rsidRPr="00587DF1">
        <w:rPr>
          <w:rFonts w:ascii="Arial" w:eastAsia="Arial" w:hAnsi="Arial" w:cs="Arial"/>
        </w:rPr>
        <w:t xml:space="preserve"> </w:t>
      </w:r>
      <w:r w:rsidR="00E47761" w:rsidRPr="00587DF1">
        <w:rPr>
          <w:rFonts w:ascii="Arial" w:eastAsia="Arial" w:hAnsi="Arial" w:cs="Arial"/>
        </w:rPr>
        <w:t xml:space="preserve">submitted a Pre-Consultation Business Case (PCBC) to </w:t>
      </w:r>
      <w:r w:rsidR="00FA583F" w:rsidRPr="00587DF1">
        <w:rPr>
          <w:rFonts w:ascii="Arial" w:eastAsia="Arial" w:hAnsi="Arial" w:cs="Arial"/>
        </w:rPr>
        <w:t>NHSE</w:t>
      </w:r>
      <w:r w:rsidR="00E07D96" w:rsidRPr="00587DF1">
        <w:rPr>
          <w:rFonts w:ascii="Arial" w:eastAsia="Arial" w:hAnsi="Arial" w:cs="Arial"/>
        </w:rPr>
        <w:t>/I</w:t>
      </w:r>
      <w:r w:rsidR="00E47761" w:rsidRPr="00587DF1">
        <w:rPr>
          <w:rFonts w:ascii="Arial" w:eastAsia="Arial" w:hAnsi="Arial" w:cs="Arial"/>
        </w:rPr>
        <w:t xml:space="preserve"> in February 2019 which set out the plans for public consultation on the proposals for Oriel. This was approved by </w:t>
      </w:r>
      <w:r w:rsidR="00125628" w:rsidRPr="00587DF1">
        <w:rPr>
          <w:rFonts w:ascii="Arial" w:eastAsia="Arial" w:hAnsi="Arial" w:cs="Arial"/>
        </w:rPr>
        <w:t xml:space="preserve">NHS England </w:t>
      </w:r>
      <w:r w:rsidR="00FA2D12" w:rsidRPr="00587DF1">
        <w:rPr>
          <w:rFonts w:ascii="Arial" w:eastAsia="Arial" w:hAnsi="Arial" w:cs="Arial"/>
        </w:rPr>
        <w:t>(on behal</w:t>
      </w:r>
      <w:r w:rsidR="00000E8A" w:rsidRPr="00587DF1">
        <w:rPr>
          <w:rFonts w:ascii="Arial" w:eastAsia="Arial" w:hAnsi="Arial" w:cs="Arial"/>
        </w:rPr>
        <w:t>f</w:t>
      </w:r>
      <w:r w:rsidR="00FA2D12" w:rsidRPr="00587DF1">
        <w:rPr>
          <w:rFonts w:ascii="Arial" w:eastAsia="Arial" w:hAnsi="Arial" w:cs="Arial"/>
        </w:rPr>
        <w:t xml:space="preserve"> of Specialised Commissioning) </w:t>
      </w:r>
      <w:r w:rsidR="00125628" w:rsidRPr="00587DF1">
        <w:rPr>
          <w:rFonts w:ascii="Arial" w:eastAsia="Arial" w:hAnsi="Arial" w:cs="Arial"/>
        </w:rPr>
        <w:t xml:space="preserve">and </w:t>
      </w:r>
      <w:r w:rsidR="00E47761" w:rsidRPr="00587DF1">
        <w:rPr>
          <w:rFonts w:ascii="Arial" w:eastAsia="Arial" w:hAnsi="Arial" w:cs="Arial"/>
        </w:rPr>
        <w:t xml:space="preserve">the Committee in Common </w:t>
      </w:r>
      <w:r w:rsidR="00125628" w:rsidRPr="00587DF1">
        <w:rPr>
          <w:rFonts w:ascii="Arial" w:eastAsia="Arial" w:hAnsi="Arial" w:cs="Arial"/>
        </w:rPr>
        <w:t xml:space="preserve">(representing the 14 </w:t>
      </w:r>
      <w:r w:rsidR="00677A5F" w:rsidRPr="00587DF1">
        <w:rPr>
          <w:rFonts w:ascii="Arial" w:eastAsia="Arial" w:hAnsi="Arial" w:cs="Arial"/>
        </w:rPr>
        <w:t>CCG</w:t>
      </w:r>
      <w:r w:rsidR="00677A5F">
        <w:rPr>
          <w:rFonts w:ascii="Arial" w:eastAsia="Arial" w:hAnsi="Arial" w:cs="Arial"/>
        </w:rPr>
        <w:t>s</w:t>
      </w:r>
      <w:r w:rsidR="00677A5F" w:rsidRPr="00587DF1">
        <w:rPr>
          <w:rFonts w:ascii="Arial" w:eastAsia="Arial" w:hAnsi="Arial" w:cs="Arial"/>
        </w:rPr>
        <w:t xml:space="preserve"> </w:t>
      </w:r>
      <w:r w:rsidR="00125628" w:rsidRPr="00587DF1">
        <w:rPr>
          <w:rFonts w:ascii="Arial" w:eastAsia="Arial" w:hAnsi="Arial" w:cs="Arial"/>
        </w:rPr>
        <w:t>who commission over £2m p.a. of activity from Moorfields</w:t>
      </w:r>
      <w:r w:rsidR="007036FC">
        <w:rPr>
          <w:rFonts w:ascii="Arial" w:eastAsia="Arial" w:hAnsi="Arial" w:cs="Arial"/>
        </w:rPr>
        <w:t xml:space="preserve"> at City Road</w:t>
      </w:r>
      <w:r w:rsidR="00125628" w:rsidRPr="00587DF1">
        <w:rPr>
          <w:rFonts w:ascii="Arial" w:eastAsia="Arial" w:hAnsi="Arial" w:cs="Arial"/>
        </w:rPr>
        <w:t xml:space="preserve">) </w:t>
      </w:r>
      <w:r w:rsidR="00FA2D12" w:rsidRPr="00587DF1">
        <w:rPr>
          <w:rFonts w:ascii="Arial" w:eastAsia="Arial" w:hAnsi="Arial" w:cs="Arial"/>
        </w:rPr>
        <w:t>on 24 April 2019</w:t>
      </w:r>
      <w:r w:rsidR="00125628" w:rsidRPr="00587DF1">
        <w:rPr>
          <w:rFonts w:ascii="Arial" w:eastAsia="Arial" w:hAnsi="Arial" w:cs="Arial"/>
        </w:rPr>
        <w:t xml:space="preserve">. The public </w:t>
      </w:r>
      <w:r w:rsidR="00E47761" w:rsidRPr="00587DF1">
        <w:rPr>
          <w:rFonts w:ascii="Arial" w:eastAsia="Arial" w:hAnsi="Arial" w:cs="Arial"/>
        </w:rPr>
        <w:t xml:space="preserve">consultation commenced </w:t>
      </w:r>
      <w:r w:rsidR="00FA2D12" w:rsidRPr="00587DF1">
        <w:rPr>
          <w:rFonts w:ascii="Arial" w:eastAsia="Arial" w:hAnsi="Arial" w:cs="Arial"/>
        </w:rPr>
        <w:t>on 24 May 2019</w:t>
      </w:r>
      <w:r w:rsidR="00E47761" w:rsidRPr="00587DF1">
        <w:rPr>
          <w:rFonts w:ascii="Arial" w:eastAsia="Arial" w:hAnsi="Arial" w:cs="Arial"/>
        </w:rPr>
        <w:t>.</w:t>
      </w:r>
      <w:r w:rsidR="00354059" w:rsidRPr="00587DF1">
        <w:rPr>
          <w:rFonts w:ascii="Arial" w:eastAsia="Arial" w:hAnsi="Arial" w:cs="Arial"/>
        </w:rPr>
        <w:t xml:space="preserve"> </w:t>
      </w:r>
      <w:r w:rsidR="00052E90" w:rsidRPr="00587DF1">
        <w:rPr>
          <w:rFonts w:ascii="Arial" w:eastAsia="Arial" w:hAnsi="Arial" w:cs="Arial"/>
        </w:rPr>
        <w:t xml:space="preserve">The Decision-Making Business Case (DMBC), which collated feedback received as well as the Integrated Impact </w:t>
      </w:r>
      <w:r w:rsidR="00623BDC">
        <w:rPr>
          <w:rFonts w:ascii="Arial" w:eastAsia="Arial" w:hAnsi="Arial" w:cs="Arial"/>
        </w:rPr>
        <w:t>A</w:t>
      </w:r>
      <w:r w:rsidR="00052E90" w:rsidRPr="00587DF1">
        <w:rPr>
          <w:rFonts w:ascii="Arial" w:eastAsia="Arial" w:hAnsi="Arial" w:cs="Arial"/>
        </w:rPr>
        <w:t>ssessment, system modelling and options appraisal validation</w:t>
      </w:r>
      <w:r w:rsidR="00052E90" w:rsidRPr="00BD5E2B">
        <w:rPr>
          <w:rFonts w:ascii="Arial" w:eastAsia="Arial" w:hAnsi="Arial" w:cs="Arial"/>
        </w:rPr>
        <w:t>, was approved</w:t>
      </w:r>
      <w:r w:rsidR="00052E90" w:rsidRPr="00587DF1">
        <w:rPr>
          <w:rFonts w:ascii="Arial" w:eastAsia="Arial" w:hAnsi="Arial" w:cs="Arial"/>
        </w:rPr>
        <w:t xml:space="preserve"> by commissioners </w:t>
      </w:r>
      <w:r w:rsidR="0025699F">
        <w:rPr>
          <w:rFonts w:ascii="Arial" w:eastAsia="Arial" w:hAnsi="Arial" w:cs="Arial"/>
        </w:rPr>
        <w:t>on</w:t>
      </w:r>
      <w:r w:rsidR="00052E90" w:rsidRPr="00587DF1">
        <w:rPr>
          <w:rFonts w:ascii="Arial" w:eastAsia="Arial" w:hAnsi="Arial" w:cs="Arial"/>
        </w:rPr>
        <w:t xml:space="preserve"> 12</w:t>
      </w:r>
      <w:r w:rsidR="007036FC">
        <w:rPr>
          <w:rFonts w:ascii="Arial" w:eastAsia="Arial" w:hAnsi="Arial" w:cs="Arial"/>
        </w:rPr>
        <w:t xml:space="preserve"> </w:t>
      </w:r>
      <w:r w:rsidR="00052E90" w:rsidRPr="00587DF1">
        <w:rPr>
          <w:rFonts w:ascii="Arial" w:eastAsia="Arial" w:hAnsi="Arial" w:cs="Arial"/>
        </w:rPr>
        <w:t xml:space="preserve">February 2020, on the basis of a series of recommendations. These are described in section </w:t>
      </w:r>
      <w:r w:rsidR="00052E90" w:rsidRPr="00587DF1">
        <w:rPr>
          <w:rFonts w:ascii="Arial" w:eastAsia="Arial" w:hAnsi="Arial" w:cs="Arial"/>
        </w:rPr>
        <w:fldChar w:fldCharType="begin"/>
      </w:r>
      <w:r w:rsidR="00052E90" w:rsidRPr="00587DF1">
        <w:rPr>
          <w:rFonts w:ascii="Arial" w:eastAsia="Arial" w:hAnsi="Arial" w:cs="Arial"/>
        </w:rPr>
        <w:instrText xml:space="preserve"> REF _Ref24699972 \r \h </w:instrText>
      </w:r>
      <w:r w:rsidR="00587DF1">
        <w:rPr>
          <w:rFonts w:ascii="Arial" w:eastAsia="Arial" w:hAnsi="Arial" w:cs="Arial"/>
        </w:rPr>
        <w:instrText xml:space="preserve"> \* MERGEFORMAT </w:instrText>
      </w:r>
      <w:r w:rsidR="00052E90" w:rsidRPr="00587DF1">
        <w:rPr>
          <w:rFonts w:ascii="Arial" w:eastAsia="Arial" w:hAnsi="Arial" w:cs="Arial"/>
        </w:rPr>
      </w:r>
      <w:r w:rsidR="00052E90" w:rsidRPr="00587DF1">
        <w:rPr>
          <w:rFonts w:ascii="Arial" w:eastAsia="Arial" w:hAnsi="Arial" w:cs="Arial"/>
        </w:rPr>
        <w:fldChar w:fldCharType="separate"/>
      </w:r>
      <w:r w:rsidR="00A936CD">
        <w:rPr>
          <w:rFonts w:ascii="Arial" w:eastAsia="Arial" w:hAnsi="Arial" w:cs="Arial"/>
        </w:rPr>
        <w:t>3.13</w:t>
      </w:r>
      <w:r w:rsidR="00052E90" w:rsidRPr="00587DF1">
        <w:rPr>
          <w:rFonts w:ascii="Arial" w:eastAsia="Arial" w:hAnsi="Arial" w:cs="Arial"/>
        </w:rPr>
        <w:fldChar w:fldCharType="end"/>
      </w:r>
      <w:r w:rsidR="00052E90" w:rsidRPr="00587DF1">
        <w:rPr>
          <w:rFonts w:ascii="Arial" w:eastAsia="Arial" w:hAnsi="Arial" w:cs="Arial"/>
        </w:rPr>
        <w:t>.</w:t>
      </w:r>
    </w:p>
    <w:bookmarkEnd w:id="15"/>
    <w:p w14:paraId="2045A121" w14:textId="4E672C38" w:rsidR="00E47761" w:rsidRPr="00587DF1" w:rsidRDefault="00E47761" w:rsidP="00E47761">
      <w:pPr>
        <w:spacing w:after="0"/>
        <w:rPr>
          <w:rFonts w:ascii="Arial" w:eastAsia="Arial" w:hAnsi="Arial" w:cs="Arial"/>
        </w:rPr>
      </w:pPr>
    </w:p>
    <w:p w14:paraId="2A4343E2" w14:textId="1A316C8F" w:rsidR="00E47761" w:rsidRPr="00587DF1" w:rsidRDefault="00E47761" w:rsidP="00E47761">
      <w:pPr>
        <w:spacing w:after="0"/>
        <w:rPr>
          <w:rFonts w:ascii="Arial" w:eastAsia="Arial" w:hAnsi="Arial" w:cs="Arial"/>
        </w:rPr>
      </w:pPr>
      <w:r w:rsidRPr="00587DF1">
        <w:rPr>
          <w:rFonts w:ascii="Arial" w:eastAsia="Arial" w:hAnsi="Arial" w:cs="Arial"/>
        </w:rPr>
        <w:t>UCL prepared a Business Case setting out the key drivers for the project and likely financial impact in 2017, which was approved by their Finance Committee in October 2017. This confirmed the university’s commitment to the scheme, and committed funding to share the cost of the design process to RIBA stage 2. In addition, UCL submitted a bid to the UK Research Partnership Investment Fund (UKRPIF) at Research England for a capital contribution to the scheme</w:t>
      </w:r>
      <w:r w:rsidR="00125628" w:rsidRPr="00587DF1">
        <w:rPr>
          <w:rFonts w:ascii="Arial" w:eastAsia="Arial" w:hAnsi="Arial" w:cs="Arial"/>
        </w:rPr>
        <w:t>, securing £</w:t>
      </w:r>
      <w:r w:rsidR="002B2926">
        <w:rPr>
          <w:rFonts w:ascii="Arial" w:eastAsia="Arial" w:hAnsi="Arial" w:cs="Arial"/>
        </w:rPr>
        <w:t>XXX</w:t>
      </w:r>
      <w:r w:rsidR="00125628" w:rsidRPr="00587DF1">
        <w:rPr>
          <w:rFonts w:ascii="Arial" w:eastAsia="Arial" w:hAnsi="Arial" w:cs="Arial"/>
        </w:rPr>
        <w:t>m funding towards their portion of the project.</w:t>
      </w:r>
    </w:p>
    <w:p w14:paraId="71900738" w14:textId="57DC8545" w:rsidR="00E47761" w:rsidRPr="00587DF1" w:rsidRDefault="00E47761" w:rsidP="00E47761">
      <w:pPr>
        <w:spacing w:after="0"/>
        <w:rPr>
          <w:rFonts w:ascii="Arial" w:eastAsia="Arial" w:hAnsi="Arial" w:cs="Arial"/>
        </w:rPr>
      </w:pPr>
    </w:p>
    <w:p w14:paraId="3D71F28B" w14:textId="2E221F48" w:rsidR="00E47761" w:rsidRPr="00587DF1" w:rsidRDefault="00E47761" w:rsidP="00E47761">
      <w:pPr>
        <w:spacing w:after="0"/>
        <w:rPr>
          <w:rFonts w:ascii="Arial" w:eastAsia="Arial" w:hAnsi="Arial" w:cs="Arial"/>
        </w:rPr>
      </w:pPr>
      <w:r w:rsidRPr="00587DF1">
        <w:rPr>
          <w:rFonts w:ascii="Arial" w:eastAsia="Arial" w:hAnsi="Arial" w:cs="Arial"/>
        </w:rPr>
        <w:t>The timeline for the project so far is summarised in the diagram below.</w:t>
      </w:r>
    </w:p>
    <w:p w14:paraId="57729A6F" w14:textId="7422C2C6" w:rsidR="00E47761" w:rsidRPr="00587DF1" w:rsidRDefault="00E47761" w:rsidP="00E47761">
      <w:pPr>
        <w:spacing w:after="0"/>
        <w:rPr>
          <w:rFonts w:ascii="Arial" w:eastAsia="Arial" w:hAnsi="Arial" w:cs="Arial"/>
        </w:rPr>
      </w:pPr>
    </w:p>
    <w:p w14:paraId="629B694B" w14:textId="7C890D17" w:rsidR="00600E4C" w:rsidRDefault="00600E4C" w:rsidP="00600E4C">
      <w:pPr>
        <w:pStyle w:val="Caption"/>
      </w:pPr>
      <w:r>
        <w:lastRenderedPageBreak/>
        <w:t xml:space="preserve">Figure </w:t>
      </w:r>
      <w:r w:rsidR="00320059">
        <w:fldChar w:fldCharType="begin"/>
      </w:r>
      <w:r w:rsidR="00320059">
        <w:instrText xml:space="preserve"> SEQ Figure \* ARABIC </w:instrText>
      </w:r>
      <w:r w:rsidR="00320059">
        <w:fldChar w:fldCharType="separate"/>
      </w:r>
      <w:r w:rsidR="00A936CD">
        <w:rPr>
          <w:noProof/>
        </w:rPr>
        <w:t>5</w:t>
      </w:r>
      <w:r w:rsidR="00320059">
        <w:fldChar w:fldCharType="end"/>
      </w:r>
      <w:r>
        <w:t xml:space="preserve">: </w:t>
      </w:r>
      <w:r w:rsidRPr="00727D45">
        <w:rPr>
          <w:b w:val="0"/>
          <w:bCs w:val="0"/>
        </w:rPr>
        <w:t>Oriel timeline to date</w:t>
      </w:r>
    </w:p>
    <w:p w14:paraId="05A82AF6" w14:textId="0D2CFA6E" w:rsidR="00125628" w:rsidRPr="00587DF1" w:rsidRDefault="00623BDC" w:rsidP="00E47761">
      <w:pPr>
        <w:spacing w:after="0"/>
        <w:rPr>
          <w:rFonts w:ascii="Arial" w:eastAsia="Arial" w:hAnsi="Arial" w:cs="Arial"/>
        </w:rPr>
      </w:pPr>
      <w:r>
        <w:rPr>
          <w:noProof/>
        </w:rPr>
        <w:drawing>
          <wp:inline distT="0" distB="0" distL="0" distR="0" wp14:anchorId="119018D1" wp14:editId="6EE46E8A">
            <wp:extent cx="4606925" cy="6389370"/>
            <wp:effectExtent l="0" t="0" r="3175" b="0"/>
            <wp:docPr id="238" name="Picture 238" descr="Oriel development to date&#10;&#10;2012 - Joint governance arrangement with UCL. Membership council briefings. In November a new hospital project board was set up.&#10;2013 - March, Trust board decision to move from City Road. November - February 2014, Formal public engagement, 7 events with 300 people.&#10;2014 - March - North Central London Joint Health Overview and Scrutiny Committee state that relocation was not a substantial change in service provision. May - Land purchase business case approved by Trust board, membership council and UCL governing body. &#10;2015/16 - Negotiation to purchase land at preferred site.&#10;2017 - June - Trust board approves refreshed land business case. July - Membership council receives and supports the Trust board updates on Oriel.&#10;2018 - Trust and commissioners establish public consultation governance. Moorfields expresses interest in two acres of land on Register of Surplus Land. June - Launch of RIBA design competition. December - DHSC confirmed STP capital bid successful, subject to consultation. &#10;2019 - January - Over 1,000 people give their views through surveys, drop-in sessions and focus groups as part of ongoing pre-consultation engagement. Feb - Moorfields entered into an Option Agreement with Camden and Islington NHS Foundation Trust. April - PCBC approved by commissioners. May - 16 week public consultation launched. September - Consultation clo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ast timeline.png"/>
                    <pic:cNvPicPr/>
                  </pic:nvPicPr>
                  <pic:blipFill rotWithShape="1">
                    <a:blip r:embed="rId17">
                      <a:extLst>
                        <a:ext uri="{28A0092B-C50C-407E-A947-70E740481C1C}">
                          <a14:useLocalDpi xmlns:a14="http://schemas.microsoft.com/office/drawing/2010/main" val="0"/>
                        </a:ext>
                      </a:extLst>
                    </a:blip>
                    <a:srcRect t="1399" b="2583"/>
                    <a:stretch/>
                  </pic:blipFill>
                  <pic:spPr bwMode="auto">
                    <a:xfrm>
                      <a:off x="0" y="0"/>
                      <a:ext cx="4606925" cy="6389370"/>
                    </a:xfrm>
                    <a:prstGeom prst="rect">
                      <a:avLst/>
                    </a:prstGeom>
                    <a:ln>
                      <a:noFill/>
                    </a:ln>
                    <a:extLst>
                      <a:ext uri="{53640926-AAD7-44D8-BBD7-CCE9431645EC}">
                        <a14:shadowObscured xmlns:a14="http://schemas.microsoft.com/office/drawing/2010/main"/>
                      </a:ext>
                    </a:extLst>
                  </pic:spPr>
                </pic:pic>
              </a:graphicData>
            </a:graphic>
          </wp:inline>
        </w:drawing>
      </w:r>
    </w:p>
    <w:p w14:paraId="45F57601" w14:textId="3E1F837F" w:rsidR="00E47761" w:rsidRPr="00587DF1" w:rsidRDefault="00E47761" w:rsidP="00E47761">
      <w:pPr>
        <w:rPr>
          <w:rFonts w:ascii="Arial" w:eastAsia="Arial" w:hAnsi="Arial" w:cs="Arial"/>
        </w:rPr>
      </w:pPr>
    </w:p>
    <w:p w14:paraId="74BCCCF7" w14:textId="036F0106" w:rsidR="00E47761" w:rsidRPr="00587DF1" w:rsidRDefault="00E47761" w:rsidP="005E0D57">
      <w:pPr>
        <w:pStyle w:val="Heading2"/>
        <w:numPr>
          <w:ilvl w:val="1"/>
          <w:numId w:val="1"/>
        </w:numPr>
        <w:rPr>
          <w:rFonts w:ascii="Arial" w:eastAsia="Arial" w:hAnsi="Arial" w:cs="Arial"/>
        </w:rPr>
      </w:pPr>
      <w:bookmarkStart w:id="16" w:name="_Toc32842670"/>
      <w:r w:rsidRPr="00587DF1">
        <w:rPr>
          <w:rFonts w:ascii="Arial" w:eastAsia="Arial" w:hAnsi="Arial" w:cs="Arial"/>
        </w:rPr>
        <w:t>Changes from SOC to OBC</w:t>
      </w:r>
      <w:bookmarkEnd w:id="16"/>
    </w:p>
    <w:p w14:paraId="0A102050" w14:textId="1D9CE0E3" w:rsidR="00E47761" w:rsidRPr="00587DF1" w:rsidRDefault="00E47761" w:rsidP="00942ED8">
      <w:pPr>
        <w:pBdr>
          <w:top w:val="nil"/>
          <w:left w:val="nil"/>
          <w:bottom w:val="nil"/>
          <w:right w:val="nil"/>
          <w:between w:val="nil"/>
        </w:pBdr>
        <w:tabs>
          <w:tab w:val="left" w:pos="567"/>
        </w:tabs>
        <w:spacing w:after="0"/>
        <w:rPr>
          <w:rFonts w:ascii="Arial" w:eastAsia="Arial" w:hAnsi="Arial" w:cs="Arial"/>
          <w:bCs/>
        </w:rPr>
      </w:pPr>
    </w:p>
    <w:p w14:paraId="27B444DA" w14:textId="183BB905" w:rsidR="00052E90" w:rsidRPr="00587DF1" w:rsidRDefault="00942ED8" w:rsidP="00052E90">
      <w:pPr>
        <w:pBdr>
          <w:top w:val="nil"/>
          <w:left w:val="nil"/>
          <w:bottom w:val="nil"/>
          <w:right w:val="nil"/>
          <w:between w:val="nil"/>
        </w:pBdr>
        <w:tabs>
          <w:tab w:val="left" w:pos="567"/>
        </w:tabs>
        <w:rPr>
          <w:rFonts w:ascii="Arial" w:eastAsia="Arial" w:hAnsi="Arial" w:cs="Arial"/>
          <w:bCs/>
        </w:rPr>
      </w:pPr>
      <w:r w:rsidRPr="00587DF1">
        <w:rPr>
          <w:rFonts w:ascii="Arial" w:eastAsia="Arial" w:hAnsi="Arial" w:cs="Arial"/>
          <w:bCs/>
        </w:rPr>
        <w:t>The key project changes since the SOC approval in January 2018 are:</w:t>
      </w:r>
    </w:p>
    <w:p w14:paraId="49C223FB" w14:textId="0934177E" w:rsidR="00942ED8" w:rsidRPr="00587DF1" w:rsidRDefault="00942ED8" w:rsidP="005E0D57">
      <w:pPr>
        <w:pStyle w:val="ListParagraph"/>
        <w:numPr>
          <w:ilvl w:val="2"/>
          <w:numId w:val="49"/>
        </w:numPr>
        <w:rPr>
          <w:rFonts w:ascii="Arial" w:hAnsi="Arial" w:cs="Arial"/>
          <w:b/>
        </w:rPr>
      </w:pPr>
      <w:r w:rsidRPr="00587DF1">
        <w:rPr>
          <w:rFonts w:ascii="Arial" w:hAnsi="Arial" w:cs="Arial"/>
          <w:bCs/>
        </w:rPr>
        <w:t xml:space="preserve">Land acquisition: The SOC was based on purchase of the Oriel portion of the St Pancras site by Moorfields Eye Charity (MEC). This OBC sets out plan for Moorfields to purchase the site with a lease-back to UCL. The MEC capital contribution to the scheme is set out in the </w:t>
      </w:r>
      <w:r w:rsidR="00236908">
        <w:rPr>
          <w:rFonts w:ascii="Arial" w:eastAsia="Arial" w:hAnsi="Arial" w:cs="Arial"/>
          <w:bCs/>
          <w:color w:val="000000"/>
        </w:rPr>
        <w:t xml:space="preserve">Finance Case </w:t>
      </w:r>
      <w:r w:rsidR="00DD5DAB">
        <w:rPr>
          <w:rFonts w:ascii="Arial" w:hAnsi="Arial" w:cs="Arial"/>
          <w:bCs/>
        </w:rPr>
        <w:t>(section 6.3.1</w:t>
      </w:r>
      <w:r w:rsidRPr="00587DF1">
        <w:rPr>
          <w:rFonts w:ascii="Arial" w:hAnsi="Arial" w:cs="Arial"/>
          <w:bCs/>
        </w:rPr>
        <w:t>).</w:t>
      </w:r>
    </w:p>
    <w:p w14:paraId="37EB2448" w14:textId="745A1E28" w:rsidR="00657038" w:rsidRPr="00587DF1" w:rsidRDefault="00942ED8" w:rsidP="005E0D57">
      <w:pPr>
        <w:pStyle w:val="ListParagraph"/>
        <w:numPr>
          <w:ilvl w:val="2"/>
          <w:numId w:val="49"/>
        </w:numPr>
        <w:rPr>
          <w:rFonts w:ascii="Arial" w:hAnsi="Arial" w:cs="Arial"/>
          <w:b/>
        </w:rPr>
      </w:pPr>
      <w:r w:rsidRPr="00587DF1">
        <w:rPr>
          <w:rFonts w:ascii="Arial" w:hAnsi="Arial" w:cs="Arial"/>
          <w:bCs/>
        </w:rPr>
        <w:lastRenderedPageBreak/>
        <w:t xml:space="preserve">Certainty of funding: Since the SOC was approved, Moorfields have successfully secured STP Wave 4 funding, and </w:t>
      </w:r>
      <w:r w:rsidR="002936CF">
        <w:rPr>
          <w:rFonts w:ascii="Arial" w:hAnsi="Arial" w:cs="Arial"/>
          <w:bCs/>
        </w:rPr>
        <w:t>UCL</w:t>
      </w:r>
      <w:r w:rsidRPr="00587DF1">
        <w:rPr>
          <w:rFonts w:ascii="Arial" w:hAnsi="Arial" w:cs="Arial"/>
          <w:bCs/>
        </w:rPr>
        <w:t xml:space="preserve"> have been awarded </w:t>
      </w:r>
      <w:r w:rsidR="00E1156C" w:rsidRPr="00587DF1">
        <w:rPr>
          <w:rFonts w:ascii="Arial" w:hAnsi="Arial" w:cs="Arial"/>
          <w:bCs/>
        </w:rPr>
        <w:t xml:space="preserve">UKRPIF (Research Partnership Investment Fund) </w:t>
      </w:r>
      <w:r w:rsidRPr="00587DF1">
        <w:rPr>
          <w:rFonts w:ascii="Arial" w:hAnsi="Arial" w:cs="Arial"/>
          <w:bCs/>
        </w:rPr>
        <w:t xml:space="preserve">funding from </w:t>
      </w:r>
      <w:r w:rsidR="00E1156C" w:rsidRPr="00587DF1">
        <w:rPr>
          <w:rFonts w:ascii="Arial" w:hAnsi="Arial" w:cs="Arial"/>
          <w:bCs/>
        </w:rPr>
        <w:t xml:space="preserve">NHS England. Further detail </w:t>
      </w:r>
      <w:r w:rsidR="002936CF">
        <w:rPr>
          <w:rFonts w:ascii="Arial" w:hAnsi="Arial" w:cs="Arial"/>
          <w:bCs/>
        </w:rPr>
        <w:t xml:space="preserve">of the Moorfields capital funding sources are set out </w:t>
      </w:r>
      <w:r w:rsidR="00E1156C" w:rsidRPr="00587DF1">
        <w:rPr>
          <w:rFonts w:ascii="Arial" w:hAnsi="Arial" w:cs="Arial"/>
          <w:bCs/>
        </w:rPr>
        <w:t xml:space="preserve">in the </w:t>
      </w:r>
      <w:r w:rsidR="00236908">
        <w:rPr>
          <w:rFonts w:ascii="Arial" w:eastAsia="Arial" w:hAnsi="Arial" w:cs="Arial"/>
          <w:bCs/>
          <w:color w:val="000000"/>
        </w:rPr>
        <w:t xml:space="preserve">Finance Case </w:t>
      </w:r>
      <w:r w:rsidR="00DD5DAB">
        <w:rPr>
          <w:rFonts w:ascii="Arial" w:hAnsi="Arial" w:cs="Arial"/>
          <w:bCs/>
        </w:rPr>
        <w:t>(section 6.3.1</w:t>
      </w:r>
      <w:r w:rsidR="00E1156C" w:rsidRPr="00587DF1">
        <w:rPr>
          <w:rFonts w:ascii="Arial" w:hAnsi="Arial" w:cs="Arial"/>
          <w:bCs/>
        </w:rPr>
        <w:t>).</w:t>
      </w:r>
    </w:p>
    <w:p w14:paraId="52DBBEAA" w14:textId="089B1187" w:rsidR="00E1156C" w:rsidRPr="00587DF1" w:rsidRDefault="00E1156C" w:rsidP="005E0D57">
      <w:pPr>
        <w:pStyle w:val="ListParagraph"/>
        <w:numPr>
          <w:ilvl w:val="2"/>
          <w:numId w:val="49"/>
        </w:numPr>
        <w:rPr>
          <w:rFonts w:ascii="Arial" w:hAnsi="Arial" w:cs="Arial"/>
          <w:b/>
        </w:rPr>
      </w:pPr>
      <w:r w:rsidRPr="00587DF1">
        <w:rPr>
          <w:rFonts w:ascii="Arial" w:hAnsi="Arial" w:cs="Arial"/>
          <w:bCs/>
        </w:rPr>
        <w:t xml:space="preserve">The public consultation </w:t>
      </w:r>
      <w:r w:rsidRPr="004F4B79">
        <w:rPr>
          <w:rFonts w:ascii="Arial" w:hAnsi="Arial" w:cs="Arial"/>
          <w:bCs/>
        </w:rPr>
        <w:t>has confirmed public and commissioner support for the scheme, on the basis of recommendations</w:t>
      </w:r>
      <w:r w:rsidRPr="00587DF1">
        <w:rPr>
          <w:rFonts w:ascii="Arial" w:hAnsi="Arial" w:cs="Arial"/>
          <w:bCs/>
        </w:rPr>
        <w:t xml:space="preserve"> set out in </w:t>
      </w:r>
      <w:r w:rsidRPr="00587DF1">
        <w:rPr>
          <w:rFonts w:ascii="Arial" w:eastAsia="Arial" w:hAnsi="Arial" w:cs="Arial"/>
        </w:rPr>
        <w:t xml:space="preserve">section </w:t>
      </w:r>
      <w:r w:rsidRPr="00587DF1">
        <w:rPr>
          <w:rFonts w:ascii="Arial" w:eastAsia="Arial" w:hAnsi="Arial" w:cs="Arial"/>
        </w:rPr>
        <w:fldChar w:fldCharType="begin"/>
      </w:r>
      <w:r w:rsidRPr="00587DF1">
        <w:rPr>
          <w:rFonts w:ascii="Arial" w:eastAsia="Arial" w:hAnsi="Arial" w:cs="Arial"/>
        </w:rPr>
        <w:instrText xml:space="preserve"> REF _Ref24699972 \r \h </w:instrText>
      </w:r>
      <w:r w:rsidR="00587DF1">
        <w:rPr>
          <w:rFonts w:ascii="Arial" w:eastAsia="Arial" w:hAnsi="Arial" w:cs="Arial"/>
        </w:rPr>
        <w:instrText xml:space="preserve"> \* MERGEFORMAT </w:instrText>
      </w:r>
      <w:r w:rsidRPr="00587DF1">
        <w:rPr>
          <w:rFonts w:ascii="Arial" w:eastAsia="Arial" w:hAnsi="Arial" w:cs="Arial"/>
        </w:rPr>
      </w:r>
      <w:r w:rsidRPr="00587DF1">
        <w:rPr>
          <w:rFonts w:ascii="Arial" w:eastAsia="Arial" w:hAnsi="Arial" w:cs="Arial"/>
        </w:rPr>
        <w:fldChar w:fldCharType="separate"/>
      </w:r>
      <w:r w:rsidR="00A936CD">
        <w:rPr>
          <w:rFonts w:ascii="Arial" w:eastAsia="Arial" w:hAnsi="Arial" w:cs="Arial"/>
        </w:rPr>
        <w:t>3.13</w:t>
      </w:r>
      <w:r w:rsidRPr="00587DF1">
        <w:rPr>
          <w:rFonts w:ascii="Arial" w:eastAsia="Arial" w:hAnsi="Arial" w:cs="Arial"/>
        </w:rPr>
        <w:fldChar w:fldCharType="end"/>
      </w:r>
      <w:r w:rsidRPr="00587DF1">
        <w:rPr>
          <w:rFonts w:ascii="Arial" w:eastAsia="Arial" w:hAnsi="Arial" w:cs="Arial"/>
        </w:rPr>
        <w:t>.</w:t>
      </w:r>
    </w:p>
    <w:p w14:paraId="532E57CC" w14:textId="77777777" w:rsidR="00657038" w:rsidRPr="00587DF1" w:rsidRDefault="00657038" w:rsidP="00657038">
      <w:pPr>
        <w:pStyle w:val="ListParagraph"/>
        <w:pBdr>
          <w:top w:val="nil"/>
          <w:left w:val="nil"/>
          <w:bottom w:val="nil"/>
          <w:right w:val="nil"/>
          <w:between w:val="nil"/>
        </w:pBdr>
        <w:spacing w:after="0"/>
        <w:ind w:left="0"/>
        <w:rPr>
          <w:rFonts w:ascii="Arial" w:hAnsi="Arial" w:cs="Arial"/>
        </w:rPr>
      </w:pPr>
    </w:p>
    <w:p w14:paraId="33EB175C" w14:textId="77777777" w:rsidR="00657038" w:rsidRPr="00587DF1" w:rsidRDefault="00657038" w:rsidP="00657038">
      <w:pPr>
        <w:pBdr>
          <w:top w:val="nil"/>
          <w:left w:val="nil"/>
          <w:bottom w:val="nil"/>
          <w:right w:val="nil"/>
          <w:between w:val="nil"/>
        </w:pBdr>
        <w:tabs>
          <w:tab w:val="left" w:pos="567"/>
        </w:tabs>
        <w:rPr>
          <w:rFonts w:ascii="Arial" w:eastAsia="Arial" w:hAnsi="Arial" w:cs="Arial"/>
          <w:bCs/>
        </w:rPr>
      </w:pPr>
      <w:r w:rsidRPr="00587DF1">
        <w:rPr>
          <w:rFonts w:ascii="Arial" w:eastAsia="Arial" w:hAnsi="Arial" w:cs="Arial"/>
          <w:bCs/>
        </w:rPr>
        <w:t>The three options shortlisted at SOC stage have been confirmed in the options refresh exercise and were brought forward for consideration at OBC stage:</w:t>
      </w:r>
    </w:p>
    <w:p w14:paraId="5CEBEDA0" w14:textId="2BB25314" w:rsidR="00657038" w:rsidRPr="00587DF1" w:rsidRDefault="00D654D3" w:rsidP="005E0D57">
      <w:pPr>
        <w:pStyle w:val="ListParagraph"/>
        <w:numPr>
          <w:ilvl w:val="2"/>
          <w:numId w:val="49"/>
        </w:numPr>
        <w:rPr>
          <w:rFonts w:ascii="Arial" w:hAnsi="Arial" w:cs="Arial"/>
          <w:b/>
        </w:rPr>
      </w:pPr>
      <w:r>
        <w:rPr>
          <w:rFonts w:ascii="Arial" w:hAnsi="Arial" w:cs="Arial"/>
          <w:b/>
        </w:rPr>
        <w:t>‘</w:t>
      </w:r>
      <w:r w:rsidR="00657038" w:rsidRPr="00587DF1">
        <w:rPr>
          <w:rFonts w:ascii="Arial" w:hAnsi="Arial" w:cs="Arial"/>
          <w:b/>
        </w:rPr>
        <w:t>Business as usual</w:t>
      </w:r>
      <w:r>
        <w:rPr>
          <w:rFonts w:ascii="Arial" w:hAnsi="Arial" w:cs="Arial"/>
          <w:b/>
        </w:rPr>
        <w:t>’</w:t>
      </w:r>
      <w:r w:rsidR="00657038" w:rsidRPr="00587DF1">
        <w:rPr>
          <w:rFonts w:ascii="Arial" w:hAnsi="Arial" w:cs="Arial"/>
          <w:bCs/>
        </w:rPr>
        <w:t xml:space="preserve"> – address backlog maintenance and compliance</w:t>
      </w:r>
      <w:r w:rsidR="0025490F">
        <w:rPr>
          <w:rFonts w:ascii="Arial" w:hAnsi="Arial" w:cs="Arial"/>
          <w:bCs/>
        </w:rPr>
        <w:t>.</w:t>
      </w:r>
    </w:p>
    <w:p w14:paraId="6207FEB8" w14:textId="2A508024" w:rsidR="00657038" w:rsidRPr="00587DF1" w:rsidRDefault="00657038" w:rsidP="005E0D57">
      <w:pPr>
        <w:pStyle w:val="ListParagraph"/>
        <w:numPr>
          <w:ilvl w:val="2"/>
          <w:numId w:val="49"/>
        </w:numPr>
        <w:rPr>
          <w:rFonts w:ascii="Arial" w:hAnsi="Arial" w:cs="Arial"/>
          <w:b/>
        </w:rPr>
      </w:pPr>
      <w:r w:rsidRPr="00587DF1">
        <w:rPr>
          <w:rFonts w:ascii="Arial" w:hAnsi="Arial" w:cs="Arial"/>
          <w:b/>
        </w:rPr>
        <w:t>Stay and redevelop at City Road</w:t>
      </w:r>
      <w:r w:rsidR="0025490F">
        <w:rPr>
          <w:rFonts w:ascii="Arial" w:hAnsi="Arial" w:cs="Arial"/>
          <w:b/>
        </w:rPr>
        <w:t>.</w:t>
      </w:r>
    </w:p>
    <w:p w14:paraId="67C3D2C0" w14:textId="7329EC05" w:rsidR="00E1156C" w:rsidRPr="00587DF1" w:rsidRDefault="00657038" w:rsidP="005E0D57">
      <w:pPr>
        <w:pStyle w:val="ListParagraph"/>
        <w:numPr>
          <w:ilvl w:val="2"/>
          <w:numId w:val="49"/>
        </w:numPr>
        <w:rPr>
          <w:rFonts w:ascii="Arial" w:hAnsi="Arial" w:cs="Arial"/>
          <w:b/>
        </w:rPr>
      </w:pPr>
      <w:r w:rsidRPr="00587DF1">
        <w:rPr>
          <w:rFonts w:ascii="Arial" w:hAnsi="Arial" w:cs="Arial"/>
          <w:b/>
        </w:rPr>
        <w:t>Preferred way forward</w:t>
      </w:r>
      <w:r w:rsidRPr="00587DF1">
        <w:rPr>
          <w:rFonts w:ascii="Arial" w:hAnsi="Arial" w:cs="Arial"/>
          <w:bCs/>
        </w:rPr>
        <w:t xml:space="preserve"> – move to St Pancras</w:t>
      </w:r>
      <w:r w:rsidR="0025490F">
        <w:rPr>
          <w:rFonts w:ascii="Arial" w:hAnsi="Arial" w:cs="Arial"/>
          <w:bCs/>
        </w:rPr>
        <w:t>.</w:t>
      </w:r>
    </w:p>
    <w:p w14:paraId="5E78FDE5" w14:textId="77777777" w:rsidR="00657038" w:rsidRPr="00587DF1" w:rsidRDefault="00657038" w:rsidP="00657038">
      <w:pPr>
        <w:pBdr>
          <w:top w:val="nil"/>
          <w:left w:val="nil"/>
          <w:bottom w:val="nil"/>
          <w:right w:val="nil"/>
          <w:between w:val="nil"/>
        </w:pBdr>
        <w:tabs>
          <w:tab w:val="left" w:pos="567"/>
        </w:tabs>
        <w:rPr>
          <w:rFonts w:ascii="Arial" w:eastAsia="Arial" w:hAnsi="Arial" w:cs="Arial"/>
          <w:bCs/>
        </w:rPr>
      </w:pPr>
      <w:r w:rsidRPr="00587DF1">
        <w:rPr>
          <w:rFonts w:ascii="Arial" w:eastAsia="Arial" w:hAnsi="Arial" w:cs="Arial"/>
          <w:bCs/>
        </w:rPr>
        <w:t xml:space="preserve">As more detailed work </w:t>
      </w:r>
      <w:r w:rsidR="003C4F0C" w:rsidRPr="00587DF1">
        <w:rPr>
          <w:rFonts w:ascii="Arial" w:eastAsia="Arial" w:hAnsi="Arial" w:cs="Arial"/>
          <w:bCs/>
        </w:rPr>
        <w:t>has</w:t>
      </w:r>
      <w:r w:rsidRPr="00587DF1">
        <w:rPr>
          <w:rFonts w:ascii="Arial" w:eastAsia="Arial" w:hAnsi="Arial" w:cs="Arial"/>
          <w:bCs/>
        </w:rPr>
        <w:t xml:space="preserve"> been carried out in the development of the OBC, two further options have been identified for inclusion on the shortlist and quantitative appraisal:</w:t>
      </w:r>
    </w:p>
    <w:p w14:paraId="62B1147A" w14:textId="2870ACCE" w:rsidR="00657038" w:rsidRPr="00587DF1" w:rsidRDefault="00657038" w:rsidP="005E0D57">
      <w:pPr>
        <w:pStyle w:val="ListParagraph"/>
        <w:numPr>
          <w:ilvl w:val="2"/>
          <w:numId w:val="49"/>
        </w:numPr>
        <w:rPr>
          <w:rFonts w:ascii="Arial" w:hAnsi="Arial" w:cs="Arial"/>
        </w:rPr>
      </w:pPr>
      <w:r w:rsidRPr="00587DF1">
        <w:rPr>
          <w:rFonts w:ascii="Arial" w:hAnsi="Arial" w:cs="Arial"/>
          <w:b/>
        </w:rPr>
        <w:t xml:space="preserve">Variant </w:t>
      </w:r>
      <w:r w:rsidR="00E1156C" w:rsidRPr="00587DF1">
        <w:rPr>
          <w:rFonts w:ascii="Arial" w:hAnsi="Arial" w:cs="Arial"/>
          <w:b/>
        </w:rPr>
        <w:t xml:space="preserve">of Do nothing (BAU) </w:t>
      </w:r>
      <w:r w:rsidRPr="00587DF1">
        <w:rPr>
          <w:rFonts w:ascii="Arial" w:hAnsi="Arial" w:cs="Arial"/>
        </w:rPr>
        <w:t xml:space="preserve">– </w:t>
      </w:r>
      <w:r w:rsidR="00E1156C" w:rsidRPr="00587DF1">
        <w:rPr>
          <w:rFonts w:ascii="Arial" w:hAnsi="Arial" w:cs="Arial"/>
        </w:rPr>
        <w:t xml:space="preserve">this is </w:t>
      </w:r>
      <w:r w:rsidRPr="00587DF1">
        <w:rPr>
          <w:rFonts w:ascii="Arial" w:hAnsi="Arial" w:cs="Arial"/>
        </w:rPr>
        <w:t xml:space="preserve">a </w:t>
      </w:r>
      <w:r w:rsidRPr="00587DF1">
        <w:rPr>
          <w:rFonts w:ascii="Arial" w:hAnsi="Arial" w:cs="Arial"/>
          <w:b/>
        </w:rPr>
        <w:t>do minimum option</w:t>
      </w:r>
      <w:r w:rsidRPr="00587DF1">
        <w:rPr>
          <w:rFonts w:ascii="Arial" w:hAnsi="Arial" w:cs="Arial"/>
        </w:rPr>
        <w:t xml:space="preserve"> which describes the minimum investment required at the City Road site in order for Moorfields to remain in occupation for the long term. This reflects additional works above and beyond the </w:t>
      </w:r>
      <w:r w:rsidR="007F01A5">
        <w:rPr>
          <w:rFonts w:ascii="Arial" w:hAnsi="Arial" w:cs="Arial"/>
        </w:rPr>
        <w:t>‘</w:t>
      </w:r>
      <w:r w:rsidRPr="00587DF1">
        <w:rPr>
          <w:rFonts w:ascii="Arial" w:hAnsi="Arial" w:cs="Arial"/>
        </w:rPr>
        <w:t>mend and make do</w:t>
      </w:r>
      <w:r w:rsidR="007F01A5">
        <w:rPr>
          <w:rFonts w:ascii="Arial" w:hAnsi="Arial" w:cs="Arial"/>
        </w:rPr>
        <w:t>’</w:t>
      </w:r>
      <w:r w:rsidRPr="00587DF1">
        <w:rPr>
          <w:rFonts w:ascii="Arial" w:hAnsi="Arial" w:cs="Arial"/>
        </w:rPr>
        <w:t xml:space="preserve"> investment currently taking place on the site, and is described in more detail </w:t>
      </w:r>
      <w:r w:rsidR="004F4B79">
        <w:rPr>
          <w:rFonts w:ascii="Arial" w:hAnsi="Arial" w:cs="Arial"/>
        </w:rPr>
        <w:t>in Appendix 4B</w:t>
      </w:r>
      <w:r w:rsidRPr="00587DF1">
        <w:rPr>
          <w:rFonts w:ascii="Arial" w:hAnsi="Arial" w:cs="Arial"/>
        </w:rPr>
        <w:t xml:space="preserve">. </w:t>
      </w:r>
    </w:p>
    <w:p w14:paraId="3E6B87CD" w14:textId="77777777" w:rsidR="00E1156C" w:rsidRPr="00587DF1" w:rsidRDefault="00657038" w:rsidP="005E0D57">
      <w:pPr>
        <w:pStyle w:val="ListParagraph"/>
        <w:numPr>
          <w:ilvl w:val="2"/>
          <w:numId w:val="49"/>
        </w:numPr>
        <w:rPr>
          <w:rFonts w:ascii="Arial" w:hAnsi="Arial" w:cs="Arial"/>
        </w:rPr>
      </w:pPr>
      <w:r w:rsidRPr="00587DF1">
        <w:rPr>
          <w:rFonts w:ascii="Arial" w:hAnsi="Arial" w:cs="Arial"/>
          <w:b/>
        </w:rPr>
        <w:t>Variant</w:t>
      </w:r>
      <w:r w:rsidR="00E1156C" w:rsidRPr="00587DF1">
        <w:rPr>
          <w:rFonts w:ascii="Arial" w:hAnsi="Arial" w:cs="Arial"/>
          <w:b/>
        </w:rPr>
        <w:t>s</w:t>
      </w:r>
      <w:r w:rsidRPr="00587DF1">
        <w:rPr>
          <w:rFonts w:ascii="Arial" w:hAnsi="Arial" w:cs="Arial"/>
          <w:b/>
        </w:rPr>
        <w:t xml:space="preserve"> </w:t>
      </w:r>
      <w:r w:rsidR="00E1156C" w:rsidRPr="00587DF1">
        <w:rPr>
          <w:rFonts w:ascii="Arial" w:hAnsi="Arial" w:cs="Arial"/>
          <w:b/>
        </w:rPr>
        <w:t>of the preferred way forward</w:t>
      </w:r>
      <w:r w:rsidRPr="00587DF1">
        <w:rPr>
          <w:rFonts w:ascii="Arial" w:hAnsi="Arial" w:cs="Arial"/>
        </w:rPr>
        <w:t xml:space="preserve"> – </w:t>
      </w:r>
      <w:r w:rsidR="00E1156C" w:rsidRPr="00587DF1">
        <w:rPr>
          <w:rFonts w:ascii="Arial" w:hAnsi="Arial" w:cs="Arial"/>
        </w:rPr>
        <w:t>the SOC identified a preferred way forward of a 43,000m</w:t>
      </w:r>
      <w:r w:rsidR="00E1156C" w:rsidRPr="00587DF1">
        <w:rPr>
          <w:rFonts w:ascii="Arial" w:hAnsi="Arial" w:cs="Arial"/>
          <w:vertAlign w:val="superscript"/>
        </w:rPr>
        <w:t>2</w:t>
      </w:r>
      <w:r w:rsidR="00E1156C" w:rsidRPr="00587DF1">
        <w:rPr>
          <w:rFonts w:ascii="Arial" w:hAnsi="Arial" w:cs="Arial"/>
        </w:rPr>
        <w:t xml:space="preserve"> new facility on the St Pancras site. Design development within better-defined affordability constraints has identified two variants of this option:</w:t>
      </w:r>
    </w:p>
    <w:p w14:paraId="3E45AA80" w14:textId="77777777" w:rsidR="00E1156C" w:rsidRPr="00587DF1" w:rsidRDefault="00E1156C" w:rsidP="005E0D57">
      <w:pPr>
        <w:pStyle w:val="ListParagraph"/>
        <w:numPr>
          <w:ilvl w:val="3"/>
          <w:numId w:val="49"/>
        </w:numPr>
        <w:rPr>
          <w:rFonts w:ascii="Arial" w:hAnsi="Arial" w:cs="Arial"/>
        </w:rPr>
      </w:pPr>
      <w:r w:rsidRPr="00587DF1">
        <w:rPr>
          <w:rFonts w:ascii="Arial" w:hAnsi="Arial" w:cs="Arial"/>
        </w:rPr>
        <w:t>39,500m</w:t>
      </w:r>
      <w:r w:rsidRPr="00587DF1">
        <w:rPr>
          <w:rFonts w:ascii="Arial" w:hAnsi="Arial" w:cs="Arial"/>
          <w:vertAlign w:val="superscript"/>
        </w:rPr>
        <w:t>2</w:t>
      </w:r>
      <w:r w:rsidRPr="00587DF1">
        <w:rPr>
          <w:rFonts w:ascii="Arial" w:hAnsi="Arial" w:cs="Arial"/>
        </w:rPr>
        <w:t xml:space="preserve"> new facility, which meets affordability requirements and accommodates all baseline clinical, research and education services.</w:t>
      </w:r>
    </w:p>
    <w:p w14:paraId="11AAC0FA" w14:textId="77777777" w:rsidR="00657038" w:rsidRPr="00587DF1" w:rsidRDefault="00657038" w:rsidP="005E0D57">
      <w:pPr>
        <w:pStyle w:val="ListParagraph"/>
        <w:numPr>
          <w:ilvl w:val="3"/>
          <w:numId w:val="49"/>
        </w:numPr>
        <w:rPr>
          <w:rFonts w:ascii="Arial" w:hAnsi="Arial" w:cs="Arial"/>
        </w:rPr>
      </w:pPr>
      <w:r w:rsidRPr="00587DF1">
        <w:rPr>
          <w:rFonts w:ascii="Arial" w:hAnsi="Arial" w:cs="Arial"/>
        </w:rPr>
        <w:t>43,000</w:t>
      </w:r>
      <w:r w:rsidR="00E1156C" w:rsidRPr="00587DF1">
        <w:rPr>
          <w:rFonts w:ascii="Arial" w:hAnsi="Arial" w:cs="Arial"/>
        </w:rPr>
        <w:t>m</w:t>
      </w:r>
      <w:r w:rsidR="00E1156C" w:rsidRPr="00587DF1">
        <w:rPr>
          <w:rFonts w:ascii="Arial" w:hAnsi="Arial" w:cs="Arial"/>
          <w:vertAlign w:val="superscript"/>
        </w:rPr>
        <w:t>2</w:t>
      </w:r>
      <w:r w:rsidR="00E1156C" w:rsidRPr="00587DF1">
        <w:rPr>
          <w:rFonts w:ascii="Arial" w:hAnsi="Arial" w:cs="Arial"/>
        </w:rPr>
        <w:t xml:space="preserve"> new facility which represents </w:t>
      </w:r>
      <w:r w:rsidRPr="00587DF1">
        <w:rPr>
          <w:rFonts w:ascii="Arial" w:hAnsi="Arial" w:cs="Arial"/>
        </w:rPr>
        <w:t xml:space="preserve">an upside scenario. The larger size will accommodate space for commercial opportunities to expand private patients, research and education where it is clear the additional contribution will cover the additional capital cost. For example, there is an opportunity to form commercial partnerships with pharmaceutical and biosciences companies however at OBC stage </w:t>
      </w:r>
      <w:r w:rsidR="00C430AE">
        <w:rPr>
          <w:rFonts w:ascii="Arial" w:hAnsi="Arial" w:cs="Arial"/>
        </w:rPr>
        <w:t>negotiations are not sufficiently advanced to provide adequate certainty that this is a viable option</w:t>
      </w:r>
      <w:r w:rsidRPr="00587DF1">
        <w:rPr>
          <w:rFonts w:ascii="Arial" w:hAnsi="Arial" w:cs="Arial"/>
        </w:rPr>
        <w:t xml:space="preserve">. </w:t>
      </w:r>
    </w:p>
    <w:p w14:paraId="5EB9ED71" w14:textId="454E33C6" w:rsidR="00657038" w:rsidRPr="00587DF1" w:rsidRDefault="00657038" w:rsidP="00657038">
      <w:pPr>
        <w:rPr>
          <w:rFonts w:ascii="Arial" w:eastAsia="Arial" w:hAnsi="Arial" w:cs="Arial"/>
        </w:rPr>
      </w:pPr>
      <w:r w:rsidRPr="00587DF1">
        <w:rPr>
          <w:rFonts w:ascii="Arial" w:eastAsia="Arial" w:hAnsi="Arial" w:cs="Arial"/>
        </w:rPr>
        <w:t xml:space="preserve">Further detail is provided in the Economic Case (section </w:t>
      </w:r>
      <w:r w:rsidR="0004407D">
        <w:rPr>
          <w:rFonts w:ascii="Arial" w:eastAsia="Arial" w:hAnsi="Arial" w:cs="Arial"/>
        </w:rPr>
        <w:fldChar w:fldCharType="begin"/>
      </w:r>
      <w:r w:rsidR="0004407D">
        <w:rPr>
          <w:rFonts w:ascii="Arial" w:eastAsia="Arial" w:hAnsi="Arial" w:cs="Arial"/>
        </w:rPr>
        <w:instrText xml:space="preserve"> REF _Ref33018968 \r \h </w:instrText>
      </w:r>
      <w:r w:rsidR="0004407D">
        <w:rPr>
          <w:rFonts w:ascii="Arial" w:eastAsia="Arial" w:hAnsi="Arial" w:cs="Arial"/>
        </w:rPr>
      </w:r>
      <w:r w:rsidR="0004407D">
        <w:rPr>
          <w:rFonts w:ascii="Arial" w:eastAsia="Arial" w:hAnsi="Arial" w:cs="Arial"/>
        </w:rPr>
        <w:fldChar w:fldCharType="separate"/>
      </w:r>
      <w:r w:rsidR="00A936CD">
        <w:rPr>
          <w:rFonts w:ascii="Arial" w:eastAsia="Arial" w:hAnsi="Arial" w:cs="Arial"/>
        </w:rPr>
        <w:t>4.4</w:t>
      </w:r>
      <w:r w:rsidR="0004407D">
        <w:rPr>
          <w:rFonts w:ascii="Arial" w:eastAsia="Arial" w:hAnsi="Arial" w:cs="Arial"/>
        </w:rPr>
        <w:fldChar w:fldCharType="end"/>
      </w:r>
      <w:r w:rsidRPr="00587DF1">
        <w:rPr>
          <w:rFonts w:ascii="Arial" w:eastAsia="Arial" w:hAnsi="Arial" w:cs="Arial"/>
        </w:rPr>
        <w:t>).</w:t>
      </w:r>
    </w:p>
    <w:p w14:paraId="1DD6F1DA" w14:textId="77777777" w:rsidR="00657038" w:rsidRPr="00587DF1" w:rsidRDefault="00657038" w:rsidP="00E47761">
      <w:pPr>
        <w:spacing w:after="0"/>
        <w:rPr>
          <w:rFonts w:ascii="Arial" w:eastAsia="Arial" w:hAnsi="Arial" w:cs="Arial"/>
        </w:rPr>
      </w:pPr>
    </w:p>
    <w:p w14:paraId="5A08FDF4" w14:textId="77777777" w:rsidR="00E47761" w:rsidRPr="00587DF1" w:rsidRDefault="00E47761" w:rsidP="00E47761">
      <w:pPr>
        <w:spacing w:after="0"/>
        <w:rPr>
          <w:rFonts w:ascii="Arial" w:eastAsia="Arial" w:hAnsi="Arial" w:cs="Arial"/>
        </w:rPr>
      </w:pPr>
    </w:p>
    <w:p w14:paraId="2603579A" w14:textId="77777777" w:rsidR="00E47761" w:rsidRPr="00587DF1" w:rsidRDefault="00E47761" w:rsidP="00E47761">
      <w:pPr>
        <w:spacing w:after="0"/>
        <w:rPr>
          <w:rFonts w:ascii="Arial" w:eastAsia="Arial" w:hAnsi="Arial" w:cs="Arial"/>
        </w:rPr>
      </w:pPr>
      <w:r w:rsidRPr="00587DF1">
        <w:rPr>
          <w:rFonts w:ascii="Arial" w:eastAsia="Arial" w:hAnsi="Arial" w:cs="Arial"/>
        </w:rPr>
        <w:br w:type="page"/>
      </w:r>
    </w:p>
    <w:p w14:paraId="6944803E" w14:textId="77777777" w:rsidR="00E47761" w:rsidRPr="00587DF1" w:rsidRDefault="00E47761" w:rsidP="005E0D57">
      <w:pPr>
        <w:pStyle w:val="Heading1"/>
        <w:numPr>
          <w:ilvl w:val="0"/>
          <w:numId w:val="1"/>
        </w:numPr>
        <w:ind w:hanging="720"/>
        <w:rPr>
          <w:rFonts w:ascii="Arial" w:eastAsia="Arial" w:hAnsi="Arial" w:cs="Arial"/>
        </w:rPr>
      </w:pPr>
      <w:r w:rsidRPr="00587DF1">
        <w:rPr>
          <w:rFonts w:ascii="Arial" w:eastAsia="Arial" w:hAnsi="Arial" w:cs="Arial"/>
        </w:rPr>
        <w:lastRenderedPageBreak/>
        <w:t xml:space="preserve"> </w:t>
      </w:r>
      <w:bookmarkStart w:id="17" w:name="_Toc7100788"/>
      <w:bookmarkStart w:id="18" w:name="_Toc7100825"/>
      <w:bookmarkStart w:id="19" w:name="_Toc7100886"/>
      <w:bookmarkStart w:id="20" w:name="_Toc7105312"/>
      <w:bookmarkStart w:id="21" w:name="_Toc32842671"/>
      <w:bookmarkEnd w:id="17"/>
      <w:bookmarkEnd w:id="18"/>
      <w:bookmarkEnd w:id="19"/>
      <w:bookmarkEnd w:id="20"/>
      <w:r w:rsidRPr="00587DF1">
        <w:rPr>
          <w:rFonts w:ascii="Arial" w:eastAsia="Arial" w:hAnsi="Arial" w:cs="Arial"/>
        </w:rPr>
        <w:t>Strategic case</w:t>
      </w:r>
      <w:bookmarkEnd w:id="21"/>
    </w:p>
    <w:p w14:paraId="03F8A770" w14:textId="77777777" w:rsidR="00E47761" w:rsidRPr="00587DF1" w:rsidRDefault="00E47761" w:rsidP="00E47761">
      <w:pPr>
        <w:spacing w:after="0" w:line="240" w:lineRule="auto"/>
        <w:rPr>
          <w:rFonts w:ascii="Arial" w:eastAsia="Arial" w:hAnsi="Arial" w:cs="Arial"/>
        </w:rPr>
      </w:pPr>
    </w:p>
    <w:tbl>
      <w:tblPr>
        <w:tblW w:w="0" w:type="auto"/>
        <w:tblLook w:val="04A0" w:firstRow="1" w:lastRow="0" w:firstColumn="1" w:lastColumn="0" w:noHBand="0" w:noVBand="1"/>
      </w:tblPr>
      <w:tblGrid>
        <w:gridCol w:w="9016"/>
      </w:tblGrid>
      <w:tr w:rsidR="00000E8A" w:rsidRPr="00587DF1" w14:paraId="74A7BF10" w14:textId="77777777" w:rsidTr="0047556D">
        <w:tc>
          <w:tcPr>
            <w:tcW w:w="9016" w:type="dxa"/>
            <w:tcBorders>
              <w:top w:val="single" w:sz="4" w:space="0" w:color="00A09D"/>
              <w:left w:val="single" w:sz="4" w:space="0" w:color="00A09D"/>
              <w:bottom w:val="single" w:sz="4" w:space="0" w:color="00A09D"/>
              <w:right w:val="single" w:sz="4" w:space="0" w:color="00A09D"/>
            </w:tcBorders>
            <w:shd w:val="clear" w:color="auto" w:fill="DEECEF"/>
          </w:tcPr>
          <w:p w14:paraId="753C3027" w14:textId="77777777" w:rsidR="00000E8A" w:rsidRPr="00587DF1" w:rsidRDefault="00000E8A" w:rsidP="0047556D">
            <w:pPr>
              <w:rPr>
                <w:rFonts w:ascii="Arial" w:hAnsi="Arial" w:cs="Arial"/>
                <w:b/>
                <w:bCs/>
                <w:color w:val="00A09D"/>
              </w:rPr>
            </w:pPr>
            <w:bookmarkStart w:id="22" w:name="_3znysh7" w:colFirst="0" w:colLast="0"/>
            <w:bookmarkEnd w:id="22"/>
            <w:r w:rsidRPr="00587DF1">
              <w:rPr>
                <w:rFonts w:ascii="Arial" w:hAnsi="Arial" w:cs="Arial"/>
                <w:b/>
                <w:bCs/>
                <w:color w:val="00A09D"/>
              </w:rPr>
              <w:t>Strategic Case – chapter summary</w:t>
            </w:r>
          </w:p>
          <w:p w14:paraId="2110386A" w14:textId="7030AE9D" w:rsidR="00000E8A" w:rsidRPr="00587DF1" w:rsidRDefault="00000E8A" w:rsidP="00000E8A">
            <w:pPr>
              <w:rPr>
                <w:rFonts w:ascii="Arial" w:eastAsia="Arial" w:hAnsi="Arial" w:cs="Arial"/>
              </w:rPr>
            </w:pPr>
            <w:r w:rsidRPr="00587DF1">
              <w:rPr>
                <w:rFonts w:ascii="Arial" w:eastAsia="Arial" w:hAnsi="Arial" w:cs="Arial"/>
              </w:rPr>
              <w:t xml:space="preserve">This </w:t>
            </w:r>
            <w:r w:rsidR="00236908">
              <w:rPr>
                <w:rFonts w:ascii="Arial" w:hAnsi="Arial" w:cs="Arial"/>
              </w:rPr>
              <w:t xml:space="preserve">Strategic Case </w:t>
            </w:r>
            <w:r w:rsidRPr="00587DF1">
              <w:rPr>
                <w:rFonts w:ascii="Arial" w:eastAsia="Arial" w:hAnsi="Arial" w:cs="Arial"/>
              </w:rPr>
              <w:t xml:space="preserve">chapter is split into three parts. </w:t>
            </w:r>
            <w:r w:rsidRPr="00587DF1">
              <w:rPr>
                <w:rFonts w:ascii="Arial" w:eastAsia="Arial" w:hAnsi="Arial" w:cs="Arial"/>
                <w:b/>
                <w:bCs/>
              </w:rPr>
              <w:t>Part A – agreeing the strategic context</w:t>
            </w:r>
            <w:r w:rsidRPr="00587DF1">
              <w:rPr>
                <w:rFonts w:ascii="Arial" w:eastAsia="Arial" w:hAnsi="Arial" w:cs="Arial"/>
              </w:rPr>
              <w:t xml:space="preserve"> explains how Oriel will support, and is consistent with existing national, regional and local strategy. It provides an overview of the St Pancras redevelopment programme, of which Oriel </w:t>
            </w:r>
            <w:r w:rsidR="00C430AE">
              <w:rPr>
                <w:rFonts w:ascii="Arial" w:eastAsia="Arial" w:hAnsi="Arial" w:cs="Arial"/>
              </w:rPr>
              <w:t>is</w:t>
            </w:r>
            <w:r w:rsidRPr="00587DF1">
              <w:rPr>
                <w:rFonts w:ascii="Arial" w:eastAsia="Arial" w:hAnsi="Arial" w:cs="Arial"/>
              </w:rPr>
              <w:t xml:space="preserve"> part.</w:t>
            </w:r>
          </w:p>
          <w:p w14:paraId="0650F1E2" w14:textId="77777777" w:rsidR="00000E8A" w:rsidRPr="00587DF1" w:rsidRDefault="00000E8A" w:rsidP="00000E8A">
            <w:pPr>
              <w:rPr>
                <w:rFonts w:ascii="Arial" w:eastAsia="Arial" w:hAnsi="Arial" w:cs="Arial"/>
              </w:rPr>
            </w:pPr>
            <w:r w:rsidRPr="00587DF1">
              <w:rPr>
                <w:rFonts w:ascii="Arial" w:eastAsia="Arial" w:hAnsi="Arial" w:cs="Arial"/>
                <w:b/>
                <w:bCs/>
              </w:rPr>
              <w:t xml:space="preserve">Part B – making the case for change </w:t>
            </w:r>
            <w:r w:rsidRPr="00587DF1">
              <w:rPr>
                <w:rFonts w:ascii="Arial" w:eastAsia="Arial" w:hAnsi="Arial" w:cs="Arial"/>
              </w:rPr>
              <w:t>provides an overview of Moorfields and its services, as well as the partnership between the trust and UCL. It details the significant engagement undertaken with clinical leads, patients and staff, commissioners and others in developing the case for change, investment objectives and options.</w:t>
            </w:r>
          </w:p>
          <w:p w14:paraId="6A5C277E" w14:textId="77777777" w:rsidR="00000E8A" w:rsidRPr="00587DF1" w:rsidRDefault="00000E8A" w:rsidP="0066359B">
            <w:pPr>
              <w:spacing w:after="0"/>
              <w:rPr>
                <w:rFonts w:ascii="Arial" w:eastAsia="Arial" w:hAnsi="Arial" w:cs="Arial"/>
              </w:rPr>
            </w:pPr>
            <w:r w:rsidRPr="00587DF1">
              <w:rPr>
                <w:rFonts w:ascii="Arial" w:eastAsia="Arial" w:hAnsi="Arial" w:cs="Arial"/>
              </w:rPr>
              <w:t>It</w:t>
            </w:r>
            <w:r w:rsidRPr="00587DF1">
              <w:rPr>
                <w:rFonts w:ascii="Arial" w:eastAsia="Arial" w:hAnsi="Arial" w:cs="Arial"/>
                <w:b/>
                <w:bCs/>
              </w:rPr>
              <w:t xml:space="preserve"> </w:t>
            </w:r>
            <w:r w:rsidRPr="00587DF1">
              <w:rPr>
                <w:rFonts w:ascii="Arial" w:eastAsia="Arial" w:hAnsi="Arial" w:cs="Arial"/>
              </w:rPr>
              <w:t>also sets out the case for change, as follows;</w:t>
            </w:r>
          </w:p>
          <w:p w14:paraId="6C63F60C" w14:textId="77777777" w:rsidR="00000E8A" w:rsidRPr="00587DF1" w:rsidRDefault="00000E8A" w:rsidP="005E0D57">
            <w:pPr>
              <w:pStyle w:val="ListParagraph"/>
              <w:numPr>
                <w:ilvl w:val="0"/>
                <w:numId w:val="4"/>
              </w:numPr>
              <w:rPr>
                <w:rFonts w:ascii="Arial" w:eastAsia="Arial" w:hAnsi="Arial" w:cs="Arial"/>
                <w:color w:val="000000"/>
              </w:rPr>
            </w:pPr>
            <w:bookmarkStart w:id="23" w:name="_Hlk27134876"/>
            <w:r w:rsidRPr="00587DF1">
              <w:rPr>
                <w:rFonts w:ascii="Arial" w:eastAsia="Arial" w:hAnsi="Arial" w:cs="Arial"/>
                <w:color w:val="000000"/>
              </w:rPr>
              <w:t>Poor patient experience arising from the estate</w:t>
            </w:r>
          </w:p>
          <w:p w14:paraId="51E30C11" w14:textId="77777777" w:rsidR="00000E8A" w:rsidRPr="00587DF1" w:rsidRDefault="00000E8A" w:rsidP="005E0D57">
            <w:pPr>
              <w:pStyle w:val="ListParagraph"/>
              <w:numPr>
                <w:ilvl w:val="0"/>
                <w:numId w:val="4"/>
              </w:numPr>
              <w:rPr>
                <w:rFonts w:ascii="Arial" w:eastAsia="Arial" w:hAnsi="Arial" w:cs="Arial"/>
                <w:color w:val="000000"/>
              </w:rPr>
            </w:pPr>
            <w:r w:rsidRPr="00587DF1">
              <w:rPr>
                <w:rFonts w:ascii="Arial" w:eastAsia="Arial" w:hAnsi="Arial" w:cs="Arial"/>
                <w:color w:val="000000"/>
              </w:rPr>
              <w:t>Risk of future service failure</w:t>
            </w:r>
          </w:p>
          <w:p w14:paraId="0E52BCA0" w14:textId="77777777" w:rsidR="00C430AE" w:rsidRPr="00587DF1" w:rsidRDefault="00C430AE" w:rsidP="005E0D57">
            <w:pPr>
              <w:pStyle w:val="ListParagraph"/>
              <w:numPr>
                <w:ilvl w:val="0"/>
                <w:numId w:val="4"/>
              </w:numPr>
              <w:rPr>
                <w:rFonts w:ascii="Arial" w:eastAsia="Arial" w:hAnsi="Arial" w:cs="Arial"/>
                <w:color w:val="000000"/>
              </w:rPr>
            </w:pPr>
            <w:r w:rsidRPr="00587DF1">
              <w:rPr>
                <w:rFonts w:ascii="Arial" w:eastAsia="Arial" w:hAnsi="Arial" w:cs="Arial"/>
                <w:color w:val="000000"/>
              </w:rPr>
              <w:t>Inefficiencies in service delivery</w:t>
            </w:r>
          </w:p>
          <w:p w14:paraId="171AEE70" w14:textId="77777777" w:rsidR="00000E8A" w:rsidRPr="00587DF1" w:rsidRDefault="00000E8A" w:rsidP="005E0D57">
            <w:pPr>
              <w:pStyle w:val="ListParagraph"/>
              <w:numPr>
                <w:ilvl w:val="0"/>
                <w:numId w:val="4"/>
              </w:numPr>
              <w:rPr>
                <w:rFonts w:ascii="Arial" w:eastAsia="Arial" w:hAnsi="Arial" w:cs="Arial"/>
                <w:color w:val="000000"/>
              </w:rPr>
            </w:pPr>
            <w:r w:rsidRPr="00587DF1">
              <w:rPr>
                <w:rFonts w:ascii="Arial" w:eastAsia="Arial" w:hAnsi="Arial" w:cs="Arial"/>
                <w:color w:val="000000"/>
              </w:rPr>
              <w:t>Significant investment will be required to keep the current buildings running</w:t>
            </w:r>
          </w:p>
          <w:p w14:paraId="7F3A0DE2" w14:textId="77777777" w:rsidR="00000E8A" w:rsidRPr="00587DF1" w:rsidRDefault="00000E8A" w:rsidP="005E0D57">
            <w:pPr>
              <w:pStyle w:val="ListParagraph"/>
              <w:numPr>
                <w:ilvl w:val="0"/>
                <w:numId w:val="4"/>
              </w:numPr>
              <w:rPr>
                <w:rFonts w:ascii="Arial" w:eastAsia="Arial" w:hAnsi="Arial" w:cs="Arial"/>
                <w:color w:val="000000"/>
              </w:rPr>
            </w:pPr>
            <w:r w:rsidRPr="00587DF1">
              <w:rPr>
                <w:rFonts w:ascii="Arial" w:eastAsia="Arial" w:hAnsi="Arial" w:cs="Arial"/>
                <w:color w:val="000000"/>
              </w:rPr>
              <w:t>Inability to support future demand changes</w:t>
            </w:r>
          </w:p>
          <w:p w14:paraId="71339714" w14:textId="1DA1D550" w:rsidR="00F3653A" w:rsidRPr="00616936" w:rsidRDefault="00F3653A" w:rsidP="005E0D57">
            <w:pPr>
              <w:pStyle w:val="ListParagraph"/>
              <w:numPr>
                <w:ilvl w:val="0"/>
                <w:numId w:val="4"/>
              </w:numPr>
              <w:rPr>
                <w:rFonts w:ascii="Arial" w:eastAsia="Arial" w:hAnsi="Arial" w:cs="Arial"/>
                <w:color w:val="000000"/>
              </w:rPr>
            </w:pPr>
            <w:r w:rsidRPr="00587DF1">
              <w:rPr>
                <w:rFonts w:ascii="Arial" w:eastAsia="Arial" w:hAnsi="Arial" w:cs="Arial"/>
                <w:color w:val="000000"/>
              </w:rPr>
              <w:t xml:space="preserve">Opportunity to improve </w:t>
            </w:r>
            <w:r w:rsidRPr="00616936">
              <w:rPr>
                <w:rFonts w:ascii="Arial" w:eastAsia="Arial" w:hAnsi="Arial" w:cs="Arial"/>
                <w:color w:val="000000"/>
              </w:rPr>
              <w:t>research</w:t>
            </w:r>
            <w:r w:rsidR="00616936" w:rsidRPr="00616936">
              <w:rPr>
                <w:rFonts w:ascii="Arial" w:eastAsia="Arial" w:hAnsi="Arial" w:cs="Arial"/>
                <w:color w:val="000000"/>
              </w:rPr>
              <w:t xml:space="preserve"> through integration</w:t>
            </w:r>
          </w:p>
          <w:p w14:paraId="6337BD65" w14:textId="0F66138E" w:rsidR="00F3653A" w:rsidRPr="00616936" w:rsidRDefault="00F3653A" w:rsidP="005E0D57">
            <w:pPr>
              <w:pStyle w:val="ListParagraph"/>
              <w:numPr>
                <w:ilvl w:val="0"/>
                <w:numId w:val="4"/>
              </w:numPr>
              <w:rPr>
                <w:rFonts w:ascii="Arial" w:eastAsia="Arial" w:hAnsi="Arial" w:cs="Arial"/>
                <w:color w:val="000000"/>
              </w:rPr>
            </w:pPr>
            <w:r w:rsidRPr="00616936">
              <w:rPr>
                <w:rFonts w:ascii="Arial" w:eastAsia="Arial" w:hAnsi="Arial" w:cs="Arial"/>
                <w:color w:val="000000"/>
              </w:rPr>
              <w:t>Opportunity to improve education</w:t>
            </w:r>
            <w:r w:rsidR="00616936" w:rsidRPr="00616936">
              <w:rPr>
                <w:rFonts w:ascii="Arial" w:eastAsia="Arial" w:hAnsi="Arial" w:cs="Arial"/>
                <w:color w:val="000000"/>
              </w:rPr>
              <w:t xml:space="preserve"> through integration</w:t>
            </w:r>
          </w:p>
          <w:bookmarkEnd w:id="23"/>
          <w:p w14:paraId="6C69B184" w14:textId="77777777" w:rsidR="00F3653A" w:rsidRPr="00587DF1" w:rsidRDefault="00F3653A" w:rsidP="00F3653A">
            <w:pPr>
              <w:rPr>
                <w:rFonts w:ascii="Arial" w:eastAsia="Arial" w:hAnsi="Arial" w:cs="Arial"/>
                <w:color w:val="000000"/>
              </w:rPr>
            </w:pPr>
            <w:r w:rsidRPr="00616936">
              <w:rPr>
                <w:rFonts w:ascii="Arial" w:eastAsia="Arial" w:hAnsi="Arial" w:cs="Arial"/>
                <w:color w:val="000000"/>
              </w:rPr>
              <w:t>This section also outlines furth</w:t>
            </w:r>
            <w:r w:rsidRPr="00587DF1">
              <w:rPr>
                <w:rFonts w:ascii="Arial" w:eastAsia="Arial" w:hAnsi="Arial" w:cs="Arial"/>
                <w:color w:val="000000"/>
              </w:rPr>
              <w:t>er considerations in the case for investment</w:t>
            </w:r>
            <w:r w:rsidR="00D810B2" w:rsidRPr="00587DF1">
              <w:rPr>
                <w:rFonts w:ascii="Arial" w:eastAsia="Arial" w:hAnsi="Arial" w:cs="Arial"/>
                <w:color w:val="000000"/>
              </w:rPr>
              <w:t xml:space="preserve">. </w:t>
            </w:r>
            <w:r w:rsidRPr="00587DF1">
              <w:rPr>
                <w:rFonts w:ascii="Arial" w:eastAsia="Arial" w:hAnsi="Arial" w:cs="Arial"/>
                <w:color w:val="000000"/>
              </w:rPr>
              <w:t xml:space="preserve">The proposals have been subject to a public consultation, which confirmed the case for change and supports the move (with 73% of </w:t>
            </w:r>
            <w:r w:rsidR="00C430AE">
              <w:rPr>
                <w:rFonts w:ascii="Arial" w:eastAsia="Arial" w:hAnsi="Arial" w:cs="Arial"/>
                <w:color w:val="000000"/>
              </w:rPr>
              <w:t xml:space="preserve">survey </w:t>
            </w:r>
            <w:r w:rsidRPr="00587DF1">
              <w:rPr>
                <w:rFonts w:ascii="Arial" w:eastAsia="Arial" w:hAnsi="Arial" w:cs="Arial"/>
                <w:color w:val="000000"/>
              </w:rPr>
              <w:t>respondents agreeing that a new centre is needed)</w:t>
            </w:r>
            <w:r w:rsidR="00D810B2" w:rsidRPr="00587DF1">
              <w:rPr>
                <w:rFonts w:ascii="Arial" w:eastAsia="Arial" w:hAnsi="Arial" w:cs="Arial"/>
                <w:color w:val="000000"/>
              </w:rPr>
              <w:t>.</w:t>
            </w:r>
          </w:p>
          <w:p w14:paraId="2DCC0F63" w14:textId="77777777" w:rsidR="00F3653A" w:rsidRPr="00587DF1" w:rsidRDefault="00F3653A" w:rsidP="00F3653A">
            <w:pPr>
              <w:rPr>
                <w:rFonts w:ascii="Arial" w:eastAsia="Arial" w:hAnsi="Arial" w:cs="Arial"/>
                <w:color w:val="000000"/>
              </w:rPr>
            </w:pPr>
            <w:r w:rsidRPr="00587DF1">
              <w:rPr>
                <w:rFonts w:ascii="Arial" w:eastAsia="Arial" w:hAnsi="Arial" w:cs="Arial"/>
                <w:color w:val="000000"/>
              </w:rPr>
              <w:t>Finally, Part B sets out the capacity requirements for the new centre.</w:t>
            </w:r>
          </w:p>
          <w:p w14:paraId="08771B51" w14:textId="77777777" w:rsidR="00F3653A" w:rsidRPr="00587DF1" w:rsidRDefault="00000E8A" w:rsidP="00000E8A">
            <w:pPr>
              <w:rPr>
                <w:rFonts w:ascii="Arial" w:eastAsia="Arial" w:hAnsi="Arial" w:cs="Arial"/>
              </w:rPr>
            </w:pPr>
            <w:r w:rsidRPr="00587DF1">
              <w:rPr>
                <w:rFonts w:ascii="Arial" w:eastAsia="Arial" w:hAnsi="Arial" w:cs="Arial"/>
              </w:rPr>
              <w:t xml:space="preserve">Having established the requirement for investment, </w:t>
            </w:r>
            <w:r w:rsidRPr="00587DF1">
              <w:rPr>
                <w:rFonts w:ascii="Arial" w:eastAsia="Arial" w:hAnsi="Arial" w:cs="Arial"/>
                <w:b/>
                <w:bCs/>
              </w:rPr>
              <w:t>Part C</w:t>
            </w:r>
            <w:r w:rsidRPr="00587DF1">
              <w:rPr>
                <w:rFonts w:ascii="Arial" w:eastAsia="Arial" w:hAnsi="Arial" w:cs="Arial"/>
              </w:rPr>
              <w:t xml:space="preserve"> </w:t>
            </w:r>
            <w:r w:rsidR="00F3653A" w:rsidRPr="00587DF1">
              <w:rPr>
                <w:rFonts w:ascii="Arial" w:eastAsia="Arial" w:hAnsi="Arial" w:cs="Arial"/>
              </w:rPr>
              <w:t xml:space="preserve">determines the potential business scope and key service requirements. It goes on to identify the main benefits, strategic risks, constraints and dependencies. </w:t>
            </w:r>
          </w:p>
          <w:p w14:paraId="5C5F9770" w14:textId="7371C751" w:rsidR="00000E8A" w:rsidRPr="00587DF1" w:rsidRDefault="00000E8A" w:rsidP="00000E8A">
            <w:pPr>
              <w:rPr>
                <w:rFonts w:ascii="Arial" w:hAnsi="Arial" w:cs="Arial"/>
                <w:lang w:val="en"/>
              </w:rPr>
            </w:pPr>
            <w:bookmarkStart w:id="24" w:name="_Hlk27130168"/>
            <w:r w:rsidRPr="00587DF1">
              <w:rPr>
                <w:rFonts w:ascii="Arial" w:eastAsia="Arial" w:hAnsi="Arial" w:cs="Arial"/>
              </w:rPr>
              <w:t xml:space="preserve">Oriel will deliver significant benefits including enhanced patient experience, more efficient service delivery, capacity for </w:t>
            </w:r>
            <w:r w:rsidR="00F3653A" w:rsidRPr="00587DF1">
              <w:rPr>
                <w:rFonts w:ascii="Arial" w:eastAsia="Arial" w:hAnsi="Arial" w:cs="Arial"/>
              </w:rPr>
              <w:t>changing</w:t>
            </w:r>
            <w:r w:rsidRPr="00587DF1">
              <w:rPr>
                <w:rFonts w:ascii="Arial" w:eastAsia="Arial" w:hAnsi="Arial" w:cs="Arial"/>
              </w:rPr>
              <w:t xml:space="preserve"> demand, and integration between research, education and clinical services</w:t>
            </w:r>
            <w:r w:rsidRPr="00587DF1">
              <w:rPr>
                <w:rFonts w:ascii="Arial" w:hAnsi="Arial" w:cs="Arial"/>
                <w:lang w:val="en"/>
              </w:rPr>
              <w:t xml:space="preserve">. Critically, Oriel will bring Moorfields to the very forefront of service delivery and clinical research, enabling it to </w:t>
            </w:r>
            <w:r w:rsidR="004040D3">
              <w:rPr>
                <w:rFonts w:ascii="Arial" w:hAnsi="Arial" w:cs="Arial"/>
                <w:lang w:val="en"/>
              </w:rPr>
              <w:t>remain</w:t>
            </w:r>
            <w:r w:rsidRPr="00587DF1">
              <w:rPr>
                <w:rFonts w:ascii="Arial" w:hAnsi="Arial" w:cs="Arial"/>
                <w:lang w:val="en"/>
              </w:rPr>
              <w:t xml:space="preserve"> a leader in developing new treatments and technologies for the benefit of the NHS and beyond, as well as flex to respond to a changing clinical landscape.</w:t>
            </w:r>
          </w:p>
          <w:bookmarkEnd w:id="24"/>
          <w:p w14:paraId="5A41998C" w14:textId="77777777" w:rsidR="00F3653A" w:rsidRPr="00587DF1" w:rsidRDefault="00000E8A" w:rsidP="00F3653A">
            <w:pPr>
              <w:rPr>
                <w:rFonts w:ascii="Arial" w:eastAsia="Arial" w:hAnsi="Arial" w:cs="Arial"/>
              </w:rPr>
            </w:pPr>
            <w:r w:rsidRPr="00587DF1">
              <w:rPr>
                <w:rFonts w:ascii="Arial" w:eastAsia="Arial" w:hAnsi="Arial" w:cs="Arial"/>
              </w:rPr>
              <w:t xml:space="preserve">The aspirations of </w:t>
            </w:r>
            <w:r w:rsidR="0066359B" w:rsidRPr="00587DF1">
              <w:rPr>
                <w:rFonts w:ascii="Arial" w:eastAsia="Arial" w:hAnsi="Arial" w:cs="Arial"/>
              </w:rPr>
              <w:t xml:space="preserve">how </w:t>
            </w:r>
            <w:r w:rsidRPr="00587DF1">
              <w:rPr>
                <w:rFonts w:ascii="Arial" w:eastAsia="Arial" w:hAnsi="Arial" w:cs="Arial"/>
              </w:rPr>
              <w:t xml:space="preserve">Moorfields </w:t>
            </w:r>
            <w:r w:rsidR="0066359B" w:rsidRPr="00587DF1">
              <w:rPr>
                <w:rFonts w:ascii="Arial" w:eastAsia="Arial" w:hAnsi="Arial" w:cs="Arial"/>
              </w:rPr>
              <w:t xml:space="preserve">will </w:t>
            </w:r>
            <w:r w:rsidRPr="00587DF1">
              <w:rPr>
                <w:rFonts w:ascii="Arial" w:eastAsia="Arial" w:hAnsi="Arial" w:cs="Arial"/>
              </w:rPr>
              <w:t>improv</w:t>
            </w:r>
            <w:r w:rsidR="0066359B" w:rsidRPr="00587DF1">
              <w:rPr>
                <w:rFonts w:ascii="Arial" w:eastAsia="Arial" w:hAnsi="Arial" w:cs="Arial"/>
              </w:rPr>
              <w:t>e</w:t>
            </w:r>
            <w:r w:rsidRPr="00587DF1">
              <w:rPr>
                <w:rFonts w:ascii="Arial" w:eastAsia="Arial" w:hAnsi="Arial" w:cs="Arial"/>
              </w:rPr>
              <w:t xml:space="preserve"> clinical services</w:t>
            </w:r>
            <w:r w:rsidR="00F3653A" w:rsidRPr="00587DF1">
              <w:rPr>
                <w:rFonts w:ascii="Arial" w:eastAsia="Arial" w:hAnsi="Arial" w:cs="Arial"/>
              </w:rPr>
              <w:t xml:space="preserve"> </w:t>
            </w:r>
            <w:r w:rsidRPr="00587DF1">
              <w:rPr>
                <w:rFonts w:ascii="Arial" w:eastAsia="Arial" w:hAnsi="Arial" w:cs="Arial"/>
              </w:rPr>
              <w:t>through Oriel</w:t>
            </w:r>
            <w:r w:rsidR="0066359B" w:rsidRPr="00587DF1">
              <w:rPr>
                <w:rFonts w:ascii="Arial" w:eastAsia="Arial" w:hAnsi="Arial" w:cs="Arial"/>
              </w:rPr>
              <w:t xml:space="preserve"> </w:t>
            </w:r>
            <w:r w:rsidRPr="00587DF1">
              <w:rPr>
                <w:rFonts w:ascii="Arial" w:eastAsia="Arial" w:hAnsi="Arial" w:cs="Arial"/>
              </w:rPr>
              <w:t>are described in Chapter 4 – Clinical Quality Case.</w:t>
            </w:r>
          </w:p>
          <w:p w14:paraId="21AC8559" w14:textId="77777777" w:rsidR="00000E8A" w:rsidRPr="00587DF1" w:rsidRDefault="00000E8A" w:rsidP="00C8221A">
            <w:pPr>
              <w:spacing w:after="0"/>
              <w:rPr>
                <w:rFonts w:ascii="Arial" w:hAnsi="Arial" w:cs="Arial"/>
                <w:b/>
                <w:bCs/>
                <w:i/>
                <w:iCs/>
              </w:rPr>
            </w:pPr>
            <w:r w:rsidRPr="00587DF1">
              <w:rPr>
                <w:rFonts w:ascii="Arial" w:hAnsi="Arial" w:cs="Arial"/>
                <w:b/>
                <w:bCs/>
                <w:i/>
                <w:iCs/>
              </w:rPr>
              <w:t>Key supporting documents:</w:t>
            </w:r>
          </w:p>
          <w:p w14:paraId="728479FA" w14:textId="3513EF8E" w:rsidR="00000E8A" w:rsidRDefault="00000E8A" w:rsidP="005E0D57">
            <w:pPr>
              <w:pStyle w:val="ListParagraph"/>
              <w:numPr>
                <w:ilvl w:val="0"/>
                <w:numId w:val="54"/>
              </w:numPr>
              <w:rPr>
                <w:rFonts w:ascii="Arial" w:hAnsi="Arial" w:cs="Arial"/>
                <w:b/>
                <w:bCs/>
                <w:i/>
                <w:iCs/>
              </w:rPr>
            </w:pPr>
            <w:r w:rsidRPr="00587DF1">
              <w:rPr>
                <w:rFonts w:ascii="Arial" w:hAnsi="Arial" w:cs="Arial"/>
                <w:b/>
                <w:bCs/>
                <w:i/>
                <w:iCs/>
              </w:rPr>
              <w:t xml:space="preserve">Appendix </w:t>
            </w:r>
            <w:r w:rsidR="00CB4422">
              <w:rPr>
                <w:rFonts w:ascii="Arial" w:hAnsi="Arial" w:cs="Arial"/>
                <w:b/>
                <w:bCs/>
                <w:i/>
                <w:iCs/>
              </w:rPr>
              <w:t>3A</w:t>
            </w:r>
            <w:r w:rsidRPr="00587DF1">
              <w:rPr>
                <w:rFonts w:ascii="Arial" w:hAnsi="Arial" w:cs="Arial"/>
                <w:b/>
                <w:bCs/>
                <w:i/>
                <w:iCs/>
              </w:rPr>
              <w:t xml:space="preserve"> – Strategic context (detail)</w:t>
            </w:r>
          </w:p>
          <w:p w14:paraId="58D9F373" w14:textId="67881683" w:rsidR="00127D77" w:rsidRDefault="00127D77" w:rsidP="005E0D57">
            <w:pPr>
              <w:pStyle w:val="ListParagraph"/>
              <w:numPr>
                <w:ilvl w:val="0"/>
                <w:numId w:val="54"/>
              </w:numPr>
              <w:rPr>
                <w:rFonts w:ascii="Arial" w:hAnsi="Arial" w:cs="Arial"/>
                <w:b/>
                <w:bCs/>
                <w:i/>
                <w:iCs/>
              </w:rPr>
            </w:pPr>
            <w:r>
              <w:rPr>
                <w:rFonts w:ascii="Arial" w:hAnsi="Arial" w:cs="Arial"/>
                <w:b/>
                <w:bCs/>
                <w:i/>
                <w:iCs/>
              </w:rPr>
              <w:t>Appendix 3B – Commissioner-led demand modelling</w:t>
            </w:r>
          </w:p>
          <w:p w14:paraId="6AD48304" w14:textId="053C2940" w:rsidR="00127D77" w:rsidRDefault="00127D77" w:rsidP="005E0D57">
            <w:pPr>
              <w:pStyle w:val="ListParagraph"/>
              <w:numPr>
                <w:ilvl w:val="0"/>
                <w:numId w:val="54"/>
              </w:numPr>
              <w:rPr>
                <w:rFonts w:ascii="Arial" w:hAnsi="Arial" w:cs="Arial"/>
                <w:b/>
                <w:bCs/>
                <w:i/>
                <w:iCs/>
              </w:rPr>
            </w:pPr>
            <w:r>
              <w:rPr>
                <w:rFonts w:ascii="Arial" w:hAnsi="Arial" w:cs="Arial"/>
                <w:b/>
                <w:bCs/>
                <w:i/>
                <w:iCs/>
              </w:rPr>
              <w:t>Appendix 3C – Demand and capacity modelling (detail)</w:t>
            </w:r>
          </w:p>
          <w:p w14:paraId="70072E39" w14:textId="5347E3D3" w:rsidR="00127D77" w:rsidRPr="00587DF1" w:rsidRDefault="00127D77" w:rsidP="005E0D57">
            <w:pPr>
              <w:pStyle w:val="ListParagraph"/>
              <w:numPr>
                <w:ilvl w:val="0"/>
                <w:numId w:val="54"/>
              </w:numPr>
              <w:rPr>
                <w:rFonts w:ascii="Arial" w:hAnsi="Arial" w:cs="Arial"/>
                <w:b/>
                <w:bCs/>
                <w:i/>
                <w:iCs/>
              </w:rPr>
            </w:pPr>
            <w:r>
              <w:rPr>
                <w:rFonts w:ascii="Arial" w:hAnsi="Arial" w:cs="Arial"/>
                <w:b/>
                <w:bCs/>
                <w:i/>
                <w:iCs/>
              </w:rPr>
              <w:lastRenderedPageBreak/>
              <w:t>Appendix 3D – Moorfields’ response to consultation</w:t>
            </w:r>
          </w:p>
          <w:p w14:paraId="5F485312" w14:textId="0E5F506F" w:rsidR="00000E8A" w:rsidRPr="00587DF1" w:rsidRDefault="00F3653A" w:rsidP="005E0D57">
            <w:pPr>
              <w:pStyle w:val="ListParagraph"/>
              <w:numPr>
                <w:ilvl w:val="0"/>
                <w:numId w:val="54"/>
              </w:numPr>
              <w:rPr>
                <w:rFonts w:ascii="Arial" w:hAnsi="Arial" w:cs="Arial"/>
                <w:b/>
                <w:bCs/>
                <w:i/>
                <w:iCs/>
              </w:rPr>
            </w:pPr>
            <w:r w:rsidRPr="00587DF1">
              <w:rPr>
                <w:rFonts w:ascii="Arial" w:hAnsi="Arial" w:cs="Arial"/>
                <w:b/>
                <w:bCs/>
                <w:i/>
                <w:iCs/>
              </w:rPr>
              <w:t xml:space="preserve">Appendix </w:t>
            </w:r>
            <w:r w:rsidR="00127D77">
              <w:rPr>
                <w:rFonts w:ascii="Arial" w:hAnsi="Arial" w:cs="Arial"/>
                <w:b/>
                <w:bCs/>
                <w:i/>
                <w:iCs/>
              </w:rPr>
              <w:t>3E</w:t>
            </w:r>
            <w:r w:rsidRPr="00587DF1">
              <w:rPr>
                <w:rFonts w:ascii="Arial" w:hAnsi="Arial" w:cs="Arial"/>
                <w:b/>
                <w:bCs/>
                <w:i/>
                <w:iCs/>
              </w:rPr>
              <w:t xml:space="preserve"> – Letters of support</w:t>
            </w:r>
          </w:p>
        </w:tc>
      </w:tr>
    </w:tbl>
    <w:p w14:paraId="66AF6B7D" w14:textId="72BB7B11" w:rsidR="00127D77" w:rsidRDefault="00127D77" w:rsidP="00127D77">
      <w:pPr>
        <w:rPr>
          <w:rFonts w:ascii="Arial" w:eastAsia="Arial" w:hAnsi="Arial" w:cs="Arial"/>
        </w:rPr>
      </w:pPr>
      <w:bookmarkStart w:id="25" w:name="_Toc32842672"/>
      <w:bookmarkStart w:id="26" w:name="_Hlk24701806"/>
    </w:p>
    <w:p w14:paraId="6259CDBC" w14:textId="07FBEC93" w:rsidR="00E47761" w:rsidRPr="00587DF1" w:rsidRDefault="00E47761" w:rsidP="00E47761">
      <w:pPr>
        <w:pStyle w:val="Heading2"/>
        <w:rPr>
          <w:rFonts w:ascii="Arial" w:eastAsia="Arial" w:hAnsi="Arial" w:cs="Arial"/>
        </w:rPr>
      </w:pPr>
      <w:r w:rsidRPr="00587DF1">
        <w:rPr>
          <w:rFonts w:ascii="Arial" w:eastAsia="Arial" w:hAnsi="Arial" w:cs="Arial"/>
        </w:rPr>
        <w:t xml:space="preserve">PART A – </w:t>
      </w:r>
      <w:r w:rsidR="007C7CA8" w:rsidRPr="00587DF1">
        <w:rPr>
          <w:rFonts w:ascii="Arial" w:eastAsia="Arial" w:hAnsi="Arial" w:cs="Arial"/>
        </w:rPr>
        <w:t>AGREEING THE STRATEGIC CONTEXT</w:t>
      </w:r>
      <w:bookmarkEnd w:id="25"/>
    </w:p>
    <w:tbl>
      <w:tblPr>
        <w:tblW w:w="0" w:type="auto"/>
        <w:tblLook w:val="04A0" w:firstRow="1" w:lastRow="0" w:firstColumn="1" w:lastColumn="0" w:noHBand="0" w:noVBand="1"/>
      </w:tblPr>
      <w:tblGrid>
        <w:gridCol w:w="9016"/>
      </w:tblGrid>
      <w:tr w:rsidR="007C7CA8" w:rsidRPr="00587DF1" w14:paraId="33E6B92E" w14:textId="77777777" w:rsidTr="007C7CA8">
        <w:tc>
          <w:tcPr>
            <w:tcW w:w="9016" w:type="dxa"/>
            <w:tcBorders>
              <w:top w:val="single" w:sz="4" w:space="0" w:color="00A09D"/>
              <w:left w:val="single" w:sz="4" w:space="0" w:color="00A09D"/>
              <w:bottom w:val="single" w:sz="4" w:space="0" w:color="00A09D"/>
              <w:right w:val="single" w:sz="4" w:space="0" w:color="00A09D"/>
            </w:tcBorders>
            <w:shd w:val="clear" w:color="auto" w:fill="DEECEF"/>
          </w:tcPr>
          <w:p w14:paraId="091123DF" w14:textId="5D32C149" w:rsidR="007C7CA8" w:rsidRPr="00587DF1" w:rsidRDefault="007C7CA8" w:rsidP="007C7CA8">
            <w:pPr>
              <w:rPr>
                <w:rFonts w:ascii="Arial" w:hAnsi="Arial" w:cs="Arial"/>
                <w:b/>
                <w:bCs/>
                <w:color w:val="00A09D"/>
              </w:rPr>
            </w:pPr>
            <w:bookmarkStart w:id="27" w:name="_Hlk23176148"/>
            <w:r w:rsidRPr="00587DF1">
              <w:rPr>
                <w:rFonts w:ascii="Arial" w:hAnsi="Arial" w:cs="Arial"/>
                <w:b/>
                <w:bCs/>
                <w:color w:val="00A09D"/>
              </w:rPr>
              <w:t xml:space="preserve">Agreeing the strategic context – </w:t>
            </w:r>
            <w:r w:rsidR="0025699F">
              <w:rPr>
                <w:rFonts w:ascii="Arial" w:hAnsi="Arial" w:cs="Arial"/>
                <w:b/>
                <w:bCs/>
                <w:color w:val="00A09D"/>
              </w:rPr>
              <w:t>section</w:t>
            </w:r>
            <w:r w:rsidRPr="00587DF1">
              <w:rPr>
                <w:rFonts w:ascii="Arial" w:hAnsi="Arial" w:cs="Arial"/>
                <w:b/>
                <w:bCs/>
                <w:color w:val="00A09D"/>
              </w:rPr>
              <w:t xml:space="preserve"> summary</w:t>
            </w:r>
          </w:p>
          <w:p w14:paraId="7199D93B" w14:textId="72A7C462" w:rsidR="007C7CA8" w:rsidRDefault="007C7CA8" w:rsidP="007C7CA8">
            <w:pPr>
              <w:rPr>
                <w:rFonts w:ascii="Arial" w:hAnsi="Arial" w:cs="Arial"/>
              </w:rPr>
            </w:pPr>
            <w:r w:rsidRPr="00587DF1">
              <w:rPr>
                <w:rFonts w:ascii="Arial" w:hAnsi="Arial" w:cs="Arial"/>
              </w:rPr>
              <w:t>This section outlines the context in terms of the national, regional and local policies relevant to this investment</w:t>
            </w:r>
            <w:r w:rsidR="00F3653A" w:rsidRPr="00587DF1">
              <w:rPr>
                <w:rFonts w:ascii="Arial" w:hAnsi="Arial" w:cs="Arial"/>
              </w:rPr>
              <w:t>, and how the proposals align to existing policies and strategies. It also provides an overview of the St Pancras site redevelopment programme, of which this project forms one part.</w:t>
            </w:r>
          </w:p>
          <w:p w14:paraId="2D95A81A" w14:textId="3FC8ACC8" w:rsidR="004040D3" w:rsidRPr="00587DF1" w:rsidRDefault="004040D3" w:rsidP="004040D3">
            <w:pPr>
              <w:spacing w:after="0"/>
              <w:rPr>
                <w:rFonts w:ascii="Arial" w:hAnsi="Arial" w:cs="Arial"/>
              </w:rPr>
            </w:pPr>
            <w:r w:rsidRPr="00587DF1">
              <w:rPr>
                <w:rFonts w:ascii="Arial" w:hAnsi="Arial" w:cs="Arial"/>
              </w:rPr>
              <w:t>Oriel aligns with the strategic context by delivering:</w:t>
            </w:r>
          </w:p>
          <w:p w14:paraId="615EB7EC" w14:textId="2056EB6E" w:rsidR="004040D3" w:rsidRPr="00587DF1" w:rsidRDefault="004040D3" w:rsidP="005E0D57">
            <w:pPr>
              <w:pStyle w:val="ListParagraph"/>
              <w:numPr>
                <w:ilvl w:val="0"/>
                <w:numId w:val="11"/>
              </w:numPr>
              <w:rPr>
                <w:rFonts w:ascii="Arial" w:eastAsiaTheme="minorHAnsi" w:hAnsi="Arial" w:cs="Arial"/>
                <w:color w:val="000000"/>
                <w:lang w:eastAsia="en-US"/>
              </w:rPr>
            </w:pPr>
            <w:r w:rsidRPr="00587DF1">
              <w:rPr>
                <w:rFonts w:ascii="Arial" w:hAnsi="Arial" w:cs="Arial"/>
              </w:rPr>
              <w:t>Improved</w:t>
            </w:r>
            <w:r w:rsidRPr="00587DF1">
              <w:rPr>
                <w:rFonts w:ascii="Arial" w:eastAsiaTheme="minorHAnsi" w:hAnsi="Arial" w:cs="Arial"/>
                <w:color w:val="000000"/>
                <w:lang w:eastAsia="en-US"/>
              </w:rPr>
              <w:t xml:space="preserve"> quality and effectiveness of clinical service</w:t>
            </w:r>
            <w:r>
              <w:rPr>
                <w:rFonts w:ascii="Arial" w:eastAsiaTheme="minorHAnsi" w:hAnsi="Arial" w:cs="Arial"/>
                <w:color w:val="000000"/>
                <w:lang w:eastAsia="en-US"/>
              </w:rPr>
              <w:t>.</w:t>
            </w:r>
          </w:p>
          <w:p w14:paraId="09C2C7B5" w14:textId="2936C639" w:rsidR="004040D3" w:rsidRPr="00587DF1" w:rsidRDefault="004040D3" w:rsidP="005E0D57">
            <w:pPr>
              <w:pStyle w:val="ListParagraph"/>
              <w:numPr>
                <w:ilvl w:val="0"/>
                <w:numId w:val="11"/>
              </w:numPr>
              <w:rPr>
                <w:rFonts w:ascii="Arial" w:eastAsiaTheme="minorHAnsi" w:hAnsi="Arial" w:cs="Arial"/>
                <w:color w:val="000000"/>
                <w:lang w:eastAsia="en-US"/>
              </w:rPr>
            </w:pPr>
            <w:r w:rsidRPr="00587DF1">
              <w:rPr>
                <w:rFonts w:ascii="Arial" w:hAnsi="Arial" w:cs="Arial"/>
              </w:rPr>
              <w:t>Improved</w:t>
            </w:r>
            <w:r w:rsidRPr="00587DF1">
              <w:rPr>
                <w:rFonts w:ascii="Arial" w:eastAsiaTheme="minorHAnsi" w:hAnsi="Arial" w:cs="Arial"/>
                <w:color w:val="000000"/>
                <w:lang w:eastAsia="en-US"/>
              </w:rPr>
              <w:t xml:space="preserve"> patient experience, including service for private patients</w:t>
            </w:r>
            <w:r>
              <w:rPr>
                <w:rFonts w:ascii="Arial" w:eastAsiaTheme="minorHAnsi" w:hAnsi="Arial" w:cs="Arial"/>
                <w:color w:val="000000"/>
                <w:lang w:eastAsia="en-US"/>
              </w:rPr>
              <w:t>.</w:t>
            </w:r>
          </w:p>
          <w:p w14:paraId="10741E9C" w14:textId="7F3AE9E2" w:rsidR="004040D3" w:rsidRPr="00587DF1" w:rsidRDefault="004040D3" w:rsidP="005E0D57">
            <w:pPr>
              <w:pStyle w:val="ListParagraph"/>
              <w:numPr>
                <w:ilvl w:val="0"/>
                <w:numId w:val="11"/>
              </w:numPr>
              <w:rPr>
                <w:rFonts w:ascii="Arial" w:hAnsi="Arial" w:cs="Arial"/>
              </w:rPr>
            </w:pPr>
            <w:r w:rsidRPr="00587DF1">
              <w:rPr>
                <w:rFonts w:ascii="Arial" w:hAnsi="Arial" w:cs="Arial"/>
              </w:rPr>
              <w:t xml:space="preserve">Provision of services based on network structure with a new integrated </w:t>
            </w:r>
            <w:r w:rsidRPr="00587DF1">
              <w:rPr>
                <w:rFonts w:ascii="Arial" w:eastAsia="Arial" w:hAnsi="Arial" w:cs="Arial"/>
              </w:rPr>
              <w:t>Moorfields</w:t>
            </w:r>
            <w:r w:rsidRPr="00587DF1">
              <w:rPr>
                <w:rFonts w:ascii="Arial" w:hAnsi="Arial" w:cs="Arial"/>
              </w:rPr>
              <w:t>/UCL IoO facility at the centre</w:t>
            </w:r>
            <w:r>
              <w:rPr>
                <w:rFonts w:ascii="Arial" w:hAnsi="Arial" w:cs="Arial"/>
              </w:rPr>
              <w:t>.</w:t>
            </w:r>
          </w:p>
          <w:p w14:paraId="51C6EE75" w14:textId="5B6E915B" w:rsidR="004040D3" w:rsidRPr="00587DF1" w:rsidRDefault="004040D3" w:rsidP="005E0D57">
            <w:pPr>
              <w:pStyle w:val="ListParagraph"/>
              <w:numPr>
                <w:ilvl w:val="0"/>
                <w:numId w:val="11"/>
              </w:numPr>
              <w:rPr>
                <w:rFonts w:ascii="Arial" w:hAnsi="Arial" w:cs="Arial"/>
              </w:rPr>
            </w:pPr>
            <w:r w:rsidRPr="00587DF1">
              <w:rPr>
                <w:rFonts w:ascii="Arial" w:hAnsi="Arial" w:cs="Arial"/>
              </w:rPr>
              <w:t>Specialised services concentrated in new central London hub, where clinically appropriate</w:t>
            </w:r>
            <w:r>
              <w:rPr>
                <w:rFonts w:ascii="Arial" w:hAnsi="Arial" w:cs="Arial"/>
              </w:rPr>
              <w:t>.</w:t>
            </w:r>
          </w:p>
          <w:p w14:paraId="57B6E9A6" w14:textId="3CF86F82" w:rsidR="004040D3" w:rsidRPr="00587DF1" w:rsidRDefault="004040D3" w:rsidP="005E0D57">
            <w:pPr>
              <w:pStyle w:val="ListParagraph"/>
              <w:numPr>
                <w:ilvl w:val="0"/>
                <w:numId w:val="11"/>
              </w:numPr>
              <w:rPr>
                <w:rFonts w:ascii="Arial" w:hAnsi="Arial" w:cs="Arial"/>
              </w:rPr>
            </w:pPr>
            <w:r w:rsidRPr="00587DF1">
              <w:rPr>
                <w:rFonts w:ascii="Arial" w:hAnsi="Arial" w:cs="Arial"/>
              </w:rPr>
              <w:t>Ongoing development of sustainable basic and translational research</w:t>
            </w:r>
            <w:r>
              <w:rPr>
                <w:rFonts w:ascii="Arial" w:hAnsi="Arial" w:cs="Arial"/>
              </w:rPr>
              <w:t>.</w:t>
            </w:r>
          </w:p>
          <w:p w14:paraId="1F2E7BC5" w14:textId="6DD7FE1E" w:rsidR="004040D3" w:rsidRPr="00587DF1" w:rsidRDefault="004040D3" w:rsidP="005E0D57">
            <w:pPr>
              <w:pStyle w:val="ListParagraph"/>
              <w:numPr>
                <w:ilvl w:val="0"/>
                <w:numId w:val="11"/>
              </w:numPr>
              <w:rPr>
                <w:rFonts w:ascii="Arial" w:hAnsi="Arial" w:cs="Arial"/>
              </w:rPr>
            </w:pPr>
            <w:r w:rsidRPr="00587DF1">
              <w:rPr>
                <w:rFonts w:ascii="Arial" w:hAnsi="Arial" w:cs="Arial"/>
              </w:rPr>
              <w:t>Increased patient participation in research programmes</w:t>
            </w:r>
            <w:r>
              <w:rPr>
                <w:rFonts w:ascii="Arial" w:hAnsi="Arial" w:cs="Arial"/>
              </w:rPr>
              <w:t>.</w:t>
            </w:r>
          </w:p>
          <w:p w14:paraId="5D3E238D" w14:textId="7CB2DB5E" w:rsidR="007C7CA8" w:rsidRPr="0025699F" w:rsidRDefault="004040D3" w:rsidP="005E0D57">
            <w:pPr>
              <w:pStyle w:val="ListParagraph"/>
              <w:numPr>
                <w:ilvl w:val="0"/>
                <w:numId w:val="11"/>
              </w:numPr>
              <w:rPr>
                <w:rFonts w:ascii="Arial" w:eastAsiaTheme="minorHAnsi" w:hAnsi="Arial" w:cs="Arial"/>
                <w:color w:val="000000"/>
                <w:lang w:eastAsia="en-US"/>
              </w:rPr>
            </w:pPr>
            <w:r w:rsidRPr="00587DF1">
              <w:rPr>
                <w:rFonts w:ascii="Arial" w:hAnsi="Arial" w:cs="Arial"/>
              </w:rPr>
              <w:t>Significant benefits of close proximity to concentration of research, education and health care organisations including</w:t>
            </w:r>
            <w:r w:rsidRPr="00587DF1">
              <w:rPr>
                <w:rFonts w:ascii="Arial" w:eastAsiaTheme="minorHAnsi" w:hAnsi="Arial" w:cs="Arial"/>
                <w:color w:val="000000"/>
                <w:lang w:eastAsia="en-US"/>
              </w:rPr>
              <w:t xml:space="preserve"> UCL Bloomsbury campus and London’s Knowledge Quarter</w:t>
            </w:r>
            <w:r>
              <w:rPr>
                <w:rFonts w:ascii="Arial" w:eastAsiaTheme="minorHAnsi" w:hAnsi="Arial" w:cs="Arial"/>
                <w:color w:val="000000"/>
                <w:lang w:eastAsia="en-US"/>
              </w:rPr>
              <w:t>.</w:t>
            </w:r>
          </w:p>
        </w:tc>
      </w:tr>
      <w:bookmarkEnd w:id="27"/>
    </w:tbl>
    <w:p w14:paraId="355AF533" w14:textId="77777777" w:rsidR="007C7CA8" w:rsidRPr="00587DF1" w:rsidRDefault="007C7CA8" w:rsidP="007C7CA8">
      <w:pPr>
        <w:rPr>
          <w:rFonts w:ascii="Arial" w:hAnsi="Arial" w:cs="Arial"/>
        </w:rPr>
      </w:pPr>
    </w:p>
    <w:p w14:paraId="7D7D770C" w14:textId="77777777" w:rsidR="00E47761" w:rsidRPr="00587DF1" w:rsidRDefault="00E47761" w:rsidP="005E0D57">
      <w:pPr>
        <w:pStyle w:val="Heading2"/>
        <w:numPr>
          <w:ilvl w:val="1"/>
          <w:numId w:val="1"/>
        </w:numPr>
        <w:rPr>
          <w:rFonts w:ascii="Arial" w:eastAsia="Arial" w:hAnsi="Arial" w:cs="Arial"/>
        </w:rPr>
      </w:pPr>
      <w:bookmarkStart w:id="28" w:name="_tyjcwt" w:colFirst="0" w:colLast="0"/>
      <w:bookmarkStart w:id="29" w:name="_Toc32842673"/>
      <w:bookmarkEnd w:id="28"/>
      <w:r w:rsidRPr="00587DF1">
        <w:rPr>
          <w:rFonts w:ascii="Arial" w:eastAsia="Arial" w:hAnsi="Arial" w:cs="Arial"/>
        </w:rPr>
        <w:t>National strategy</w:t>
      </w:r>
      <w:bookmarkEnd w:id="29"/>
    </w:p>
    <w:p w14:paraId="514CF92D" w14:textId="77777777" w:rsidR="00E47761" w:rsidRPr="00587DF1" w:rsidRDefault="00E47761" w:rsidP="00E47761">
      <w:pPr>
        <w:spacing w:after="0" w:line="240" w:lineRule="auto"/>
        <w:rPr>
          <w:rFonts w:ascii="Arial" w:eastAsia="Arial" w:hAnsi="Arial" w:cs="Arial"/>
          <w:color w:val="FF0000"/>
        </w:rPr>
      </w:pPr>
    </w:p>
    <w:p w14:paraId="110009E5" w14:textId="18EA681B" w:rsidR="00E47761" w:rsidRPr="00587DF1" w:rsidRDefault="00E47761" w:rsidP="00E47761">
      <w:pPr>
        <w:rPr>
          <w:rFonts w:ascii="Arial" w:eastAsia="Arial" w:hAnsi="Arial" w:cs="Arial"/>
        </w:rPr>
      </w:pPr>
      <w:r w:rsidRPr="00587DF1">
        <w:rPr>
          <w:rFonts w:ascii="Arial" w:eastAsia="Arial" w:hAnsi="Arial" w:cs="Arial"/>
        </w:rPr>
        <w:t xml:space="preserve">The table below provides an overview of the </w:t>
      </w:r>
      <w:r w:rsidR="007C7CA8" w:rsidRPr="00587DF1">
        <w:rPr>
          <w:rFonts w:ascii="Arial" w:eastAsia="Arial" w:hAnsi="Arial" w:cs="Arial"/>
        </w:rPr>
        <w:t xml:space="preserve">key </w:t>
      </w:r>
      <w:r w:rsidRPr="00587DF1">
        <w:rPr>
          <w:rFonts w:ascii="Arial" w:eastAsia="Arial" w:hAnsi="Arial" w:cs="Arial"/>
        </w:rPr>
        <w:t xml:space="preserve">national strategies which have been used to inform development of Oriel. A </w:t>
      </w:r>
      <w:r w:rsidR="007C7CA8" w:rsidRPr="00587DF1">
        <w:rPr>
          <w:rFonts w:ascii="Arial" w:eastAsia="Arial" w:hAnsi="Arial" w:cs="Arial"/>
        </w:rPr>
        <w:t xml:space="preserve">full analysis of the national strategic context, supported by a </w:t>
      </w:r>
      <w:r w:rsidRPr="00587DF1">
        <w:rPr>
          <w:rFonts w:ascii="Arial" w:eastAsia="Arial" w:hAnsi="Arial" w:cs="Arial"/>
        </w:rPr>
        <w:t>detailed commentary on the most significant strategies</w:t>
      </w:r>
      <w:r w:rsidR="007C7CA8" w:rsidRPr="00587DF1">
        <w:rPr>
          <w:rFonts w:ascii="Arial" w:eastAsia="Arial" w:hAnsi="Arial" w:cs="Arial"/>
        </w:rPr>
        <w:t>,</w:t>
      </w:r>
      <w:r w:rsidRPr="00587DF1">
        <w:rPr>
          <w:rFonts w:ascii="Arial" w:eastAsia="Arial" w:hAnsi="Arial" w:cs="Arial"/>
        </w:rPr>
        <w:t xml:space="preserve"> is included </w:t>
      </w:r>
      <w:r w:rsidR="007C7CA8" w:rsidRPr="00587DF1">
        <w:rPr>
          <w:rFonts w:ascii="Arial" w:eastAsia="Arial" w:hAnsi="Arial" w:cs="Arial"/>
        </w:rPr>
        <w:t xml:space="preserve">in Appendix </w:t>
      </w:r>
      <w:r w:rsidR="00CB4422">
        <w:rPr>
          <w:rFonts w:ascii="Arial" w:eastAsia="Arial" w:hAnsi="Arial" w:cs="Arial"/>
        </w:rPr>
        <w:t>3A</w:t>
      </w:r>
      <w:r w:rsidRPr="00587DF1">
        <w:rPr>
          <w:rFonts w:ascii="Arial" w:eastAsia="Arial" w:hAnsi="Arial" w:cs="Arial"/>
        </w:rPr>
        <w:t xml:space="preserve">. </w:t>
      </w:r>
    </w:p>
    <w:p w14:paraId="498841CD" w14:textId="69913A20" w:rsidR="00847767" w:rsidRPr="00587DF1" w:rsidRDefault="00847767" w:rsidP="00E47761">
      <w:pPr>
        <w:rPr>
          <w:rFonts w:ascii="Arial" w:eastAsia="Arial" w:hAnsi="Arial" w:cs="Arial"/>
        </w:rPr>
      </w:pPr>
      <w:r w:rsidRPr="00587DF1">
        <w:rPr>
          <w:rFonts w:ascii="Arial" w:eastAsia="Arial" w:hAnsi="Arial" w:cs="Arial"/>
        </w:rPr>
        <w:t xml:space="preserve">National policy highlights a need to deliver care efficiently and effectively, focusing on prevention and delivery of care in the most appropriate setting. Oriel will provide a fit-for-purpose new building designed around optimum patient flows to improve efficiency of patient care, and enabling the </w:t>
      </w:r>
      <w:r w:rsidR="00FA2D12" w:rsidRPr="00587DF1">
        <w:rPr>
          <w:rFonts w:ascii="Arial" w:eastAsia="Arial" w:hAnsi="Arial" w:cs="Arial"/>
        </w:rPr>
        <w:t>trust</w:t>
      </w:r>
      <w:r w:rsidRPr="00587DF1">
        <w:rPr>
          <w:rFonts w:ascii="Arial" w:eastAsia="Arial" w:hAnsi="Arial" w:cs="Arial"/>
        </w:rPr>
        <w:t xml:space="preserve"> to continue to achieve excellent patient outcomes. The strategies listed below also promote research as a key mechanism to tackle the increasing prevalence of eye </w:t>
      </w:r>
      <w:r w:rsidR="00F549D1">
        <w:rPr>
          <w:rFonts w:ascii="Arial" w:eastAsia="Arial" w:hAnsi="Arial" w:cs="Arial"/>
        </w:rPr>
        <w:t>disease</w:t>
      </w:r>
      <w:r w:rsidRPr="00587DF1">
        <w:rPr>
          <w:rFonts w:ascii="Arial" w:eastAsia="Arial" w:hAnsi="Arial" w:cs="Arial"/>
        </w:rPr>
        <w:t xml:space="preserve">, improving quality of life for the UK population – a principle which is at the heart of </w:t>
      </w:r>
      <w:r w:rsidR="00E10C97">
        <w:rPr>
          <w:rFonts w:ascii="Arial" w:eastAsia="Arial" w:hAnsi="Arial" w:cs="Arial"/>
        </w:rPr>
        <w:t>the partners’</w:t>
      </w:r>
      <w:r w:rsidRPr="00587DF1">
        <w:rPr>
          <w:rFonts w:ascii="Arial" w:eastAsia="Arial" w:hAnsi="Arial" w:cs="Arial"/>
        </w:rPr>
        <w:t xml:space="preserve"> plans for Oriel.</w:t>
      </w:r>
    </w:p>
    <w:p w14:paraId="0B512460" w14:textId="40956FBF" w:rsidR="00B37104" w:rsidRDefault="00B37104" w:rsidP="00B37104">
      <w:pPr>
        <w:pStyle w:val="Caption"/>
      </w:pPr>
      <w:r>
        <w:t xml:space="preserve">Table </w:t>
      </w:r>
      <w:r>
        <w:fldChar w:fldCharType="begin"/>
      </w:r>
      <w:r>
        <w:instrText xml:space="preserve"> SEQ Table \* ARABIC </w:instrText>
      </w:r>
      <w:r>
        <w:fldChar w:fldCharType="separate"/>
      </w:r>
      <w:r w:rsidR="00A936CD">
        <w:rPr>
          <w:noProof/>
        </w:rPr>
        <w:t>4</w:t>
      </w:r>
      <w:r>
        <w:fldChar w:fldCharType="end"/>
      </w:r>
      <w:r>
        <w:t xml:space="preserve">: </w:t>
      </w:r>
      <w:r>
        <w:rPr>
          <w:b w:val="0"/>
          <w:bCs w:val="0"/>
        </w:rPr>
        <w:t>S</w:t>
      </w:r>
      <w:r w:rsidRPr="00B37104">
        <w:rPr>
          <w:b w:val="0"/>
          <w:bCs w:val="0"/>
        </w:rPr>
        <w:t>ummary of national strategies relevant to Oriel</w:t>
      </w:r>
    </w:p>
    <w:tbl>
      <w:tblPr>
        <w:tblW w:w="1017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938"/>
      </w:tblGrid>
      <w:tr w:rsidR="0025490F" w:rsidRPr="0025490F" w14:paraId="5923EA8F" w14:textId="77777777" w:rsidTr="0025490F">
        <w:trPr>
          <w:trHeight w:val="382"/>
        </w:trPr>
        <w:tc>
          <w:tcPr>
            <w:tcW w:w="2235" w:type="dxa"/>
            <w:shd w:val="clear" w:color="auto" w:fill="4F81BD"/>
          </w:tcPr>
          <w:p w14:paraId="42ED349E" w14:textId="77777777" w:rsidR="00E47761" w:rsidRPr="0025490F" w:rsidRDefault="00E47761" w:rsidP="00E47761">
            <w:pPr>
              <w:autoSpaceDE w:val="0"/>
              <w:autoSpaceDN w:val="0"/>
              <w:adjustRightInd w:val="0"/>
              <w:spacing w:after="0" w:line="240" w:lineRule="auto"/>
              <w:rPr>
                <w:rFonts w:ascii="Arial" w:eastAsiaTheme="minorHAnsi" w:hAnsi="Arial" w:cs="Arial"/>
                <w:b/>
                <w:bCs/>
                <w:color w:val="FFFFFF" w:themeColor="background1"/>
                <w:lang w:eastAsia="en-US"/>
              </w:rPr>
            </w:pPr>
            <w:bookmarkStart w:id="30" w:name="_Hlk30168088"/>
            <w:r w:rsidRPr="0025490F">
              <w:rPr>
                <w:rFonts w:ascii="Arial" w:eastAsiaTheme="minorHAnsi" w:hAnsi="Arial" w:cs="Arial"/>
                <w:b/>
                <w:bCs/>
                <w:color w:val="FFFFFF" w:themeColor="background1"/>
                <w:lang w:eastAsia="en-US"/>
              </w:rPr>
              <w:t xml:space="preserve">Strategy </w:t>
            </w:r>
          </w:p>
        </w:tc>
        <w:tc>
          <w:tcPr>
            <w:tcW w:w="7938" w:type="dxa"/>
            <w:shd w:val="clear" w:color="auto" w:fill="4F81BD"/>
          </w:tcPr>
          <w:p w14:paraId="21085EA7" w14:textId="77777777" w:rsidR="00E47761" w:rsidRPr="0025490F" w:rsidRDefault="00E47761" w:rsidP="00E47761">
            <w:pPr>
              <w:autoSpaceDE w:val="0"/>
              <w:autoSpaceDN w:val="0"/>
              <w:adjustRightInd w:val="0"/>
              <w:spacing w:after="0" w:line="240" w:lineRule="auto"/>
              <w:rPr>
                <w:rFonts w:ascii="Arial" w:eastAsiaTheme="minorHAnsi" w:hAnsi="Arial" w:cs="Arial"/>
                <w:b/>
                <w:color w:val="FFFFFF" w:themeColor="background1"/>
                <w:lang w:eastAsia="en-US"/>
              </w:rPr>
            </w:pPr>
            <w:r w:rsidRPr="0025490F">
              <w:rPr>
                <w:rFonts w:ascii="Arial" w:eastAsiaTheme="minorHAnsi" w:hAnsi="Arial" w:cs="Arial"/>
                <w:b/>
                <w:color w:val="FFFFFF" w:themeColor="background1"/>
                <w:lang w:eastAsia="en-US"/>
              </w:rPr>
              <w:t xml:space="preserve">Description </w:t>
            </w:r>
          </w:p>
        </w:tc>
      </w:tr>
      <w:tr w:rsidR="00E47761" w:rsidRPr="00587DF1" w14:paraId="245159BB" w14:textId="77777777" w:rsidTr="0025490F">
        <w:trPr>
          <w:trHeight w:val="382"/>
        </w:trPr>
        <w:tc>
          <w:tcPr>
            <w:tcW w:w="10173" w:type="dxa"/>
            <w:gridSpan w:val="2"/>
            <w:shd w:val="clear" w:color="auto" w:fill="CFDDED"/>
          </w:tcPr>
          <w:p w14:paraId="51EA4B23" w14:textId="77777777" w:rsidR="00E47761" w:rsidRPr="00587DF1" w:rsidRDefault="00E47761" w:rsidP="00E47761">
            <w:pPr>
              <w:autoSpaceDE w:val="0"/>
              <w:autoSpaceDN w:val="0"/>
              <w:adjustRightInd w:val="0"/>
              <w:spacing w:after="0" w:line="240" w:lineRule="auto"/>
              <w:rPr>
                <w:rFonts w:ascii="Arial" w:eastAsiaTheme="minorHAnsi" w:hAnsi="Arial" w:cs="Arial"/>
                <w:b/>
                <w:lang w:eastAsia="en-US"/>
              </w:rPr>
            </w:pPr>
            <w:r w:rsidRPr="00587DF1">
              <w:rPr>
                <w:rFonts w:ascii="Arial" w:eastAsiaTheme="minorHAnsi" w:hAnsi="Arial" w:cs="Arial"/>
                <w:b/>
                <w:lang w:eastAsia="en-US"/>
              </w:rPr>
              <w:t>Ophthalmology strategies</w:t>
            </w:r>
          </w:p>
        </w:tc>
      </w:tr>
      <w:tr w:rsidR="00E47761" w:rsidRPr="00587DF1" w14:paraId="7D12BF9F" w14:textId="77777777" w:rsidTr="00D810B2">
        <w:trPr>
          <w:trHeight w:val="647"/>
        </w:trPr>
        <w:tc>
          <w:tcPr>
            <w:tcW w:w="2235" w:type="dxa"/>
          </w:tcPr>
          <w:p w14:paraId="5FEC1081" w14:textId="77777777" w:rsidR="00E47761" w:rsidRPr="00587DF1" w:rsidRDefault="00E47761" w:rsidP="00E47761">
            <w:pPr>
              <w:rPr>
                <w:rFonts w:ascii="Arial" w:eastAsiaTheme="minorHAnsi" w:hAnsi="Arial" w:cs="Arial"/>
                <w:color w:val="000000"/>
                <w:lang w:eastAsia="en-US"/>
              </w:rPr>
            </w:pPr>
            <w:r w:rsidRPr="00587DF1">
              <w:rPr>
                <w:rFonts w:ascii="Arial" w:eastAsiaTheme="minorHAnsi" w:hAnsi="Arial" w:cs="Arial"/>
                <w:color w:val="000000"/>
                <w:lang w:eastAsia="en-US"/>
              </w:rPr>
              <w:t>The Way Forward</w:t>
            </w:r>
            <w:r w:rsidR="002E7902" w:rsidRPr="00587DF1">
              <w:rPr>
                <w:rFonts w:ascii="Arial" w:eastAsiaTheme="minorHAnsi" w:hAnsi="Arial" w:cs="Arial"/>
                <w:color w:val="000000"/>
                <w:lang w:eastAsia="en-US"/>
              </w:rPr>
              <w:t xml:space="preserve"> (</w:t>
            </w:r>
            <w:r w:rsidRPr="00587DF1">
              <w:rPr>
                <w:rFonts w:ascii="Arial" w:eastAsiaTheme="minorHAnsi" w:hAnsi="Arial" w:cs="Arial"/>
                <w:color w:val="000000"/>
                <w:lang w:eastAsia="en-US"/>
              </w:rPr>
              <w:t>2017</w:t>
            </w:r>
            <w:r w:rsidR="002E7902" w:rsidRPr="00587DF1">
              <w:rPr>
                <w:rFonts w:ascii="Arial" w:eastAsiaTheme="minorHAnsi" w:hAnsi="Arial" w:cs="Arial"/>
                <w:color w:val="000000"/>
                <w:lang w:eastAsia="en-US"/>
              </w:rPr>
              <w:t>)</w:t>
            </w:r>
          </w:p>
          <w:p w14:paraId="7E422031" w14:textId="77777777" w:rsidR="00E47761" w:rsidRPr="00587DF1" w:rsidRDefault="00E47761" w:rsidP="00E47761">
            <w:pPr>
              <w:pStyle w:val="Default"/>
              <w:autoSpaceDE/>
              <w:autoSpaceDN/>
              <w:adjustRightInd/>
              <w:spacing w:after="200" w:line="276" w:lineRule="auto"/>
              <w:rPr>
                <w:rFonts w:ascii="Arial" w:hAnsi="Arial" w:cs="Arial"/>
                <w:sz w:val="22"/>
                <w:szCs w:val="22"/>
              </w:rPr>
            </w:pPr>
          </w:p>
        </w:tc>
        <w:tc>
          <w:tcPr>
            <w:tcW w:w="7938" w:type="dxa"/>
          </w:tcPr>
          <w:p w14:paraId="49D9F741" w14:textId="77777777" w:rsidR="00E47761" w:rsidRPr="00587DF1" w:rsidRDefault="00E47761" w:rsidP="00E47761">
            <w:pPr>
              <w:rPr>
                <w:rFonts w:ascii="Arial" w:eastAsiaTheme="minorHAnsi" w:hAnsi="Arial" w:cs="Arial"/>
                <w:color w:val="000000"/>
                <w:lang w:eastAsia="en-US"/>
              </w:rPr>
            </w:pPr>
            <w:r w:rsidRPr="00587DF1">
              <w:rPr>
                <w:rFonts w:ascii="Arial" w:eastAsiaTheme="minorHAnsi" w:hAnsi="Arial" w:cs="Arial"/>
                <w:color w:val="000000"/>
                <w:lang w:eastAsia="en-US"/>
              </w:rPr>
              <w:lastRenderedPageBreak/>
              <w:t xml:space="preserve">The 2017 Way Forward was commissioned by the Royal College of </w:t>
            </w:r>
            <w:r w:rsidRPr="00587DF1">
              <w:rPr>
                <w:rFonts w:ascii="Arial" w:hAnsi="Arial" w:cs="Arial"/>
              </w:rPr>
              <w:t>Ophthalmologists</w:t>
            </w:r>
            <w:r w:rsidRPr="00587DF1">
              <w:rPr>
                <w:rFonts w:ascii="Arial" w:eastAsiaTheme="minorHAnsi" w:hAnsi="Arial" w:cs="Arial"/>
                <w:color w:val="000000"/>
                <w:lang w:eastAsia="en-US"/>
              </w:rPr>
              <w:t xml:space="preserve"> to identify current ways of working and schemes devised by </w:t>
            </w:r>
            <w:r w:rsidRPr="00587DF1">
              <w:rPr>
                <w:rFonts w:ascii="Arial" w:eastAsiaTheme="minorHAnsi" w:hAnsi="Arial" w:cs="Arial"/>
                <w:color w:val="000000"/>
                <w:lang w:eastAsia="en-US"/>
              </w:rPr>
              <w:lastRenderedPageBreak/>
              <w:t xml:space="preserve">ophthalmology departments across the UK to meet the increasing demand for ophthalmic services. Part of this work involved assessing the anticipated increase in demand for ophthalmic services over the next 20 years in each of the high-volume areas of eye care. </w:t>
            </w:r>
          </w:p>
          <w:p w14:paraId="49EF5167" w14:textId="78E566F1" w:rsidR="00E47761" w:rsidRPr="00587DF1" w:rsidRDefault="00E47761" w:rsidP="00B8080B">
            <w:pPr>
              <w:spacing w:after="0"/>
              <w:rPr>
                <w:rFonts w:ascii="Arial" w:eastAsiaTheme="minorHAnsi" w:hAnsi="Arial" w:cs="Arial"/>
                <w:color w:val="000000"/>
                <w:lang w:eastAsia="en-US"/>
              </w:rPr>
            </w:pPr>
            <w:r w:rsidRPr="00587DF1">
              <w:rPr>
                <w:rFonts w:ascii="Arial" w:eastAsiaTheme="minorHAnsi" w:hAnsi="Arial" w:cs="Arial"/>
                <w:color w:val="000000"/>
                <w:lang w:eastAsia="en-US"/>
              </w:rPr>
              <w:t xml:space="preserve">The findings of this have informed the activity projections upon which the Oriel functional content is based. Further detail of this work and its significance in relation to Oriel is provided in section </w:t>
            </w:r>
            <w:r w:rsidR="00F12664" w:rsidRPr="00587DF1">
              <w:rPr>
                <w:rFonts w:ascii="Arial" w:eastAsiaTheme="minorHAnsi" w:hAnsi="Arial" w:cs="Arial"/>
                <w:color w:val="000000"/>
                <w:lang w:eastAsia="en-US"/>
              </w:rPr>
              <w:fldChar w:fldCharType="begin"/>
            </w:r>
            <w:r w:rsidR="00F12664" w:rsidRPr="00587DF1">
              <w:rPr>
                <w:rFonts w:ascii="Arial" w:eastAsiaTheme="minorHAnsi" w:hAnsi="Arial" w:cs="Arial"/>
                <w:color w:val="000000"/>
                <w:lang w:eastAsia="en-US"/>
              </w:rPr>
              <w:instrText xml:space="preserve"> REF _Ref24701312 \r \h </w:instrText>
            </w:r>
            <w:r w:rsidR="00587DF1">
              <w:rPr>
                <w:rFonts w:ascii="Arial" w:eastAsiaTheme="minorHAnsi" w:hAnsi="Arial" w:cs="Arial"/>
                <w:color w:val="000000"/>
                <w:lang w:eastAsia="en-US"/>
              </w:rPr>
              <w:instrText xml:space="preserve"> \* MERGEFORMAT </w:instrText>
            </w:r>
            <w:r w:rsidR="00F12664" w:rsidRPr="00587DF1">
              <w:rPr>
                <w:rFonts w:ascii="Arial" w:eastAsiaTheme="minorHAnsi" w:hAnsi="Arial" w:cs="Arial"/>
                <w:color w:val="000000"/>
                <w:lang w:eastAsia="en-US"/>
              </w:rPr>
            </w:r>
            <w:r w:rsidR="00F12664" w:rsidRPr="00587DF1">
              <w:rPr>
                <w:rFonts w:ascii="Arial" w:eastAsiaTheme="minorHAnsi" w:hAnsi="Arial" w:cs="Arial"/>
                <w:color w:val="000000"/>
                <w:lang w:eastAsia="en-US"/>
              </w:rPr>
              <w:fldChar w:fldCharType="separate"/>
            </w:r>
            <w:r w:rsidR="00A936CD">
              <w:rPr>
                <w:rFonts w:ascii="Arial" w:eastAsiaTheme="minorHAnsi" w:hAnsi="Arial" w:cs="Arial"/>
                <w:color w:val="000000"/>
                <w:lang w:eastAsia="en-US"/>
              </w:rPr>
              <w:t>3.10.5</w:t>
            </w:r>
            <w:r w:rsidR="00F12664" w:rsidRPr="00587DF1">
              <w:rPr>
                <w:rFonts w:ascii="Arial" w:eastAsiaTheme="minorHAnsi" w:hAnsi="Arial" w:cs="Arial"/>
                <w:color w:val="000000"/>
                <w:lang w:eastAsia="en-US"/>
              </w:rPr>
              <w:fldChar w:fldCharType="end"/>
            </w:r>
            <w:r w:rsidRPr="00587DF1">
              <w:rPr>
                <w:rFonts w:ascii="Arial" w:eastAsiaTheme="minorHAnsi" w:hAnsi="Arial" w:cs="Arial"/>
                <w:color w:val="000000"/>
                <w:lang w:eastAsia="en-US"/>
              </w:rPr>
              <w:t>.</w:t>
            </w:r>
          </w:p>
        </w:tc>
      </w:tr>
      <w:tr w:rsidR="00E47761" w:rsidRPr="00587DF1" w14:paraId="293BB78E" w14:textId="77777777" w:rsidTr="00D810B2">
        <w:trPr>
          <w:trHeight w:val="506"/>
        </w:trPr>
        <w:tc>
          <w:tcPr>
            <w:tcW w:w="2235" w:type="dxa"/>
          </w:tcPr>
          <w:p w14:paraId="534E237B" w14:textId="409C786F" w:rsidR="00E47761" w:rsidRPr="00587DF1" w:rsidRDefault="00F549D1" w:rsidP="00E47761">
            <w:pPr>
              <w:rPr>
                <w:rFonts w:ascii="Arial" w:eastAsiaTheme="minorHAnsi" w:hAnsi="Arial" w:cs="Arial"/>
                <w:bCs/>
                <w:lang w:eastAsia="en-US"/>
              </w:rPr>
            </w:pPr>
            <w:bookmarkStart w:id="31" w:name="_Hlk27130458"/>
            <w:r>
              <w:rPr>
                <w:rFonts w:ascii="Arial" w:eastAsiaTheme="minorHAnsi" w:hAnsi="Arial" w:cs="Arial"/>
                <w:bCs/>
                <w:lang w:eastAsia="en-US"/>
              </w:rPr>
              <w:lastRenderedPageBreak/>
              <w:t xml:space="preserve">Ophthalmology </w:t>
            </w:r>
            <w:r w:rsidR="00E47761" w:rsidRPr="00587DF1">
              <w:rPr>
                <w:rFonts w:ascii="Arial" w:eastAsiaTheme="minorHAnsi" w:hAnsi="Arial" w:cs="Arial"/>
                <w:bCs/>
                <w:lang w:eastAsia="en-US"/>
              </w:rPr>
              <w:t>Getting It Right First Time</w:t>
            </w:r>
            <w:bookmarkEnd w:id="31"/>
            <w:r w:rsidR="00E47761" w:rsidRPr="00587DF1">
              <w:rPr>
                <w:rFonts w:ascii="Arial" w:eastAsiaTheme="minorHAnsi" w:hAnsi="Arial" w:cs="Arial"/>
                <w:bCs/>
                <w:lang w:eastAsia="en-US"/>
              </w:rPr>
              <w:t xml:space="preserve"> (GIRFT) </w:t>
            </w:r>
            <w:r w:rsidR="002E7902" w:rsidRPr="00587DF1">
              <w:rPr>
                <w:rFonts w:ascii="Arial" w:eastAsiaTheme="minorHAnsi" w:hAnsi="Arial" w:cs="Arial"/>
                <w:bCs/>
                <w:lang w:eastAsia="en-US"/>
              </w:rPr>
              <w:t>(</w:t>
            </w:r>
            <w:r>
              <w:rPr>
                <w:rFonts w:ascii="Arial" w:eastAsiaTheme="minorHAnsi" w:hAnsi="Arial" w:cs="Arial"/>
                <w:bCs/>
                <w:lang w:eastAsia="en-US"/>
              </w:rPr>
              <w:t>2019</w:t>
            </w:r>
            <w:r w:rsidR="002E7902" w:rsidRPr="00587DF1">
              <w:rPr>
                <w:rFonts w:ascii="Arial" w:eastAsiaTheme="minorHAnsi" w:hAnsi="Arial" w:cs="Arial"/>
                <w:bCs/>
                <w:lang w:eastAsia="en-US"/>
              </w:rPr>
              <w:t>)</w:t>
            </w:r>
            <w:r w:rsidR="00E47761" w:rsidRPr="00587DF1">
              <w:rPr>
                <w:rFonts w:ascii="Arial" w:eastAsiaTheme="minorHAnsi" w:hAnsi="Arial" w:cs="Arial"/>
                <w:bCs/>
                <w:lang w:eastAsia="en-US"/>
              </w:rPr>
              <w:t xml:space="preserve">. </w:t>
            </w:r>
          </w:p>
        </w:tc>
        <w:tc>
          <w:tcPr>
            <w:tcW w:w="7938" w:type="dxa"/>
          </w:tcPr>
          <w:p w14:paraId="7D6B9B78" w14:textId="31AF302B" w:rsidR="00F549D1" w:rsidRDefault="00E47761" w:rsidP="007C7CA8">
            <w:pPr>
              <w:rPr>
                <w:rFonts w:ascii="Arial" w:hAnsi="Arial" w:cs="Arial"/>
              </w:rPr>
            </w:pPr>
            <w:bookmarkStart w:id="32" w:name="_Hlk32913610"/>
            <w:r w:rsidRPr="00587DF1">
              <w:rPr>
                <w:rFonts w:ascii="Arial" w:hAnsi="Arial" w:cs="Arial"/>
              </w:rPr>
              <w:t xml:space="preserve">GIRFT is a national programme led by frontline clinicians that is designed to improve the quality of care within the NHS through tackling unwarranted variations in care. </w:t>
            </w:r>
            <w:r w:rsidR="00F549D1">
              <w:rPr>
                <w:rFonts w:ascii="Arial" w:hAnsi="Arial" w:cs="Arial"/>
              </w:rPr>
              <w:t>The latest GIRFT report for ophthalmology identifies rapidly rising demand</w:t>
            </w:r>
            <w:r w:rsidR="00F549D1" w:rsidRPr="00F549D1">
              <w:rPr>
                <w:rFonts w:ascii="Arial" w:hAnsi="Arial" w:cs="Arial"/>
              </w:rPr>
              <w:t xml:space="preserve"> for ophthalmology services </w:t>
            </w:r>
            <w:r w:rsidR="00F549D1">
              <w:rPr>
                <w:rFonts w:ascii="Arial" w:hAnsi="Arial" w:cs="Arial"/>
              </w:rPr>
              <w:t xml:space="preserve">in a system that is </w:t>
            </w:r>
            <w:r w:rsidR="00F549D1" w:rsidRPr="00F549D1">
              <w:rPr>
                <w:rFonts w:ascii="Arial" w:hAnsi="Arial" w:cs="Arial"/>
              </w:rPr>
              <w:t>struggling to keep pace. The ophthalmology workforce has not grown in line with demand</w:t>
            </w:r>
            <w:r w:rsidR="00F549D1">
              <w:rPr>
                <w:rFonts w:ascii="Arial" w:hAnsi="Arial" w:cs="Arial"/>
              </w:rPr>
              <w:t xml:space="preserve">, </w:t>
            </w:r>
            <w:r w:rsidR="00F549D1" w:rsidRPr="00F549D1">
              <w:rPr>
                <w:rFonts w:ascii="Arial" w:hAnsi="Arial" w:cs="Arial"/>
              </w:rPr>
              <w:t>many hospital ophthalmology departments are cramped with little scope for expansion, and reliant on outdated or limited</w:t>
            </w:r>
            <w:r w:rsidR="00F549D1">
              <w:rPr>
                <w:rFonts w:ascii="Arial" w:hAnsi="Arial" w:cs="Arial"/>
              </w:rPr>
              <w:t xml:space="preserve"> </w:t>
            </w:r>
            <w:r w:rsidR="00F549D1" w:rsidRPr="00F549D1">
              <w:rPr>
                <w:rFonts w:ascii="Arial" w:hAnsi="Arial" w:cs="Arial"/>
              </w:rPr>
              <w:t>IT systems.</w:t>
            </w:r>
          </w:p>
          <w:p w14:paraId="529A641B" w14:textId="2C2F361A" w:rsidR="007C7CA8" w:rsidRPr="00587DF1" w:rsidRDefault="00F549D1" w:rsidP="007C7CA8">
            <w:pPr>
              <w:rPr>
                <w:rFonts w:ascii="Arial" w:eastAsiaTheme="minorHAnsi" w:hAnsi="Arial" w:cs="Arial"/>
                <w:lang w:eastAsia="en-US"/>
              </w:rPr>
            </w:pPr>
            <w:r>
              <w:rPr>
                <w:rFonts w:ascii="Arial" w:eastAsiaTheme="minorHAnsi" w:hAnsi="Arial" w:cs="Arial"/>
                <w:lang w:eastAsia="en-US"/>
              </w:rPr>
              <w:t xml:space="preserve">The key recommendations in the 2019 ophthalmology </w:t>
            </w:r>
            <w:r w:rsidR="007C7CA8" w:rsidRPr="00587DF1">
              <w:rPr>
                <w:rFonts w:ascii="Arial" w:eastAsiaTheme="minorHAnsi" w:hAnsi="Arial" w:cs="Arial"/>
                <w:lang w:eastAsia="en-US"/>
              </w:rPr>
              <w:t xml:space="preserve">GIRFT </w:t>
            </w:r>
            <w:r>
              <w:rPr>
                <w:rFonts w:ascii="Arial" w:eastAsiaTheme="minorHAnsi" w:hAnsi="Arial" w:cs="Arial"/>
                <w:lang w:eastAsia="en-US"/>
              </w:rPr>
              <w:t>report are around improving referrals, use of primary and community care for routine care, and streamlining surgical practice</w:t>
            </w:r>
            <w:r w:rsidR="007C7CA8" w:rsidRPr="00587DF1">
              <w:rPr>
                <w:rFonts w:ascii="Arial" w:eastAsiaTheme="minorHAnsi" w:hAnsi="Arial" w:cs="Arial"/>
                <w:lang w:eastAsia="en-US"/>
              </w:rPr>
              <w:t>.</w:t>
            </w:r>
            <w:r>
              <w:rPr>
                <w:rFonts w:ascii="Arial" w:eastAsiaTheme="minorHAnsi" w:hAnsi="Arial" w:cs="Arial"/>
                <w:lang w:eastAsia="en-US"/>
              </w:rPr>
              <w:t xml:space="preserve"> </w:t>
            </w:r>
            <w:r w:rsidR="007C7CA8" w:rsidRPr="00587DF1">
              <w:rPr>
                <w:rFonts w:ascii="Arial" w:eastAsiaTheme="minorHAnsi" w:hAnsi="Arial" w:cs="Arial"/>
                <w:lang w:eastAsia="en-US"/>
              </w:rPr>
              <w:t>The City Road site is unable to respond to many of the recommendations set out in the ophthalmology GIRFT report due to</w:t>
            </w:r>
            <w:r w:rsidR="0025490F">
              <w:rPr>
                <w:rFonts w:ascii="Arial" w:eastAsiaTheme="minorHAnsi" w:hAnsi="Arial" w:cs="Arial"/>
                <w:lang w:eastAsia="en-US"/>
              </w:rPr>
              <w:t>:</w:t>
            </w:r>
          </w:p>
          <w:bookmarkEnd w:id="32"/>
          <w:p w14:paraId="07FF3BC0" w14:textId="28F3DA46" w:rsidR="007C7CA8" w:rsidRPr="00587DF1" w:rsidRDefault="007C7CA8" w:rsidP="005E0D57">
            <w:pPr>
              <w:pStyle w:val="ListParagraph"/>
              <w:numPr>
                <w:ilvl w:val="0"/>
                <w:numId w:val="12"/>
              </w:numPr>
              <w:rPr>
                <w:rFonts w:ascii="Arial" w:eastAsiaTheme="minorHAnsi" w:hAnsi="Arial" w:cs="Arial"/>
                <w:lang w:eastAsia="en-US"/>
              </w:rPr>
            </w:pPr>
            <w:r w:rsidRPr="00587DF1">
              <w:rPr>
                <w:rFonts w:ascii="Arial" w:eastAsiaTheme="minorHAnsi" w:hAnsi="Arial" w:cs="Arial"/>
                <w:lang w:eastAsia="en-US"/>
              </w:rPr>
              <w:t xml:space="preserve">Layout constraints which inhibit the trust’s ability to provide a streamlined, time efficient ambulatory surgical care service at the City Road site (described further in section </w:t>
            </w:r>
            <w:r w:rsidR="00B8080B">
              <w:rPr>
                <w:rFonts w:ascii="Arial" w:eastAsiaTheme="minorHAnsi" w:hAnsi="Arial" w:cs="Arial"/>
                <w:lang w:eastAsia="en-US"/>
              </w:rPr>
              <w:fldChar w:fldCharType="begin"/>
            </w:r>
            <w:r w:rsidR="00B8080B">
              <w:rPr>
                <w:rFonts w:ascii="Arial" w:eastAsiaTheme="minorHAnsi" w:hAnsi="Arial" w:cs="Arial"/>
                <w:lang w:eastAsia="en-US"/>
              </w:rPr>
              <w:instrText xml:space="preserve"> REF _Ref27743583 \r \h </w:instrText>
            </w:r>
            <w:r w:rsidR="00B8080B">
              <w:rPr>
                <w:rFonts w:ascii="Arial" w:eastAsiaTheme="minorHAnsi" w:hAnsi="Arial" w:cs="Arial"/>
                <w:lang w:eastAsia="en-US"/>
              </w:rPr>
            </w:r>
            <w:r w:rsidR="00B8080B">
              <w:rPr>
                <w:rFonts w:ascii="Arial" w:eastAsiaTheme="minorHAnsi" w:hAnsi="Arial" w:cs="Arial"/>
                <w:lang w:eastAsia="en-US"/>
              </w:rPr>
              <w:fldChar w:fldCharType="separate"/>
            </w:r>
            <w:r w:rsidR="00A936CD">
              <w:rPr>
                <w:rFonts w:ascii="Arial" w:eastAsiaTheme="minorHAnsi" w:hAnsi="Arial" w:cs="Arial"/>
                <w:lang w:eastAsia="en-US"/>
              </w:rPr>
              <w:t>3.10.3</w:t>
            </w:r>
            <w:r w:rsidR="00B8080B">
              <w:rPr>
                <w:rFonts w:ascii="Arial" w:eastAsiaTheme="minorHAnsi" w:hAnsi="Arial" w:cs="Arial"/>
                <w:lang w:eastAsia="en-US"/>
              </w:rPr>
              <w:fldChar w:fldCharType="end"/>
            </w:r>
            <w:r w:rsidRPr="00587DF1">
              <w:rPr>
                <w:rFonts w:ascii="Arial" w:eastAsiaTheme="minorHAnsi" w:hAnsi="Arial" w:cs="Arial"/>
                <w:lang w:eastAsia="en-US"/>
              </w:rPr>
              <w:t xml:space="preserve">, case for change). </w:t>
            </w:r>
          </w:p>
          <w:p w14:paraId="65A3E35A" w14:textId="77777777" w:rsidR="007C7CA8" w:rsidRPr="00587DF1" w:rsidRDefault="007C7CA8" w:rsidP="005E0D57">
            <w:pPr>
              <w:pStyle w:val="ListParagraph"/>
              <w:numPr>
                <w:ilvl w:val="0"/>
                <w:numId w:val="12"/>
              </w:numPr>
              <w:rPr>
                <w:rFonts w:ascii="Arial" w:eastAsiaTheme="minorHAnsi" w:hAnsi="Arial" w:cs="Arial"/>
                <w:lang w:eastAsia="en-US"/>
              </w:rPr>
            </w:pPr>
            <w:r w:rsidRPr="00587DF1">
              <w:rPr>
                <w:rFonts w:ascii="Arial" w:eastAsiaTheme="minorHAnsi" w:hAnsi="Arial" w:cs="Arial"/>
                <w:lang w:eastAsia="en-US"/>
              </w:rPr>
              <w:t xml:space="preserve">The site is still configured with Nightingale wards located some distance from operating theatres, which reduces the number of patients treated in a timely manner. Significant improvements in surgical efficiency cannot be achieved in the current physical configuration. </w:t>
            </w:r>
          </w:p>
          <w:p w14:paraId="5B55F326" w14:textId="3F038C51" w:rsidR="007C7CA8" w:rsidRPr="00587DF1" w:rsidRDefault="007C7CA8" w:rsidP="005E0D57">
            <w:pPr>
              <w:pStyle w:val="ListParagraph"/>
              <w:numPr>
                <w:ilvl w:val="0"/>
                <w:numId w:val="12"/>
              </w:numPr>
              <w:rPr>
                <w:rFonts w:ascii="Arial" w:eastAsiaTheme="minorHAnsi" w:hAnsi="Arial" w:cs="Arial"/>
                <w:lang w:eastAsia="en-US"/>
              </w:rPr>
            </w:pPr>
            <w:r w:rsidRPr="00587DF1">
              <w:rPr>
                <w:rFonts w:ascii="Arial" w:eastAsiaTheme="minorHAnsi" w:hAnsi="Arial" w:cs="Arial"/>
                <w:lang w:eastAsia="en-US"/>
              </w:rPr>
              <w:t xml:space="preserve">For glaucoma, age-related macular degeneration and diabetic retinopathy services, GIRFT has highlighted the use of virtual clinics and the need to consider the location of physical clinics. Given advances and the cost of technology, there is a strong case for hosting such clinics in an easily accessible hospital setting, therefore avoiding the potential duplication of expensive and highly technical equipment required to run such clinics effectively. The current building would require significant investment to provide the infrastructure required to implement virtual clinics (described further in section </w:t>
            </w:r>
            <w:r w:rsidR="00B8080B">
              <w:rPr>
                <w:rFonts w:ascii="Arial" w:eastAsiaTheme="minorHAnsi" w:hAnsi="Arial" w:cs="Arial"/>
                <w:lang w:eastAsia="en-US"/>
              </w:rPr>
              <w:fldChar w:fldCharType="begin"/>
            </w:r>
            <w:r w:rsidR="00B8080B">
              <w:rPr>
                <w:rFonts w:ascii="Arial" w:eastAsiaTheme="minorHAnsi" w:hAnsi="Arial" w:cs="Arial"/>
                <w:lang w:eastAsia="en-US"/>
              </w:rPr>
              <w:instrText xml:space="preserve"> REF _Ref24717234 \r \h </w:instrText>
            </w:r>
            <w:r w:rsidR="00B8080B">
              <w:rPr>
                <w:rFonts w:ascii="Arial" w:eastAsiaTheme="minorHAnsi" w:hAnsi="Arial" w:cs="Arial"/>
                <w:lang w:eastAsia="en-US"/>
              </w:rPr>
            </w:r>
            <w:r w:rsidR="00B8080B">
              <w:rPr>
                <w:rFonts w:ascii="Arial" w:eastAsiaTheme="minorHAnsi" w:hAnsi="Arial" w:cs="Arial"/>
                <w:lang w:eastAsia="en-US"/>
              </w:rPr>
              <w:fldChar w:fldCharType="separate"/>
            </w:r>
            <w:r w:rsidR="00A936CD">
              <w:rPr>
                <w:rFonts w:ascii="Arial" w:eastAsiaTheme="minorHAnsi" w:hAnsi="Arial" w:cs="Arial"/>
                <w:lang w:eastAsia="en-US"/>
              </w:rPr>
              <w:t>3.10.2</w:t>
            </w:r>
            <w:r w:rsidR="00B8080B">
              <w:rPr>
                <w:rFonts w:ascii="Arial" w:eastAsiaTheme="minorHAnsi" w:hAnsi="Arial" w:cs="Arial"/>
                <w:lang w:eastAsia="en-US"/>
              </w:rPr>
              <w:fldChar w:fldCharType="end"/>
            </w:r>
            <w:r w:rsidRPr="00587DF1">
              <w:rPr>
                <w:rFonts w:ascii="Arial" w:eastAsiaTheme="minorHAnsi" w:hAnsi="Arial" w:cs="Arial"/>
                <w:lang w:eastAsia="en-US"/>
              </w:rPr>
              <w:t>)</w:t>
            </w:r>
          </w:p>
          <w:p w14:paraId="0B5DD186" w14:textId="77777777" w:rsidR="007C7CA8" w:rsidRPr="00587DF1" w:rsidRDefault="007C7CA8" w:rsidP="00B8080B">
            <w:pPr>
              <w:spacing w:after="0"/>
              <w:rPr>
                <w:rFonts w:ascii="Arial" w:eastAsiaTheme="minorHAnsi" w:hAnsi="Arial" w:cs="Arial"/>
                <w:lang w:eastAsia="en-US"/>
              </w:rPr>
            </w:pPr>
            <w:r w:rsidRPr="00587DF1">
              <w:rPr>
                <w:rFonts w:ascii="Arial" w:eastAsiaTheme="minorHAnsi" w:hAnsi="Arial" w:cs="Arial"/>
                <w:lang w:eastAsia="en-US"/>
              </w:rPr>
              <w:t xml:space="preserve">The design of a purpose-built </w:t>
            </w:r>
            <w:r w:rsidR="00F12664" w:rsidRPr="00587DF1">
              <w:rPr>
                <w:rFonts w:ascii="Arial" w:eastAsiaTheme="minorHAnsi" w:hAnsi="Arial" w:cs="Arial"/>
                <w:lang w:eastAsia="en-US"/>
              </w:rPr>
              <w:t>centre</w:t>
            </w:r>
            <w:r w:rsidRPr="00587DF1">
              <w:rPr>
                <w:rFonts w:ascii="Arial" w:eastAsiaTheme="minorHAnsi" w:hAnsi="Arial" w:cs="Arial"/>
                <w:lang w:eastAsia="en-US"/>
              </w:rPr>
              <w:t xml:space="preserve"> will incorporate these GIRFT recommendations to </w:t>
            </w:r>
            <w:r w:rsidR="00F12664" w:rsidRPr="00587DF1">
              <w:rPr>
                <w:rFonts w:ascii="Arial" w:eastAsiaTheme="minorHAnsi" w:hAnsi="Arial" w:cs="Arial"/>
                <w:lang w:eastAsia="en-US"/>
              </w:rPr>
              <w:t>deliver</w:t>
            </w:r>
            <w:r w:rsidRPr="00587DF1">
              <w:rPr>
                <w:rFonts w:ascii="Arial" w:eastAsiaTheme="minorHAnsi" w:hAnsi="Arial" w:cs="Arial"/>
                <w:lang w:eastAsia="en-US"/>
              </w:rPr>
              <w:t xml:space="preserve"> an operationally-efficient and leading practice service is delivered.</w:t>
            </w:r>
          </w:p>
        </w:tc>
      </w:tr>
      <w:tr w:rsidR="00E47761" w:rsidRPr="00587DF1" w14:paraId="04198DC9" w14:textId="77777777" w:rsidTr="0025490F">
        <w:trPr>
          <w:trHeight w:val="359"/>
        </w:trPr>
        <w:tc>
          <w:tcPr>
            <w:tcW w:w="10173" w:type="dxa"/>
            <w:gridSpan w:val="2"/>
            <w:shd w:val="clear" w:color="auto" w:fill="CFDDED"/>
          </w:tcPr>
          <w:p w14:paraId="72FD8D10" w14:textId="77777777" w:rsidR="00E47761" w:rsidRPr="00587DF1" w:rsidRDefault="00E47761" w:rsidP="00E47761">
            <w:pPr>
              <w:autoSpaceDE w:val="0"/>
              <w:autoSpaceDN w:val="0"/>
              <w:adjustRightInd w:val="0"/>
              <w:spacing w:after="0" w:line="240" w:lineRule="auto"/>
              <w:rPr>
                <w:rFonts w:ascii="Arial" w:eastAsiaTheme="minorHAnsi" w:hAnsi="Arial" w:cs="Arial"/>
                <w:b/>
                <w:lang w:eastAsia="en-US"/>
              </w:rPr>
            </w:pPr>
            <w:r w:rsidRPr="00587DF1">
              <w:rPr>
                <w:rFonts w:ascii="Arial" w:eastAsiaTheme="minorHAnsi" w:hAnsi="Arial" w:cs="Arial"/>
                <w:b/>
                <w:lang w:eastAsia="en-US"/>
              </w:rPr>
              <w:t>Over-arching strategies</w:t>
            </w:r>
          </w:p>
        </w:tc>
      </w:tr>
      <w:tr w:rsidR="00E47761" w:rsidRPr="00587DF1" w14:paraId="421A8A15" w14:textId="77777777" w:rsidTr="00D810B2">
        <w:trPr>
          <w:trHeight w:val="776"/>
        </w:trPr>
        <w:tc>
          <w:tcPr>
            <w:tcW w:w="2235" w:type="dxa"/>
          </w:tcPr>
          <w:p w14:paraId="63610BF1" w14:textId="77777777" w:rsidR="00E47761" w:rsidRPr="00587DF1" w:rsidRDefault="00E47761" w:rsidP="00B8080B">
            <w:pPr>
              <w:spacing w:after="0"/>
              <w:rPr>
                <w:rFonts w:ascii="Arial" w:eastAsiaTheme="minorHAnsi" w:hAnsi="Arial" w:cs="Arial"/>
                <w:lang w:eastAsia="en-US"/>
              </w:rPr>
            </w:pPr>
            <w:r w:rsidRPr="00587DF1">
              <w:rPr>
                <w:rFonts w:ascii="Arial" w:eastAsiaTheme="minorHAnsi" w:hAnsi="Arial" w:cs="Arial"/>
                <w:bCs/>
                <w:lang w:eastAsia="en-US"/>
              </w:rPr>
              <w:t xml:space="preserve">The </w:t>
            </w:r>
            <w:r w:rsidRPr="00587DF1">
              <w:rPr>
                <w:rFonts w:ascii="Arial" w:hAnsi="Arial" w:cs="Arial"/>
              </w:rPr>
              <w:t>NHS</w:t>
            </w:r>
            <w:r w:rsidRPr="00587DF1">
              <w:rPr>
                <w:rFonts w:ascii="Arial" w:eastAsiaTheme="minorHAnsi" w:hAnsi="Arial" w:cs="Arial"/>
                <w:bCs/>
                <w:lang w:eastAsia="en-US"/>
              </w:rPr>
              <w:t xml:space="preserve"> Long Term Plan </w:t>
            </w:r>
            <w:r w:rsidR="002E7902" w:rsidRPr="00587DF1">
              <w:rPr>
                <w:rFonts w:ascii="Arial" w:eastAsiaTheme="minorHAnsi" w:hAnsi="Arial" w:cs="Arial"/>
                <w:bCs/>
                <w:lang w:eastAsia="en-US"/>
              </w:rPr>
              <w:t>(</w:t>
            </w:r>
            <w:r w:rsidRPr="00587DF1">
              <w:rPr>
                <w:rFonts w:ascii="Arial" w:eastAsiaTheme="minorHAnsi" w:hAnsi="Arial" w:cs="Arial"/>
                <w:bCs/>
                <w:lang w:eastAsia="en-US"/>
              </w:rPr>
              <w:t>2019</w:t>
            </w:r>
            <w:r w:rsidR="002E7902" w:rsidRPr="00587DF1">
              <w:rPr>
                <w:rFonts w:ascii="Arial" w:eastAsiaTheme="minorHAnsi" w:hAnsi="Arial" w:cs="Arial"/>
                <w:bCs/>
                <w:lang w:eastAsia="en-US"/>
              </w:rPr>
              <w:t>)</w:t>
            </w:r>
          </w:p>
        </w:tc>
        <w:tc>
          <w:tcPr>
            <w:tcW w:w="7938" w:type="dxa"/>
          </w:tcPr>
          <w:p w14:paraId="1D141809" w14:textId="77777777" w:rsidR="002E7902" w:rsidRPr="00587DF1" w:rsidRDefault="002E7902" w:rsidP="00B8080B">
            <w:pPr>
              <w:spacing w:after="0"/>
              <w:rPr>
                <w:rFonts w:ascii="Arial" w:hAnsi="Arial" w:cs="Arial"/>
              </w:rPr>
            </w:pPr>
            <w:r w:rsidRPr="00587DF1">
              <w:rPr>
                <w:rFonts w:ascii="Arial" w:hAnsi="Arial" w:cs="Arial"/>
              </w:rPr>
              <w:t>NHS England’s 10 year plan addresses the four key concerns about the NHS:</w:t>
            </w:r>
          </w:p>
          <w:p w14:paraId="26EAD1EF" w14:textId="10B49EC9" w:rsidR="002E7902" w:rsidRPr="00587DF1" w:rsidRDefault="002E7902" w:rsidP="005E0D57">
            <w:pPr>
              <w:pStyle w:val="ListParagraph"/>
              <w:numPr>
                <w:ilvl w:val="0"/>
                <w:numId w:val="9"/>
              </w:numPr>
              <w:spacing w:after="0" w:line="259" w:lineRule="auto"/>
              <w:rPr>
                <w:rFonts w:ascii="Arial" w:hAnsi="Arial" w:cs="Arial"/>
              </w:rPr>
            </w:pPr>
            <w:r w:rsidRPr="00587DF1">
              <w:rPr>
                <w:rFonts w:ascii="Arial" w:hAnsi="Arial" w:cs="Arial"/>
              </w:rPr>
              <w:t>Funding</w:t>
            </w:r>
            <w:r w:rsidR="0025490F">
              <w:rPr>
                <w:rFonts w:ascii="Arial" w:hAnsi="Arial" w:cs="Arial"/>
              </w:rPr>
              <w:t>.</w:t>
            </w:r>
          </w:p>
          <w:p w14:paraId="19848E4D" w14:textId="7C3C3738" w:rsidR="002E7902" w:rsidRPr="00587DF1" w:rsidRDefault="002E7902" w:rsidP="005E0D57">
            <w:pPr>
              <w:pStyle w:val="ListParagraph"/>
              <w:numPr>
                <w:ilvl w:val="0"/>
                <w:numId w:val="9"/>
              </w:numPr>
              <w:spacing w:after="0" w:line="259" w:lineRule="auto"/>
              <w:rPr>
                <w:rFonts w:ascii="Arial" w:hAnsi="Arial" w:cs="Arial"/>
              </w:rPr>
            </w:pPr>
            <w:r w:rsidRPr="00587DF1">
              <w:rPr>
                <w:rFonts w:ascii="Arial" w:hAnsi="Arial" w:cs="Arial"/>
              </w:rPr>
              <w:t>Staffing</w:t>
            </w:r>
            <w:r w:rsidR="0025490F">
              <w:rPr>
                <w:rFonts w:ascii="Arial" w:hAnsi="Arial" w:cs="Arial"/>
              </w:rPr>
              <w:t>.</w:t>
            </w:r>
          </w:p>
          <w:p w14:paraId="0D53D699" w14:textId="2D1F5402" w:rsidR="002E7902" w:rsidRPr="00587DF1" w:rsidRDefault="002E7902" w:rsidP="005E0D57">
            <w:pPr>
              <w:pStyle w:val="ListParagraph"/>
              <w:numPr>
                <w:ilvl w:val="0"/>
                <w:numId w:val="9"/>
              </w:numPr>
              <w:spacing w:after="0" w:line="259" w:lineRule="auto"/>
              <w:rPr>
                <w:rFonts w:ascii="Arial" w:hAnsi="Arial" w:cs="Arial"/>
              </w:rPr>
            </w:pPr>
            <w:r w:rsidRPr="00587DF1">
              <w:rPr>
                <w:rFonts w:ascii="Arial" w:hAnsi="Arial" w:cs="Arial"/>
              </w:rPr>
              <w:t>Increased healthcare inequality between locations of the UK</w:t>
            </w:r>
            <w:r w:rsidR="0025490F">
              <w:rPr>
                <w:rFonts w:ascii="Arial" w:hAnsi="Arial" w:cs="Arial"/>
              </w:rPr>
              <w:t>.</w:t>
            </w:r>
          </w:p>
          <w:p w14:paraId="645C6F04" w14:textId="18E9823F" w:rsidR="002E7902" w:rsidRPr="00587DF1" w:rsidRDefault="002E7902" w:rsidP="005E0D57">
            <w:pPr>
              <w:pStyle w:val="ListParagraph"/>
              <w:numPr>
                <w:ilvl w:val="0"/>
                <w:numId w:val="9"/>
              </w:numPr>
              <w:spacing w:after="0" w:line="259" w:lineRule="auto"/>
              <w:rPr>
                <w:rFonts w:ascii="Arial" w:hAnsi="Arial" w:cs="Arial"/>
                <w:sz w:val="21"/>
                <w:szCs w:val="21"/>
              </w:rPr>
            </w:pPr>
            <w:r w:rsidRPr="00587DF1">
              <w:rPr>
                <w:rFonts w:ascii="Arial" w:hAnsi="Arial" w:cs="Arial"/>
              </w:rPr>
              <w:lastRenderedPageBreak/>
              <w:t xml:space="preserve">Pressures from </w:t>
            </w:r>
            <w:r w:rsidR="00F549D1">
              <w:rPr>
                <w:rFonts w:ascii="Arial" w:hAnsi="Arial" w:cs="Arial"/>
              </w:rPr>
              <w:t xml:space="preserve">a </w:t>
            </w:r>
            <w:r w:rsidRPr="00587DF1">
              <w:rPr>
                <w:rFonts w:ascii="Arial" w:hAnsi="Arial" w:cs="Arial"/>
              </w:rPr>
              <w:t xml:space="preserve">growing </w:t>
            </w:r>
            <w:r w:rsidR="00F549D1">
              <w:rPr>
                <w:rFonts w:ascii="Arial" w:hAnsi="Arial" w:cs="Arial"/>
              </w:rPr>
              <w:t>and</w:t>
            </w:r>
            <w:r w:rsidRPr="00587DF1">
              <w:rPr>
                <w:rFonts w:ascii="Arial" w:hAnsi="Arial" w:cs="Arial"/>
              </w:rPr>
              <w:t xml:space="preserve"> ageing population</w:t>
            </w:r>
            <w:r w:rsidR="0025490F">
              <w:rPr>
                <w:rFonts w:ascii="Arial" w:hAnsi="Arial" w:cs="Arial"/>
              </w:rPr>
              <w:t>.</w:t>
            </w:r>
          </w:p>
          <w:p w14:paraId="491BD893" w14:textId="77777777" w:rsidR="00B8080B" w:rsidRDefault="00B8080B" w:rsidP="00B8080B">
            <w:pPr>
              <w:spacing w:after="0"/>
              <w:rPr>
                <w:rFonts w:ascii="Arial" w:hAnsi="Arial" w:cs="Arial"/>
              </w:rPr>
            </w:pPr>
          </w:p>
          <w:p w14:paraId="4C505D5D" w14:textId="24316779" w:rsidR="00E47761" w:rsidRPr="00587DF1" w:rsidRDefault="002E7902" w:rsidP="00B8080B">
            <w:pPr>
              <w:spacing w:after="0"/>
              <w:rPr>
                <w:rFonts w:ascii="Arial" w:hAnsi="Arial" w:cs="Arial"/>
              </w:rPr>
            </w:pPr>
            <w:r w:rsidRPr="00587DF1">
              <w:rPr>
                <w:rFonts w:ascii="Arial" w:hAnsi="Arial" w:cs="Arial"/>
              </w:rPr>
              <w:t xml:space="preserve">The Long-Term Plan is set out in 7 chapters, each detailing a key theme to address these concerns. The ways in which Oriel will contribute to delivery of these is summarised in Appendix </w:t>
            </w:r>
            <w:r w:rsidR="00CB4422">
              <w:rPr>
                <w:rFonts w:ascii="Arial" w:eastAsia="Arial" w:hAnsi="Arial" w:cs="Arial"/>
              </w:rPr>
              <w:t xml:space="preserve">3A </w:t>
            </w:r>
            <w:r w:rsidRPr="00587DF1">
              <w:rPr>
                <w:rFonts w:ascii="Arial" w:hAnsi="Arial" w:cs="Arial"/>
              </w:rPr>
              <w:t>and detailed throughout this OBC</w:t>
            </w:r>
          </w:p>
        </w:tc>
      </w:tr>
      <w:tr w:rsidR="009E3BE3" w:rsidRPr="00587DF1" w14:paraId="4523619C" w14:textId="77777777" w:rsidTr="00D810B2">
        <w:trPr>
          <w:trHeight w:val="942"/>
        </w:trPr>
        <w:tc>
          <w:tcPr>
            <w:tcW w:w="2235" w:type="dxa"/>
          </w:tcPr>
          <w:p w14:paraId="0F30248B" w14:textId="77777777" w:rsidR="009E3BE3" w:rsidRPr="00587DF1" w:rsidRDefault="009E3BE3" w:rsidP="00B8080B">
            <w:pPr>
              <w:spacing w:after="0"/>
              <w:rPr>
                <w:rFonts w:ascii="Arial" w:eastAsiaTheme="minorHAnsi" w:hAnsi="Arial" w:cs="Arial"/>
                <w:bCs/>
                <w:color w:val="000000"/>
                <w:lang w:eastAsia="en-US"/>
              </w:rPr>
            </w:pPr>
            <w:r w:rsidRPr="00587DF1">
              <w:rPr>
                <w:rFonts w:ascii="Arial" w:eastAsiaTheme="minorHAnsi" w:hAnsi="Arial" w:cs="Arial"/>
                <w:bCs/>
                <w:color w:val="000000"/>
                <w:lang w:eastAsia="en-US"/>
              </w:rPr>
              <w:lastRenderedPageBreak/>
              <w:t>Naylor Review (2017)</w:t>
            </w:r>
          </w:p>
        </w:tc>
        <w:tc>
          <w:tcPr>
            <w:tcW w:w="7938" w:type="dxa"/>
          </w:tcPr>
          <w:p w14:paraId="44F6A4F7" w14:textId="67F97370" w:rsidR="009E3BE3" w:rsidRPr="00587DF1" w:rsidRDefault="009E3BE3" w:rsidP="00B8080B">
            <w:pPr>
              <w:spacing w:after="0"/>
              <w:rPr>
                <w:rFonts w:ascii="Arial" w:hAnsi="Arial" w:cs="Arial"/>
              </w:rPr>
            </w:pPr>
            <w:r w:rsidRPr="00587DF1">
              <w:rPr>
                <w:rFonts w:ascii="Arial" w:hAnsi="Arial" w:cs="Arial"/>
              </w:rPr>
              <w:t xml:space="preserve">The Naylor </w:t>
            </w:r>
            <w:r w:rsidR="00F549D1">
              <w:rPr>
                <w:rFonts w:ascii="Arial" w:hAnsi="Arial" w:cs="Arial"/>
              </w:rPr>
              <w:t>review</w:t>
            </w:r>
            <w:r w:rsidRPr="00587DF1">
              <w:rPr>
                <w:rFonts w:ascii="Arial" w:hAnsi="Arial" w:cs="Arial"/>
              </w:rPr>
              <w:t xml:space="preserve"> identifies the need to release value from built assets when these become surplus to requirements, particularly in high value areas such as London, for re-investment in clinical facilities.</w:t>
            </w:r>
            <w:r w:rsidR="007C7CA8" w:rsidRPr="00587DF1">
              <w:rPr>
                <w:rFonts w:ascii="Arial" w:hAnsi="Arial" w:cs="Arial"/>
              </w:rPr>
              <w:t xml:space="preserve"> </w:t>
            </w:r>
            <w:r w:rsidRPr="00587DF1">
              <w:rPr>
                <w:rFonts w:ascii="Arial" w:hAnsi="Arial" w:cs="Arial"/>
              </w:rPr>
              <w:t xml:space="preserve">Oriel aligns with this strategy through disposal of its high value City Road site to release receipts to re-invest in a high quality new facility. Sir Robert Naylor has identified Oriel as a priority for London, and chairs a joint meeting to oversee the programme of works with </w:t>
            </w:r>
            <w:r w:rsidR="00F549D1">
              <w:rPr>
                <w:rFonts w:ascii="Arial" w:hAnsi="Arial" w:cs="Arial"/>
              </w:rPr>
              <w:t>C&amp;I and the Whittington</w:t>
            </w:r>
            <w:r w:rsidRPr="00587DF1">
              <w:rPr>
                <w:rFonts w:ascii="Arial" w:hAnsi="Arial" w:cs="Arial"/>
              </w:rPr>
              <w:t>.</w:t>
            </w:r>
          </w:p>
        </w:tc>
      </w:tr>
      <w:tr w:rsidR="00E47761" w:rsidRPr="00587DF1" w14:paraId="23E87812" w14:textId="77777777" w:rsidTr="00D810B2">
        <w:trPr>
          <w:trHeight w:val="942"/>
        </w:trPr>
        <w:tc>
          <w:tcPr>
            <w:tcW w:w="2235" w:type="dxa"/>
          </w:tcPr>
          <w:p w14:paraId="79647B41" w14:textId="77777777" w:rsidR="00E47761" w:rsidRPr="00587DF1" w:rsidRDefault="00E47761" w:rsidP="00B8080B">
            <w:pPr>
              <w:spacing w:after="0"/>
              <w:rPr>
                <w:rFonts w:ascii="Arial" w:eastAsiaTheme="minorHAnsi" w:hAnsi="Arial" w:cs="Arial"/>
                <w:bCs/>
                <w:color w:val="000000"/>
                <w:lang w:eastAsia="en-US"/>
              </w:rPr>
            </w:pPr>
            <w:r w:rsidRPr="00587DF1">
              <w:rPr>
                <w:rFonts w:ascii="Arial" w:eastAsiaTheme="minorHAnsi" w:hAnsi="Arial" w:cs="Arial"/>
                <w:bCs/>
                <w:color w:val="000000"/>
                <w:lang w:eastAsia="en-US"/>
              </w:rPr>
              <w:t xml:space="preserve">The Secretary of State’s 4 Tests </w:t>
            </w:r>
            <w:r w:rsidR="007F01A5">
              <w:rPr>
                <w:rFonts w:ascii="Arial" w:eastAsiaTheme="minorHAnsi" w:hAnsi="Arial" w:cs="Arial"/>
                <w:bCs/>
                <w:color w:val="000000"/>
                <w:lang w:eastAsia="en-US"/>
              </w:rPr>
              <w:t xml:space="preserve">of service reconfiguration </w:t>
            </w:r>
            <w:r w:rsidR="009E3BE3" w:rsidRPr="00587DF1">
              <w:rPr>
                <w:rFonts w:ascii="Arial" w:eastAsiaTheme="minorHAnsi" w:hAnsi="Arial" w:cs="Arial"/>
                <w:bCs/>
                <w:color w:val="000000"/>
                <w:lang w:eastAsia="en-US"/>
              </w:rPr>
              <w:t>(</w:t>
            </w:r>
            <w:r w:rsidRPr="00587DF1">
              <w:rPr>
                <w:rFonts w:ascii="Arial" w:hAnsi="Arial" w:cs="Arial"/>
              </w:rPr>
              <w:t>December</w:t>
            </w:r>
            <w:r w:rsidRPr="00587DF1">
              <w:rPr>
                <w:rFonts w:ascii="Arial" w:eastAsiaTheme="minorHAnsi" w:hAnsi="Arial" w:cs="Arial"/>
                <w:bCs/>
                <w:color w:val="000000"/>
                <w:lang w:eastAsia="en-US"/>
              </w:rPr>
              <w:t xml:space="preserve"> 2013</w:t>
            </w:r>
            <w:r w:rsidR="009E3BE3" w:rsidRPr="00587DF1">
              <w:rPr>
                <w:rFonts w:ascii="Arial" w:eastAsiaTheme="minorHAnsi" w:hAnsi="Arial" w:cs="Arial"/>
                <w:bCs/>
                <w:color w:val="000000"/>
                <w:lang w:eastAsia="en-US"/>
              </w:rPr>
              <w:t>)</w:t>
            </w:r>
          </w:p>
        </w:tc>
        <w:tc>
          <w:tcPr>
            <w:tcW w:w="7938" w:type="dxa"/>
          </w:tcPr>
          <w:p w14:paraId="1ED967CC" w14:textId="7D31A3FF" w:rsidR="007C7CA8" w:rsidRPr="00587DF1" w:rsidRDefault="007C7CA8" w:rsidP="00B8080B">
            <w:pPr>
              <w:autoSpaceDE w:val="0"/>
              <w:autoSpaceDN w:val="0"/>
              <w:adjustRightInd w:val="0"/>
              <w:spacing w:after="0" w:line="240" w:lineRule="auto"/>
              <w:rPr>
                <w:rFonts w:ascii="Arial" w:hAnsi="Arial" w:cs="Arial"/>
              </w:rPr>
            </w:pPr>
            <w:r w:rsidRPr="00587DF1">
              <w:rPr>
                <w:rFonts w:ascii="Arial" w:hAnsi="Arial" w:cs="Arial"/>
              </w:rPr>
              <w:t xml:space="preserve">This guidance states that </w:t>
            </w:r>
            <w:r w:rsidR="00E47761" w:rsidRPr="00587DF1">
              <w:rPr>
                <w:rFonts w:ascii="Arial" w:hAnsi="Arial" w:cs="Arial"/>
              </w:rPr>
              <w:t>that proposed service changes should be able to demonstrate evidence to meet four tests</w:t>
            </w:r>
            <w:r w:rsidR="0025490F">
              <w:rPr>
                <w:rFonts w:ascii="Arial" w:hAnsi="Arial" w:cs="Arial"/>
              </w:rPr>
              <w:t>:</w:t>
            </w:r>
          </w:p>
          <w:p w14:paraId="156FC844" w14:textId="033187DC" w:rsidR="007C7CA8" w:rsidRPr="00587DF1" w:rsidRDefault="007C7CA8" w:rsidP="005E0D57">
            <w:pPr>
              <w:pStyle w:val="ListParagraph"/>
              <w:numPr>
                <w:ilvl w:val="0"/>
                <w:numId w:val="54"/>
              </w:numPr>
              <w:autoSpaceDE w:val="0"/>
              <w:autoSpaceDN w:val="0"/>
              <w:adjustRightInd w:val="0"/>
              <w:spacing w:after="0" w:line="240" w:lineRule="auto"/>
              <w:rPr>
                <w:rFonts w:ascii="Arial" w:eastAsiaTheme="minorHAnsi" w:hAnsi="Arial" w:cs="Arial"/>
                <w:lang w:eastAsia="en-US"/>
              </w:rPr>
            </w:pPr>
            <w:r w:rsidRPr="00587DF1">
              <w:rPr>
                <w:rFonts w:ascii="Arial" w:eastAsiaTheme="minorHAnsi" w:hAnsi="Arial" w:cs="Arial"/>
                <w:lang w:eastAsia="en-US"/>
              </w:rPr>
              <w:t>Strong public and patient engagement</w:t>
            </w:r>
            <w:r w:rsidR="0025490F">
              <w:rPr>
                <w:rFonts w:ascii="Arial" w:eastAsiaTheme="minorHAnsi" w:hAnsi="Arial" w:cs="Arial"/>
                <w:lang w:eastAsia="en-US"/>
              </w:rPr>
              <w:t>.</w:t>
            </w:r>
          </w:p>
          <w:p w14:paraId="7C62934B" w14:textId="23D6D18B" w:rsidR="007C7CA8" w:rsidRPr="00587DF1" w:rsidRDefault="007C7CA8" w:rsidP="005E0D57">
            <w:pPr>
              <w:pStyle w:val="ListParagraph"/>
              <w:numPr>
                <w:ilvl w:val="0"/>
                <w:numId w:val="54"/>
              </w:numPr>
              <w:autoSpaceDE w:val="0"/>
              <w:autoSpaceDN w:val="0"/>
              <w:adjustRightInd w:val="0"/>
              <w:spacing w:after="0" w:line="240" w:lineRule="auto"/>
              <w:rPr>
                <w:rFonts w:ascii="Arial" w:eastAsiaTheme="minorHAnsi" w:hAnsi="Arial" w:cs="Arial"/>
                <w:lang w:eastAsia="en-US"/>
              </w:rPr>
            </w:pPr>
            <w:r w:rsidRPr="00587DF1">
              <w:rPr>
                <w:rFonts w:ascii="Arial" w:eastAsiaTheme="minorHAnsi" w:hAnsi="Arial" w:cs="Arial"/>
                <w:lang w:eastAsia="en-US"/>
              </w:rPr>
              <w:t>Consistency with current and prospective need for patient choice</w:t>
            </w:r>
            <w:r w:rsidR="0025490F">
              <w:rPr>
                <w:rFonts w:ascii="Arial" w:eastAsiaTheme="minorHAnsi" w:hAnsi="Arial" w:cs="Arial"/>
                <w:lang w:eastAsia="en-US"/>
              </w:rPr>
              <w:t>.</w:t>
            </w:r>
          </w:p>
          <w:p w14:paraId="6CB9A618" w14:textId="5DE11690" w:rsidR="007C7CA8" w:rsidRPr="00587DF1" w:rsidRDefault="007C7CA8" w:rsidP="005E0D57">
            <w:pPr>
              <w:pStyle w:val="ListParagraph"/>
              <w:numPr>
                <w:ilvl w:val="0"/>
                <w:numId w:val="54"/>
              </w:numPr>
              <w:autoSpaceDE w:val="0"/>
              <w:autoSpaceDN w:val="0"/>
              <w:adjustRightInd w:val="0"/>
              <w:spacing w:after="0" w:line="240" w:lineRule="auto"/>
              <w:rPr>
                <w:rFonts w:ascii="Arial" w:eastAsiaTheme="minorHAnsi" w:hAnsi="Arial" w:cs="Arial"/>
                <w:lang w:eastAsia="en-US"/>
              </w:rPr>
            </w:pPr>
            <w:r w:rsidRPr="00587DF1">
              <w:rPr>
                <w:rFonts w:ascii="Arial" w:eastAsiaTheme="minorHAnsi" w:hAnsi="Arial" w:cs="Arial"/>
                <w:lang w:eastAsia="en-US"/>
              </w:rPr>
              <w:t>A clear clinical evidence base</w:t>
            </w:r>
            <w:r w:rsidR="0025490F">
              <w:rPr>
                <w:rFonts w:ascii="Arial" w:eastAsiaTheme="minorHAnsi" w:hAnsi="Arial" w:cs="Arial"/>
                <w:lang w:eastAsia="en-US"/>
              </w:rPr>
              <w:t>.</w:t>
            </w:r>
          </w:p>
          <w:p w14:paraId="2925DEAE" w14:textId="0B1C75D5" w:rsidR="007C7CA8" w:rsidRPr="00587DF1" w:rsidRDefault="007C7CA8" w:rsidP="005E0D57">
            <w:pPr>
              <w:pStyle w:val="ListParagraph"/>
              <w:numPr>
                <w:ilvl w:val="0"/>
                <w:numId w:val="54"/>
              </w:numPr>
              <w:autoSpaceDE w:val="0"/>
              <w:autoSpaceDN w:val="0"/>
              <w:adjustRightInd w:val="0"/>
              <w:spacing w:after="0" w:line="240" w:lineRule="auto"/>
              <w:rPr>
                <w:rFonts w:ascii="Arial" w:eastAsiaTheme="minorHAnsi" w:hAnsi="Arial" w:cs="Arial"/>
                <w:lang w:eastAsia="en-US"/>
              </w:rPr>
            </w:pPr>
            <w:r w:rsidRPr="00587DF1">
              <w:rPr>
                <w:rFonts w:ascii="Arial" w:eastAsiaTheme="minorHAnsi" w:hAnsi="Arial" w:cs="Arial"/>
                <w:lang w:eastAsia="en-US"/>
              </w:rPr>
              <w:t>Support for proposals from clinical commissioners</w:t>
            </w:r>
            <w:r w:rsidR="0025490F">
              <w:rPr>
                <w:rFonts w:ascii="Arial" w:eastAsiaTheme="minorHAnsi" w:hAnsi="Arial" w:cs="Arial"/>
                <w:lang w:eastAsia="en-US"/>
              </w:rPr>
              <w:t>.</w:t>
            </w:r>
          </w:p>
          <w:p w14:paraId="42B544E8" w14:textId="165B654D" w:rsidR="004040D3" w:rsidRDefault="004040D3" w:rsidP="00B8080B">
            <w:pPr>
              <w:spacing w:after="0"/>
              <w:rPr>
                <w:rFonts w:ascii="Arial" w:hAnsi="Arial" w:cs="Arial"/>
              </w:rPr>
            </w:pPr>
            <w:r>
              <w:rPr>
                <w:rFonts w:ascii="Arial" w:hAnsi="Arial" w:cs="Arial"/>
              </w:rPr>
              <w:t>NHS England have introduced a fifth test concerning bed closures, which does not apply to Oriel which will have very few inpatient beds.</w:t>
            </w:r>
          </w:p>
          <w:p w14:paraId="4B49F45E" w14:textId="77777777" w:rsidR="00CB4422" w:rsidRDefault="00CB4422" w:rsidP="00B8080B">
            <w:pPr>
              <w:spacing w:after="0"/>
              <w:rPr>
                <w:rFonts w:ascii="Arial" w:hAnsi="Arial" w:cs="Arial"/>
              </w:rPr>
            </w:pPr>
          </w:p>
          <w:p w14:paraId="2CDC8BB5" w14:textId="36735988" w:rsidR="00E47761" w:rsidRPr="00587DF1" w:rsidRDefault="003D00F0" w:rsidP="00B8080B">
            <w:pPr>
              <w:spacing w:after="0"/>
              <w:rPr>
                <w:rFonts w:ascii="Arial" w:hAnsi="Arial" w:cs="Arial"/>
              </w:rPr>
            </w:pPr>
            <w:r w:rsidRPr="00587DF1">
              <w:rPr>
                <w:rFonts w:ascii="Arial" w:hAnsi="Arial" w:cs="Arial"/>
              </w:rPr>
              <w:t xml:space="preserve">The ways in which Oriel aligns with these is described in Appendix </w:t>
            </w:r>
            <w:r w:rsidR="00CB4422">
              <w:rPr>
                <w:rFonts w:ascii="Arial" w:eastAsia="Arial" w:hAnsi="Arial" w:cs="Arial"/>
              </w:rPr>
              <w:t>3A</w:t>
            </w:r>
            <w:r w:rsidRPr="00587DF1">
              <w:rPr>
                <w:rFonts w:ascii="Arial" w:hAnsi="Arial" w:cs="Arial"/>
              </w:rPr>
              <w:t>, and through the commissioners’ DMBC.</w:t>
            </w:r>
          </w:p>
        </w:tc>
      </w:tr>
      <w:tr w:rsidR="009E3BE3" w:rsidRPr="00587DF1" w14:paraId="1FCB3F6A" w14:textId="77777777" w:rsidTr="00D810B2">
        <w:trPr>
          <w:trHeight w:val="547"/>
        </w:trPr>
        <w:tc>
          <w:tcPr>
            <w:tcW w:w="2235" w:type="dxa"/>
          </w:tcPr>
          <w:p w14:paraId="285311CC" w14:textId="77777777" w:rsidR="009E3BE3" w:rsidRPr="00587DF1" w:rsidRDefault="009E3BE3" w:rsidP="00B8080B">
            <w:pPr>
              <w:pStyle w:val="Default"/>
              <w:rPr>
                <w:rFonts w:ascii="Arial" w:hAnsi="Arial" w:cs="Arial"/>
                <w:sz w:val="22"/>
                <w:szCs w:val="22"/>
              </w:rPr>
            </w:pPr>
            <w:r w:rsidRPr="00587DF1">
              <w:rPr>
                <w:rFonts w:ascii="Arial" w:hAnsi="Arial" w:cs="Arial"/>
                <w:bCs/>
                <w:sz w:val="22"/>
                <w:szCs w:val="22"/>
              </w:rPr>
              <w:t>UK Vision Strategy 2013-2018 (Vision 2020)</w:t>
            </w:r>
          </w:p>
        </w:tc>
        <w:tc>
          <w:tcPr>
            <w:tcW w:w="7938" w:type="dxa"/>
          </w:tcPr>
          <w:p w14:paraId="15DE8EFC" w14:textId="77777777" w:rsidR="009E3BE3" w:rsidRPr="00587DF1" w:rsidRDefault="009E3BE3" w:rsidP="00B8080B">
            <w:pPr>
              <w:spacing w:after="0"/>
              <w:rPr>
                <w:rFonts w:ascii="Arial" w:hAnsi="Arial" w:cs="Arial"/>
              </w:rPr>
            </w:pPr>
            <w:r w:rsidRPr="00587DF1">
              <w:rPr>
                <w:rFonts w:ascii="Arial" w:hAnsi="Arial" w:cs="Arial"/>
              </w:rPr>
              <w:t xml:space="preserve">The 3 key aims of the strategy are for: </w:t>
            </w:r>
          </w:p>
          <w:p w14:paraId="16202527" w14:textId="1B2FBCB9" w:rsidR="009E3BE3" w:rsidRPr="00587DF1" w:rsidRDefault="009E3BE3" w:rsidP="005E0D57">
            <w:pPr>
              <w:pStyle w:val="Default"/>
              <w:numPr>
                <w:ilvl w:val="0"/>
                <w:numId w:val="10"/>
              </w:numPr>
              <w:rPr>
                <w:rFonts w:ascii="Arial" w:hAnsi="Arial" w:cs="Arial"/>
                <w:sz w:val="22"/>
                <w:szCs w:val="22"/>
              </w:rPr>
            </w:pPr>
            <w:r w:rsidRPr="00587DF1">
              <w:rPr>
                <w:rFonts w:ascii="Arial" w:hAnsi="Arial" w:cs="Arial"/>
                <w:sz w:val="22"/>
                <w:szCs w:val="22"/>
              </w:rPr>
              <w:t>Everyone in the UK to look after their eyes and their sight</w:t>
            </w:r>
            <w:r w:rsidR="00F549D1">
              <w:rPr>
                <w:rFonts w:ascii="Arial" w:hAnsi="Arial" w:cs="Arial"/>
                <w:sz w:val="22"/>
                <w:szCs w:val="22"/>
              </w:rPr>
              <w:t>.</w:t>
            </w:r>
          </w:p>
          <w:p w14:paraId="6A3E0735" w14:textId="54FC4E09" w:rsidR="009E3BE3" w:rsidRPr="00587DF1" w:rsidRDefault="009E3BE3" w:rsidP="005E0D57">
            <w:pPr>
              <w:pStyle w:val="Default"/>
              <w:numPr>
                <w:ilvl w:val="0"/>
                <w:numId w:val="10"/>
              </w:numPr>
              <w:rPr>
                <w:rFonts w:ascii="Arial" w:hAnsi="Arial" w:cs="Arial"/>
                <w:sz w:val="22"/>
                <w:szCs w:val="22"/>
              </w:rPr>
            </w:pPr>
            <w:r w:rsidRPr="00587DF1">
              <w:rPr>
                <w:rFonts w:ascii="Arial" w:hAnsi="Arial" w:cs="Arial"/>
                <w:sz w:val="22"/>
                <w:szCs w:val="22"/>
              </w:rPr>
              <w:t>Everyone with an eye condition to receive timely treatment and, if permanent sight loss occurs, for early and appropriate support to be available and accessible to all</w:t>
            </w:r>
            <w:r w:rsidR="00F549D1">
              <w:rPr>
                <w:rFonts w:ascii="Arial" w:hAnsi="Arial" w:cs="Arial"/>
                <w:sz w:val="22"/>
                <w:szCs w:val="22"/>
              </w:rPr>
              <w:t>.</w:t>
            </w:r>
          </w:p>
          <w:p w14:paraId="78E90E01" w14:textId="1ED02D82" w:rsidR="009E3BE3" w:rsidRPr="004040D3" w:rsidRDefault="009E3BE3" w:rsidP="005E0D57">
            <w:pPr>
              <w:pStyle w:val="Default"/>
              <w:numPr>
                <w:ilvl w:val="0"/>
                <w:numId w:val="10"/>
              </w:numPr>
              <w:rPr>
                <w:rFonts w:ascii="Arial" w:hAnsi="Arial" w:cs="Arial"/>
                <w:sz w:val="22"/>
                <w:szCs w:val="22"/>
              </w:rPr>
            </w:pPr>
            <w:r w:rsidRPr="00587DF1">
              <w:rPr>
                <w:rFonts w:ascii="Arial" w:hAnsi="Arial" w:cs="Arial"/>
                <w:sz w:val="22"/>
                <w:szCs w:val="22"/>
              </w:rPr>
              <w:t>A society in which people with sight loss can fully participate.</w:t>
            </w:r>
          </w:p>
        </w:tc>
      </w:tr>
      <w:tr w:rsidR="00E47761" w:rsidRPr="00587DF1" w14:paraId="5F940407" w14:textId="77777777" w:rsidTr="004D6D07">
        <w:trPr>
          <w:trHeight w:val="1724"/>
        </w:trPr>
        <w:tc>
          <w:tcPr>
            <w:tcW w:w="2235" w:type="dxa"/>
          </w:tcPr>
          <w:p w14:paraId="534C9382" w14:textId="77777777" w:rsidR="00E47761" w:rsidRPr="00587DF1" w:rsidRDefault="004D6D07" w:rsidP="00B8080B">
            <w:pPr>
              <w:spacing w:after="0"/>
              <w:rPr>
                <w:rFonts w:ascii="Arial" w:hAnsi="Arial" w:cs="Arial"/>
              </w:rPr>
            </w:pPr>
            <w:bookmarkStart w:id="33" w:name="_Hlk27131603"/>
            <w:bookmarkStart w:id="34" w:name="_Hlk30168241"/>
            <w:r w:rsidRPr="00587DF1">
              <w:rPr>
                <w:rFonts w:ascii="Arial" w:hAnsi="Arial" w:cs="Arial"/>
              </w:rPr>
              <w:t>International Research and Innovation Strategy</w:t>
            </w:r>
            <w:r w:rsidR="00E47761" w:rsidRPr="00587DF1">
              <w:rPr>
                <w:rFonts w:ascii="Arial" w:hAnsi="Arial" w:cs="Arial"/>
              </w:rPr>
              <w:t xml:space="preserve"> </w:t>
            </w:r>
            <w:bookmarkEnd w:id="33"/>
            <w:r w:rsidR="00E47761" w:rsidRPr="00587DF1">
              <w:rPr>
                <w:rFonts w:ascii="Arial" w:hAnsi="Arial" w:cs="Arial"/>
              </w:rPr>
              <w:t>(</w:t>
            </w:r>
            <w:r w:rsidRPr="00587DF1">
              <w:rPr>
                <w:rFonts w:ascii="Arial" w:hAnsi="Arial" w:cs="Arial"/>
              </w:rPr>
              <w:t>2019</w:t>
            </w:r>
            <w:r w:rsidR="00E47761" w:rsidRPr="00587DF1">
              <w:rPr>
                <w:rFonts w:ascii="Arial" w:hAnsi="Arial" w:cs="Arial"/>
              </w:rPr>
              <w:t xml:space="preserve">) </w:t>
            </w:r>
          </w:p>
        </w:tc>
        <w:tc>
          <w:tcPr>
            <w:tcW w:w="7938" w:type="dxa"/>
          </w:tcPr>
          <w:p w14:paraId="3BC3BF70" w14:textId="6E4A9758" w:rsidR="00E47761" w:rsidRPr="00587DF1" w:rsidRDefault="00A63382" w:rsidP="00B8080B">
            <w:pPr>
              <w:spacing w:after="0"/>
              <w:rPr>
                <w:rFonts w:ascii="Arial" w:hAnsi="Arial" w:cs="Arial"/>
              </w:rPr>
            </w:pPr>
            <w:r w:rsidRPr="00587DF1">
              <w:rPr>
                <w:rFonts w:ascii="Arial" w:hAnsi="Arial" w:cs="Arial"/>
              </w:rPr>
              <w:t xml:space="preserve">This national strategy </w:t>
            </w:r>
            <w:bookmarkStart w:id="35" w:name="_Hlk27131634"/>
            <w:r w:rsidRPr="00587DF1">
              <w:rPr>
                <w:rFonts w:ascii="Arial" w:hAnsi="Arial" w:cs="Arial"/>
              </w:rPr>
              <w:t>aims to ensure that the UK</w:t>
            </w:r>
            <w:r w:rsidR="004D6D07" w:rsidRPr="00587DF1">
              <w:rPr>
                <w:rFonts w:ascii="Arial" w:hAnsi="Arial" w:cs="Arial"/>
              </w:rPr>
              <w:t xml:space="preserve"> remains a global leader in science</w:t>
            </w:r>
            <w:bookmarkEnd w:id="35"/>
            <w:r w:rsidR="004D6D07" w:rsidRPr="00587DF1">
              <w:rPr>
                <w:rFonts w:ascii="Arial" w:hAnsi="Arial" w:cs="Arial"/>
              </w:rPr>
              <w:t xml:space="preserve">, through attracting the top talent and providing a global hub for innovation. This will help realise the </w:t>
            </w:r>
            <w:r w:rsidRPr="00587DF1">
              <w:rPr>
                <w:rFonts w:ascii="Arial" w:hAnsi="Arial" w:cs="Arial"/>
              </w:rPr>
              <w:t>potential of life sciences</w:t>
            </w:r>
            <w:r w:rsidR="004D6D07" w:rsidRPr="00587DF1">
              <w:rPr>
                <w:rFonts w:ascii="Arial" w:hAnsi="Arial" w:cs="Arial"/>
              </w:rPr>
              <w:t xml:space="preserve"> to deliver global benefits and </w:t>
            </w:r>
            <w:r w:rsidRPr="00587DF1">
              <w:rPr>
                <w:rFonts w:ascii="Arial" w:hAnsi="Arial" w:cs="Arial"/>
              </w:rPr>
              <w:t>contribute to</w:t>
            </w:r>
            <w:r w:rsidR="004D6D07" w:rsidRPr="00587DF1">
              <w:rPr>
                <w:rFonts w:ascii="Arial" w:hAnsi="Arial" w:cs="Arial"/>
              </w:rPr>
              <w:t xml:space="preserve"> the </w:t>
            </w:r>
            <w:r w:rsidRPr="00587DF1">
              <w:rPr>
                <w:rFonts w:ascii="Arial" w:hAnsi="Arial" w:cs="Arial"/>
              </w:rPr>
              <w:t xml:space="preserve">UK </w:t>
            </w:r>
            <w:r w:rsidR="004D6D07" w:rsidRPr="00587DF1">
              <w:rPr>
                <w:rFonts w:ascii="Arial" w:hAnsi="Arial" w:cs="Arial"/>
              </w:rPr>
              <w:t>economy</w:t>
            </w:r>
            <w:r w:rsidRPr="00587DF1">
              <w:rPr>
                <w:rFonts w:ascii="Arial" w:hAnsi="Arial" w:cs="Arial"/>
              </w:rPr>
              <w:t xml:space="preserve">. </w:t>
            </w:r>
            <w:r w:rsidR="004D6D07" w:rsidRPr="00587DF1">
              <w:rPr>
                <w:rFonts w:ascii="Arial" w:hAnsi="Arial" w:cs="Arial"/>
              </w:rPr>
              <w:t>This strategy identifies collaboration as key to achieving excellence in the fields of science and technology.</w:t>
            </w:r>
          </w:p>
        </w:tc>
      </w:tr>
      <w:tr w:rsidR="004D6D07" w:rsidRPr="00587DF1" w14:paraId="74D54968" w14:textId="77777777" w:rsidTr="004040D3">
        <w:trPr>
          <w:trHeight w:val="1266"/>
        </w:trPr>
        <w:tc>
          <w:tcPr>
            <w:tcW w:w="2235" w:type="dxa"/>
          </w:tcPr>
          <w:p w14:paraId="4C6B604D" w14:textId="77777777" w:rsidR="004D6D07" w:rsidRPr="00587DF1" w:rsidRDefault="004D6D07" w:rsidP="00B8080B">
            <w:pPr>
              <w:spacing w:after="0"/>
              <w:rPr>
                <w:rFonts w:ascii="Arial" w:hAnsi="Arial" w:cs="Arial"/>
              </w:rPr>
            </w:pPr>
            <w:bookmarkStart w:id="36" w:name="_Hlk27131608"/>
            <w:bookmarkStart w:id="37" w:name="_Hlk30168267"/>
            <w:bookmarkEnd w:id="34"/>
            <w:r w:rsidRPr="00587DF1">
              <w:rPr>
                <w:rFonts w:ascii="Arial" w:hAnsi="Arial" w:cs="Arial"/>
              </w:rPr>
              <w:t xml:space="preserve">Life Sciences Industrial Strategy </w:t>
            </w:r>
            <w:bookmarkEnd w:id="36"/>
            <w:r w:rsidRPr="00587DF1">
              <w:rPr>
                <w:rFonts w:ascii="Arial" w:hAnsi="Arial" w:cs="Arial"/>
              </w:rPr>
              <w:t>(2017)</w:t>
            </w:r>
          </w:p>
        </w:tc>
        <w:tc>
          <w:tcPr>
            <w:tcW w:w="7938" w:type="dxa"/>
          </w:tcPr>
          <w:p w14:paraId="4E5A490E" w14:textId="77777777" w:rsidR="004D6D07" w:rsidRPr="00587DF1" w:rsidRDefault="004D6D07" w:rsidP="00B8080B">
            <w:pPr>
              <w:spacing w:after="0"/>
              <w:rPr>
                <w:rFonts w:ascii="Arial" w:hAnsi="Arial" w:cs="Arial"/>
              </w:rPr>
            </w:pPr>
            <w:r w:rsidRPr="00587DF1">
              <w:rPr>
                <w:rFonts w:ascii="Arial" w:hAnsi="Arial" w:cs="Arial"/>
              </w:rPr>
              <w:t>This document sets out proposals for how the UK can continue to capitalise on its strengths in the life sciences sector, both to encourage economic growth and to improve health outcomes for patients.</w:t>
            </w:r>
          </w:p>
          <w:p w14:paraId="78B18B2E" w14:textId="77777777" w:rsidR="004D6D07" w:rsidRPr="00587DF1" w:rsidRDefault="004D6D07" w:rsidP="00B8080B">
            <w:pPr>
              <w:spacing w:after="0"/>
              <w:rPr>
                <w:rFonts w:ascii="Arial" w:hAnsi="Arial" w:cs="Arial"/>
              </w:rPr>
            </w:pPr>
            <w:r w:rsidRPr="00587DF1">
              <w:rPr>
                <w:rFonts w:ascii="Arial" w:hAnsi="Arial" w:cs="Arial"/>
              </w:rPr>
              <w:t>Its aspirations are to build upon the UK’s strong science base to further develop the industry into a globally-unique and internationally competitive life sciences ecosystem, supported by collaboration across industry, government, the NHS, academia, and research funders to deliver health and wealth. The strategy’s five key themes are:</w:t>
            </w:r>
          </w:p>
          <w:p w14:paraId="4E354F88" w14:textId="77777777" w:rsidR="004D6D07" w:rsidRPr="00587DF1" w:rsidRDefault="004D6D07" w:rsidP="005E0D57">
            <w:pPr>
              <w:pStyle w:val="Default"/>
              <w:numPr>
                <w:ilvl w:val="0"/>
                <w:numId w:val="10"/>
              </w:numPr>
              <w:rPr>
                <w:rFonts w:ascii="Arial" w:hAnsi="Arial" w:cs="Arial"/>
                <w:sz w:val="22"/>
                <w:szCs w:val="22"/>
              </w:rPr>
            </w:pPr>
            <w:r w:rsidRPr="00587DF1">
              <w:rPr>
                <w:rFonts w:ascii="Arial" w:hAnsi="Arial" w:cs="Arial"/>
                <w:sz w:val="22"/>
                <w:szCs w:val="22"/>
              </w:rPr>
              <w:t>Science: Maintaining strength and international competitiveness.</w:t>
            </w:r>
          </w:p>
          <w:p w14:paraId="6E38FCEE" w14:textId="77777777" w:rsidR="004D6D07" w:rsidRPr="00587DF1" w:rsidRDefault="004D6D07" w:rsidP="005E0D57">
            <w:pPr>
              <w:pStyle w:val="Default"/>
              <w:numPr>
                <w:ilvl w:val="0"/>
                <w:numId w:val="10"/>
              </w:numPr>
              <w:rPr>
                <w:rFonts w:ascii="Arial" w:hAnsi="Arial" w:cs="Arial"/>
                <w:sz w:val="22"/>
                <w:szCs w:val="22"/>
              </w:rPr>
            </w:pPr>
            <w:r w:rsidRPr="00587DF1">
              <w:rPr>
                <w:rFonts w:ascii="Arial" w:hAnsi="Arial" w:cs="Arial"/>
                <w:sz w:val="22"/>
                <w:szCs w:val="22"/>
              </w:rPr>
              <w:t>Growth: Encourages companies to start and grow.</w:t>
            </w:r>
          </w:p>
          <w:p w14:paraId="1B4C1F37" w14:textId="77777777" w:rsidR="004D6D07" w:rsidRPr="00587DF1" w:rsidRDefault="004D6D07" w:rsidP="005E0D57">
            <w:pPr>
              <w:pStyle w:val="Default"/>
              <w:numPr>
                <w:ilvl w:val="0"/>
                <w:numId w:val="10"/>
              </w:numPr>
              <w:rPr>
                <w:rFonts w:ascii="Arial" w:hAnsi="Arial" w:cs="Arial"/>
                <w:sz w:val="22"/>
                <w:szCs w:val="22"/>
              </w:rPr>
            </w:pPr>
            <w:r w:rsidRPr="00587DF1">
              <w:rPr>
                <w:rFonts w:ascii="Arial" w:hAnsi="Arial" w:cs="Arial"/>
                <w:sz w:val="22"/>
                <w:szCs w:val="22"/>
              </w:rPr>
              <w:lastRenderedPageBreak/>
              <w:t>NHS: Collaboration between the NHS and industry, facilitating better care for patients through better adoption of innovative treatments and technologies.</w:t>
            </w:r>
          </w:p>
          <w:p w14:paraId="5256320F" w14:textId="77777777" w:rsidR="004D6D07" w:rsidRPr="00587DF1" w:rsidRDefault="004D6D07" w:rsidP="005E0D57">
            <w:pPr>
              <w:pStyle w:val="Default"/>
              <w:numPr>
                <w:ilvl w:val="0"/>
                <w:numId w:val="10"/>
              </w:numPr>
              <w:rPr>
                <w:rFonts w:ascii="Arial" w:hAnsi="Arial" w:cs="Arial"/>
                <w:sz w:val="22"/>
                <w:szCs w:val="22"/>
              </w:rPr>
            </w:pPr>
            <w:r w:rsidRPr="00587DF1">
              <w:rPr>
                <w:rFonts w:ascii="Arial" w:hAnsi="Arial" w:cs="Arial"/>
                <w:sz w:val="22"/>
                <w:szCs w:val="22"/>
              </w:rPr>
              <w:t>Data: Using data and technology to support research and patient care.</w:t>
            </w:r>
          </w:p>
          <w:p w14:paraId="4FCB4250" w14:textId="77777777" w:rsidR="004D6D07" w:rsidRPr="00587DF1" w:rsidRDefault="004D6D07" w:rsidP="005E0D57">
            <w:pPr>
              <w:pStyle w:val="Default"/>
              <w:numPr>
                <w:ilvl w:val="0"/>
                <w:numId w:val="10"/>
              </w:numPr>
              <w:rPr>
                <w:rFonts w:ascii="Arial" w:hAnsi="Arial" w:cs="Arial"/>
              </w:rPr>
            </w:pPr>
            <w:r w:rsidRPr="00587DF1">
              <w:rPr>
                <w:rFonts w:ascii="Arial" w:hAnsi="Arial" w:cs="Arial"/>
                <w:sz w:val="22"/>
                <w:szCs w:val="22"/>
              </w:rPr>
              <w:t>Skills: Ensuring that the sector has access to a pool of talented people to support its aims.</w:t>
            </w:r>
          </w:p>
          <w:p w14:paraId="43BBE13C" w14:textId="77777777" w:rsidR="004D6D07" w:rsidRPr="00587DF1" w:rsidRDefault="004D6D07" w:rsidP="00B8080B">
            <w:pPr>
              <w:spacing w:after="0"/>
              <w:rPr>
                <w:rFonts w:ascii="Arial" w:hAnsi="Arial" w:cs="Arial"/>
              </w:rPr>
            </w:pPr>
          </w:p>
          <w:p w14:paraId="19BCA366" w14:textId="77777777" w:rsidR="004D6D07" w:rsidRPr="00587DF1" w:rsidRDefault="004D6D07" w:rsidP="00B8080B">
            <w:pPr>
              <w:spacing w:after="0"/>
              <w:rPr>
                <w:rFonts w:ascii="Arial" w:hAnsi="Arial" w:cs="Arial"/>
              </w:rPr>
            </w:pPr>
            <w:r w:rsidRPr="00587DF1">
              <w:rPr>
                <w:rFonts w:ascii="Arial" w:hAnsi="Arial" w:cs="Arial"/>
              </w:rPr>
              <w:t>Oriel clearly fits into the Government’s vison of maintaining innovative, world-leading, transformational and collaborative centres for the Life Sciences Sector in the UK. Oriel will be the world’s first fully integrated ophthalmology and research centre and will enable the Moorfields / UCL IoO partnership to grow its status as a world leader in clinical care and research.</w:t>
            </w:r>
          </w:p>
        </w:tc>
      </w:tr>
      <w:bookmarkEnd w:id="30"/>
      <w:bookmarkEnd w:id="37"/>
    </w:tbl>
    <w:p w14:paraId="356E1451" w14:textId="77777777" w:rsidR="00E47761" w:rsidRPr="00587DF1" w:rsidRDefault="00E47761" w:rsidP="00E47761">
      <w:pPr>
        <w:spacing w:after="0" w:line="240" w:lineRule="auto"/>
        <w:rPr>
          <w:rFonts w:ascii="Arial" w:eastAsia="Arial" w:hAnsi="Arial" w:cs="Arial"/>
        </w:rPr>
      </w:pPr>
    </w:p>
    <w:p w14:paraId="5B0E32E1" w14:textId="77777777" w:rsidR="00E47761" w:rsidRPr="00587DF1" w:rsidRDefault="00E47761" w:rsidP="00E47761">
      <w:pPr>
        <w:spacing w:after="0" w:line="240" w:lineRule="auto"/>
        <w:rPr>
          <w:rFonts w:ascii="Arial" w:eastAsia="Arial" w:hAnsi="Arial" w:cs="Arial"/>
        </w:rPr>
      </w:pPr>
    </w:p>
    <w:p w14:paraId="4AC2B835" w14:textId="77777777" w:rsidR="00E47761" w:rsidRPr="00587DF1" w:rsidRDefault="00E47761" w:rsidP="005E0D57">
      <w:pPr>
        <w:pStyle w:val="Heading2"/>
        <w:numPr>
          <w:ilvl w:val="1"/>
          <w:numId w:val="1"/>
        </w:numPr>
        <w:rPr>
          <w:rFonts w:ascii="Arial" w:eastAsia="Arial" w:hAnsi="Arial" w:cs="Arial"/>
        </w:rPr>
      </w:pPr>
      <w:bookmarkStart w:id="38" w:name="_Toc32842674"/>
      <w:r w:rsidRPr="00587DF1">
        <w:rPr>
          <w:rFonts w:ascii="Arial" w:eastAsia="Arial" w:hAnsi="Arial" w:cs="Arial"/>
        </w:rPr>
        <w:t>Regional strategy</w:t>
      </w:r>
      <w:bookmarkEnd w:id="38"/>
    </w:p>
    <w:p w14:paraId="2B219442" w14:textId="77777777" w:rsidR="00E47761" w:rsidRPr="00587DF1" w:rsidRDefault="00E47761" w:rsidP="00E47761">
      <w:pPr>
        <w:spacing w:after="0" w:line="240" w:lineRule="auto"/>
        <w:rPr>
          <w:rFonts w:ascii="Arial" w:eastAsia="Arial" w:hAnsi="Arial" w:cs="Arial"/>
        </w:rPr>
      </w:pPr>
    </w:p>
    <w:p w14:paraId="42417AFF" w14:textId="3222B5BD" w:rsidR="00E47761" w:rsidRPr="00587DF1" w:rsidRDefault="00E47761" w:rsidP="00E47761">
      <w:pPr>
        <w:rPr>
          <w:rFonts w:ascii="Arial" w:eastAsia="Times New Roman" w:hAnsi="Arial" w:cs="Arial"/>
          <w:lang w:eastAsia="en-US"/>
        </w:rPr>
      </w:pPr>
      <w:r w:rsidRPr="00587DF1">
        <w:rPr>
          <w:rFonts w:ascii="Arial" w:eastAsia="Times New Roman" w:hAnsi="Arial" w:cs="Arial"/>
          <w:lang w:eastAsia="en-US"/>
        </w:rPr>
        <w:t xml:space="preserve">The table below summarises the Regional Strategies that have been used to inform development of Oriel. </w:t>
      </w:r>
      <w:r w:rsidR="00AD3E2C" w:rsidRPr="00587DF1">
        <w:rPr>
          <w:rFonts w:ascii="Arial" w:eastAsia="Arial" w:hAnsi="Arial" w:cs="Arial"/>
        </w:rPr>
        <w:t xml:space="preserve">Moorfields </w:t>
      </w:r>
      <w:r w:rsidRPr="00587DF1">
        <w:rPr>
          <w:rFonts w:ascii="Arial" w:eastAsia="Times New Roman" w:hAnsi="Arial" w:cs="Arial"/>
          <w:lang w:eastAsia="en-US"/>
        </w:rPr>
        <w:t xml:space="preserve">patients come from </w:t>
      </w:r>
      <w:r w:rsidR="00847767" w:rsidRPr="00587DF1">
        <w:rPr>
          <w:rFonts w:ascii="Arial" w:eastAsia="Times New Roman" w:hAnsi="Arial" w:cs="Arial"/>
          <w:lang w:eastAsia="en-US"/>
        </w:rPr>
        <w:t>109 CCGs</w:t>
      </w:r>
      <w:r w:rsidRPr="00587DF1">
        <w:rPr>
          <w:rFonts w:ascii="Arial" w:eastAsia="Times New Roman" w:hAnsi="Arial" w:cs="Arial"/>
          <w:lang w:eastAsia="en-US"/>
        </w:rPr>
        <w:t>, so there is no one regional strategy which is relevant to this nationally renowned provider. This section focuses on NCL</w:t>
      </w:r>
      <w:r w:rsidR="00847767" w:rsidRPr="00587DF1">
        <w:rPr>
          <w:rFonts w:ascii="Arial" w:eastAsia="Times New Roman" w:hAnsi="Arial" w:cs="Arial"/>
          <w:lang w:eastAsia="en-US"/>
        </w:rPr>
        <w:t xml:space="preserve">, the STP in which the City Road and proposed St Pancras sites are located, and which is </w:t>
      </w:r>
      <w:r w:rsidR="00C430AE">
        <w:rPr>
          <w:rFonts w:ascii="Arial" w:eastAsia="Times New Roman" w:hAnsi="Arial" w:cs="Arial"/>
          <w:lang w:eastAsia="en-US"/>
        </w:rPr>
        <w:t>a significant</w:t>
      </w:r>
      <w:r w:rsidR="00847767" w:rsidRPr="00587DF1">
        <w:rPr>
          <w:rFonts w:ascii="Arial" w:eastAsia="Times New Roman" w:hAnsi="Arial" w:cs="Arial"/>
          <w:lang w:eastAsia="en-US"/>
        </w:rPr>
        <w:t xml:space="preserve"> commissioner of </w:t>
      </w:r>
      <w:r w:rsidR="00AD3E2C" w:rsidRPr="00587DF1">
        <w:rPr>
          <w:rFonts w:ascii="Arial" w:eastAsia="Arial" w:hAnsi="Arial" w:cs="Arial"/>
        </w:rPr>
        <w:t xml:space="preserve">Moorfields </w:t>
      </w:r>
      <w:r w:rsidRPr="00587DF1">
        <w:rPr>
          <w:rFonts w:ascii="Arial" w:eastAsia="Times New Roman" w:hAnsi="Arial" w:cs="Arial"/>
          <w:lang w:eastAsia="en-US"/>
        </w:rPr>
        <w:t>activity.</w:t>
      </w:r>
      <w:r w:rsidR="00847767" w:rsidRPr="00587DF1">
        <w:rPr>
          <w:rFonts w:ascii="Arial" w:eastAsia="Times New Roman" w:hAnsi="Arial" w:cs="Arial"/>
          <w:lang w:eastAsia="en-US"/>
        </w:rPr>
        <w:t xml:space="preserve"> </w:t>
      </w:r>
      <w:r w:rsidR="003D00F0" w:rsidRPr="00587DF1">
        <w:rPr>
          <w:rFonts w:ascii="Arial" w:eastAsia="Times New Roman" w:hAnsi="Arial" w:cs="Arial"/>
          <w:lang w:eastAsia="en-US"/>
        </w:rPr>
        <w:t xml:space="preserve">Further detail is provided in Appendix </w:t>
      </w:r>
      <w:r w:rsidR="00CB4422">
        <w:rPr>
          <w:rFonts w:ascii="Arial" w:eastAsia="Arial" w:hAnsi="Arial" w:cs="Arial"/>
        </w:rPr>
        <w:t>3A</w:t>
      </w:r>
      <w:r w:rsidRPr="00587DF1">
        <w:rPr>
          <w:rFonts w:ascii="Arial" w:eastAsia="Times New Roman" w:hAnsi="Arial" w:cs="Arial"/>
          <w:lang w:eastAsia="en-US"/>
        </w:rPr>
        <w:t>.</w:t>
      </w:r>
    </w:p>
    <w:p w14:paraId="65186C5D" w14:textId="33C1442E" w:rsidR="00847767" w:rsidRPr="00587DF1" w:rsidRDefault="00847767" w:rsidP="00E47761">
      <w:pPr>
        <w:rPr>
          <w:rFonts w:ascii="Arial" w:eastAsia="Times New Roman" w:hAnsi="Arial" w:cs="Arial"/>
          <w:lang w:eastAsia="en-US"/>
        </w:rPr>
      </w:pPr>
      <w:r w:rsidRPr="00587DF1">
        <w:rPr>
          <w:rFonts w:ascii="Arial" w:eastAsia="Times New Roman" w:hAnsi="Arial" w:cs="Arial"/>
          <w:lang w:eastAsia="en-US"/>
        </w:rPr>
        <w:t>NCL STP strategies focus on future-proofing the NHS estate in the context of a growing and</w:t>
      </w:r>
      <w:r w:rsidR="004040D3">
        <w:rPr>
          <w:rFonts w:ascii="Arial" w:eastAsia="Times New Roman" w:hAnsi="Arial" w:cs="Arial"/>
          <w:lang w:eastAsia="en-US"/>
        </w:rPr>
        <w:t xml:space="preserve"> ageing</w:t>
      </w:r>
      <w:r w:rsidRPr="00587DF1">
        <w:rPr>
          <w:rFonts w:ascii="Arial" w:eastAsia="Times New Roman" w:hAnsi="Arial" w:cs="Arial"/>
          <w:lang w:eastAsia="en-US"/>
        </w:rPr>
        <w:t xml:space="preserve"> population. Oriel forms a key part of the NCL estates strategy, both due to its significant benefits to the region, and its strategic relationship with </w:t>
      </w:r>
      <w:r w:rsidR="00C9177D">
        <w:rPr>
          <w:rFonts w:ascii="Arial" w:eastAsia="Times New Roman" w:hAnsi="Arial" w:cs="Arial"/>
          <w:lang w:eastAsia="en-US"/>
        </w:rPr>
        <w:t>Camden and Islington NHS Foundation Trust</w:t>
      </w:r>
      <w:r w:rsidRPr="00587DF1">
        <w:rPr>
          <w:rFonts w:ascii="Arial" w:eastAsia="Times New Roman" w:hAnsi="Arial" w:cs="Arial"/>
          <w:lang w:eastAsia="en-US"/>
        </w:rPr>
        <w:t xml:space="preserve"> (C&amp;I) whose plans are set out in section </w:t>
      </w:r>
      <w:r w:rsidR="00B8080B">
        <w:rPr>
          <w:rFonts w:ascii="Arial" w:eastAsia="Times New Roman" w:hAnsi="Arial" w:cs="Arial"/>
          <w:lang w:eastAsia="en-US"/>
        </w:rPr>
        <w:fldChar w:fldCharType="begin"/>
      </w:r>
      <w:r w:rsidR="00B8080B">
        <w:rPr>
          <w:rFonts w:ascii="Arial" w:eastAsia="Times New Roman" w:hAnsi="Arial" w:cs="Arial"/>
          <w:lang w:eastAsia="en-US"/>
        </w:rPr>
        <w:instrText xml:space="preserve"> REF _Ref27744364 \r \h </w:instrText>
      </w:r>
      <w:r w:rsidR="00B8080B">
        <w:rPr>
          <w:rFonts w:ascii="Arial" w:eastAsia="Times New Roman" w:hAnsi="Arial" w:cs="Arial"/>
          <w:lang w:eastAsia="en-US"/>
        </w:rPr>
      </w:r>
      <w:r w:rsidR="00B8080B">
        <w:rPr>
          <w:rFonts w:ascii="Arial" w:eastAsia="Times New Roman" w:hAnsi="Arial" w:cs="Arial"/>
          <w:lang w:eastAsia="en-US"/>
        </w:rPr>
        <w:fldChar w:fldCharType="separate"/>
      </w:r>
      <w:r w:rsidR="00A936CD">
        <w:rPr>
          <w:rFonts w:ascii="Arial" w:eastAsia="Times New Roman" w:hAnsi="Arial" w:cs="Arial"/>
          <w:lang w:eastAsia="en-US"/>
        </w:rPr>
        <w:t>3.3</w:t>
      </w:r>
      <w:r w:rsidR="00B8080B">
        <w:rPr>
          <w:rFonts w:ascii="Arial" w:eastAsia="Times New Roman" w:hAnsi="Arial" w:cs="Arial"/>
          <w:lang w:eastAsia="en-US"/>
        </w:rPr>
        <w:fldChar w:fldCharType="end"/>
      </w:r>
      <w:r w:rsidRPr="00587DF1">
        <w:rPr>
          <w:rFonts w:ascii="Arial" w:eastAsia="Times New Roman" w:hAnsi="Arial" w:cs="Arial"/>
          <w:lang w:eastAsia="en-US"/>
        </w:rPr>
        <w:t xml:space="preserve">. </w:t>
      </w:r>
      <w:r w:rsidR="0070603A">
        <w:rPr>
          <w:rFonts w:ascii="Arial" w:eastAsia="Times New Roman" w:hAnsi="Arial" w:cs="Arial"/>
          <w:lang w:eastAsia="en-US"/>
        </w:rPr>
        <w:t xml:space="preserve">Commissioner support has been secured through approval of the DMBC and </w:t>
      </w:r>
      <w:r w:rsidR="00296889">
        <w:rPr>
          <w:rFonts w:ascii="Arial" w:eastAsia="Times New Roman" w:hAnsi="Arial" w:cs="Arial"/>
          <w:lang w:eastAsia="en-US"/>
        </w:rPr>
        <w:t>the letter of support at Appendix 3E</w:t>
      </w:r>
      <w:r w:rsidRPr="00587DF1">
        <w:rPr>
          <w:rFonts w:ascii="Arial" w:eastAsia="Times New Roman" w:hAnsi="Arial" w:cs="Arial"/>
          <w:lang w:eastAsia="en-US"/>
        </w:rPr>
        <w:t>.</w:t>
      </w:r>
    </w:p>
    <w:p w14:paraId="750222EB" w14:textId="7B412938" w:rsidR="00E47761" w:rsidRPr="00587DF1" w:rsidRDefault="00B8080B" w:rsidP="00B8080B">
      <w:pPr>
        <w:pStyle w:val="Caption"/>
        <w:rPr>
          <w:rFonts w:eastAsia="Arial"/>
          <w:i w:val="0"/>
        </w:rPr>
      </w:pPr>
      <w:r>
        <w:t xml:space="preserve">Table </w:t>
      </w:r>
      <w:r>
        <w:fldChar w:fldCharType="begin"/>
      </w:r>
      <w:r>
        <w:instrText xml:space="preserve"> SEQ Table \* ARABIC </w:instrText>
      </w:r>
      <w:r>
        <w:fldChar w:fldCharType="separate"/>
      </w:r>
      <w:r w:rsidR="00A936CD">
        <w:rPr>
          <w:noProof/>
        </w:rPr>
        <w:t>5</w:t>
      </w:r>
      <w:r>
        <w:fldChar w:fldCharType="end"/>
      </w:r>
      <w:r>
        <w:t xml:space="preserve">: </w:t>
      </w:r>
      <w:r w:rsidRPr="00A44091">
        <w:rPr>
          <w:b w:val="0"/>
          <w:bCs w:val="0"/>
        </w:rPr>
        <w:t>Summary of regional strategies relevant to Oriel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83"/>
      </w:tblGrid>
      <w:tr w:rsidR="0025490F" w:rsidRPr="0025490F" w14:paraId="600DB6F3" w14:textId="77777777" w:rsidTr="0025490F">
        <w:tc>
          <w:tcPr>
            <w:tcW w:w="2235" w:type="dxa"/>
            <w:shd w:val="clear" w:color="auto" w:fill="4F81BD"/>
          </w:tcPr>
          <w:p w14:paraId="6E028A3A" w14:textId="77777777" w:rsidR="00E47761" w:rsidRPr="0025490F" w:rsidRDefault="00E47761" w:rsidP="004D6D07">
            <w:pPr>
              <w:autoSpaceDE w:val="0"/>
              <w:autoSpaceDN w:val="0"/>
              <w:adjustRightInd w:val="0"/>
              <w:spacing w:after="0"/>
              <w:rPr>
                <w:rFonts w:ascii="Arial" w:hAnsi="Arial" w:cs="Arial"/>
                <w:b/>
                <w:color w:val="FFFFFF" w:themeColor="background1"/>
              </w:rPr>
            </w:pPr>
            <w:r w:rsidRPr="0025490F">
              <w:rPr>
                <w:rFonts w:ascii="Arial" w:hAnsi="Arial" w:cs="Arial"/>
                <w:b/>
                <w:bCs/>
                <w:color w:val="FFFFFF" w:themeColor="background1"/>
              </w:rPr>
              <w:t xml:space="preserve">Strategy </w:t>
            </w:r>
          </w:p>
        </w:tc>
        <w:tc>
          <w:tcPr>
            <w:tcW w:w="7683" w:type="dxa"/>
            <w:shd w:val="clear" w:color="auto" w:fill="4F81BD"/>
          </w:tcPr>
          <w:p w14:paraId="727DD2D2" w14:textId="77777777" w:rsidR="00E47761" w:rsidRPr="0025490F" w:rsidRDefault="00E47761" w:rsidP="004D6D07">
            <w:pPr>
              <w:spacing w:after="0"/>
              <w:rPr>
                <w:rFonts w:ascii="Arial" w:hAnsi="Arial" w:cs="Arial"/>
                <w:b/>
                <w:color w:val="FFFFFF" w:themeColor="background1"/>
              </w:rPr>
            </w:pPr>
            <w:r w:rsidRPr="0025490F">
              <w:rPr>
                <w:rFonts w:ascii="Arial" w:hAnsi="Arial" w:cs="Arial"/>
                <w:b/>
                <w:color w:val="FFFFFF" w:themeColor="background1"/>
              </w:rPr>
              <w:t xml:space="preserve">Description </w:t>
            </w:r>
          </w:p>
        </w:tc>
      </w:tr>
      <w:tr w:rsidR="00E47761" w:rsidRPr="00587DF1" w14:paraId="73420426" w14:textId="77777777" w:rsidTr="004D6D07">
        <w:trPr>
          <w:trHeight w:val="54"/>
        </w:trPr>
        <w:tc>
          <w:tcPr>
            <w:tcW w:w="2235" w:type="dxa"/>
          </w:tcPr>
          <w:p w14:paraId="09308171" w14:textId="77777777" w:rsidR="00E47761" w:rsidRPr="00587DF1" w:rsidRDefault="003D00F0" w:rsidP="004D6D07">
            <w:pPr>
              <w:spacing w:after="0"/>
              <w:rPr>
                <w:rFonts w:ascii="Arial" w:hAnsi="Arial" w:cs="Arial"/>
              </w:rPr>
            </w:pPr>
            <w:r w:rsidRPr="00587DF1">
              <w:rPr>
                <w:rFonts w:ascii="Arial" w:hAnsi="Arial" w:cs="Arial"/>
              </w:rPr>
              <w:t>North Central London (NCL) STP</w:t>
            </w:r>
          </w:p>
        </w:tc>
        <w:tc>
          <w:tcPr>
            <w:tcW w:w="7683" w:type="dxa"/>
          </w:tcPr>
          <w:p w14:paraId="24E27484" w14:textId="730AF782" w:rsidR="003D00F0" w:rsidRPr="00587DF1" w:rsidRDefault="003D00F0" w:rsidP="004D6D07">
            <w:pPr>
              <w:spacing w:after="0"/>
              <w:rPr>
                <w:rFonts w:ascii="Arial" w:hAnsi="Arial" w:cs="Arial"/>
              </w:rPr>
            </w:pPr>
            <w:r w:rsidRPr="00587DF1">
              <w:rPr>
                <w:rFonts w:ascii="Arial" w:hAnsi="Arial" w:cs="Arial"/>
              </w:rPr>
              <w:t>In June 2017, NCL STP produced its Sustainability and Transformation Plan which details how it wishes to transform the way health and social care service</w:t>
            </w:r>
            <w:r w:rsidR="004040D3">
              <w:rPr>
                <w:rFonts w:ascii="Arial" w:hAnsi="Arial" w:cs="Arial"/>
              </w:rPr>
              <w:t>s are delivered i</w:t>
            </w:r>
            <w:r w:rsidRPr="00587DF1">
              <w:rPr>
                <w:rFonts w:ascii="Arial" w:hAnsi="Arial" w:cs="Arial"/>
              </w:rPr>
              <w:t xml:space="preserve">n North London. This focuses on improving the health and wellbeing of the community and delivering the best care not only in London, but nationally. </w:t>
            </w:r>
          </w:p>
          <w:p w14:paraId="1E9CA2BA" w14:textId="77777777" w:rsidR="003D00F0" w:rsidRPr="00587DF1" w:rsidRDefault="003D00F0" w:rsidP="004D6D07">
            <w:pPr>
              <w:spacing w:after="0"/>
              <w:rPr>
                <w:rFonts w:ascii="Arial" w:hAnsi="Arial" w:cs="Arial"/>
              </w:rPr>
            </w:pPr>
            <w:bookmarkStart w:id="39" w:name="_Hlk24095044"/>
            <w:r w:rsidRPr="00587DF1">
              <w:rPr>
                <w:rFonts w:ascii="Arial" w:hAnsi="Arial" w:cs="Arial"/>
              </w:rPr>
              <w:t>In order to achieve their vision that ‘Local people deserve to be supported to live happier, healthier and longer lives’, the NCL STP has outlined its programme of transformation:</w:t>
            </w:r>
          </w:p>
          <w:p w14:paraId="7A1B8AF0" w14:textId="040B38BF" w:rsidR="003D00F0" w:rsidRPr="00587DF1" w:rsidRDefault="003D00F0" w:rsidP="005E0D57">
            <w:pPr>
              <w:pStyle w:val="ListParagraph"/>
              <w:numPr>
                <w:ilvl w:val="0"/>
                <w:numId w:val="13"/>
              </w:numPr>
              <w:spacing w:after="0"/>
              <w:rPr>
                <w:rFonts w:ascii="Arial" w:hAnsi="Arial" w:cs="Arial"/>
              </w:rPr>
            </w:pPr>
            <w:r w:rsidRPr="00587DF1">
              <w:rPr>
                <w:rFonts w:ascii="Arial" w:hAnsi="Arial" w:cs="Arial"/>
              </w:rPr>
              <w:t>Prevention</w:t>
            </w:r>
            <w:r w:rsidR="0025490F">
              <w:rPr>
                <w:rFonts w:ascii="Arial" w:hAnsi="Arial" w:cs="Arial"/>
              </w:rPr>
              <w:t>.</w:t>
            </w:r>
          </w:p>
          <w:p w14:paraId="0DAE236F" w14:textId="39F0966D" w:rsidR="003D00F0" w:rsidRPr="00587DF1" w:rsidRDefault="003D00F0" w:rsidP="005E0D57">
            <w:pPr>
              <w:pStyle w:val="ListParagraph"/>
              <w:numPr>
                <w:ilvl w:val="0"/>
                <w:numId w:val="13"/>
              </w:numPr>
              <w:spacing w:after="0"/>
              <w:rPr>
                <w:rFonts w:ascii="Arial" w:hAnsi="Arial" w:cs="Arial"/>
              </w:rPr>
            </w:pPr>
            <w:r w:rsidRPr="00587DF1">
              <w:rPr>
                <w:rFonts w:ascii="Arial" w:hAnsi="Arial" w:cs="Arial"/>
              </w:rPr>
              <w:t>Service transformation</w:t>
            </w:r>
            <w:r w:rsidR="0025490F">
              <w:rPr>
                <w:rFonts w:ascii="Arial" w:hAnsi="Arial" w:cs="Arial"/>
              </w:rPr>
              <w:t>.</w:t>
            </w:r>
          </w:p>
          <w:p w14:paraId="6C9211BE" w14:textId="51C562CE" w:rsidR="003D00F0" w:rsidRPr="00587DF1" w:rsidRDefault="003D00F0" w:rsidP="005E0D57">
            <w:pPr>
              <w:pStyle w:val="ListParagraph"/>
              <w:numPr>
                <w:ilvl w:val="0"/>
                <w:numId w:val="13"/>
              </w:numPr>
              <w:spacing w:after="0"/>
              <w:rPr>
                <w:rFonts w:ascii="Arial" w:hAnsi="Arial" w:cs="Arial"/>
              </w:rPr>
            </w:pPr>
            <w:r w:rsidRPr="00587DF1">
              <w:rPr>
                <w:rFonts w:ascii="Arial" w:hAnsi="Arial" w:cs="Arial"/>
              </w:rPr>
              <w:t>Productivity</w:t>
            </w:r>
            <w:r w:rsidR="0025490F">
              <w:rPr>
                <w:rFonts w:ascii="Arial" w:hAnsi="Arial" w:cs="Arial"/>
              </w:rPr>
              <w:t>.</w:t>
            </w:r>
          </w:p>
          <w:p w14:paraId="3ABF9D9C" w14:textId="77777777" w:rsidR="003D00F0" w:rsidRPr="00587DF1" w:rsidRDefault="003D00F0" w:rsidP="005E0D57">
            <w:pPr>
              <w:pStyle w:val="ListParagraph"/>
              <w:numPr>
                <w:ilvl w:val="0"/>
                <w:numId w:val="13"/>
              </w:numPr>
              <w:spacing w:after="0"/>
              <w:rPr>
                <w:rFonts w:ascii="Arial" w:hAnsi="Arial" w:cs="Arial"/>
              </w:rPr>
            </w:pPr>
            <w:r w:rsidRPr="00587DF1">
              <w:rPr>
                <w:rFonts w:ascii="Arial" w:hAnsi="Arial" w:cs="Arial"/>
              </w:rPr>
              <w:t>Enablers (e.g. digital, workforce, estates).</w:t>
            </w:r>
          </w:p>
          <w:bookmarkEnd w:id="39"/>
          <w:p w14:paraId="640E3F9D" w14:textId="77777777" w:rsidR="003D00F0" w:rsidRPr="00587DF1" w:rsidRDefault="003D00F0" w:rsidP="004D6D07">
            <w:pPr>
              <w:spacing w:after="0"/>
              <w:rPr>
                <w:rFonts w:ascii="Arial" w:hAnsi="Arial" w:cs="Arial"/>
              </w:rPr>
            </w:pPr>
            <w:r w:rsidRPr="00587DF1">
              <w:rPr>
                <w:rFonts w:ascii="Arial" w:hAnsi="Arial" w:cs="Arial"/>
              </w:rPr>
              <w:t xml:space="preserve">In its planned care workstream to deliver these four elements, NCL STP plans to create a system where patient journeys are as efficient, safe and well managed as possible. The STP, together with clinicians and patients, are redesigning pathways using local and global examples of best practice. </w:t>
            </w:r>
          </w:p>
          <w:p w14:paraId="11AB50FD" w14:textId="2D6B4C39" w:rsidR="003D00F0" w:rsidRPr="004F4B79" w:rsidRDefault="003D00F0" w:rsidP="004D6D07">
            <w:pPr>
              <w:spacing w:after="0"/>
              <w:rPr>
                <w:rFonts w:ascii="Arial" w:hAnsi="Arial" w:cs="Arial"/>
              </w:rPr>
            </w:pPr>
            <w:r w:rsidRPr="00587DF1">
              <w:rPr>
                <w:rFonts w:ascii="Arial" w:hAnsi="Arial" w:cs="Arial"/>
              </w:rPr>
              <w:lastRenderedPageBreak/>
              <w:t xml:space="preserve">Moorfields is working with NCL on redesigning ophthalmology pathways to ensure they deliver the best model of care for patients. The trust launched its five-year strategy in July 2017 with a new purpose, ‘working together to discover, develop and deliver the best eye care’. At the heart of this is the real need to work more closely and in a more integrated way with </w:t>
            </w:r>
            <w:r w:rsidR="00E10C97">
              <w:rPr>
                <w:rFonts w:ascii="Arial" w:hAnsi="Arial" w:cs="Arial"/>
              </w:rPr>
              <w:t>partners including the IoO</w:t>
            </w:r>
            <w:r w:rsidRPr="00587DF1">
              <w:rPr>
                <w:rFonts w:ascii="Arial" w:hAnsi="Arial" w:cs="Arial"/>
              </w:rPr>
              <w:t xml:space="preserve">, wider STP partner trusts and social services providers.  It is this integration that </w:t>
            </w:r>
            <w:r w:rsidRPr="004F4B79">
              <w:rPr>
                <w:rFonts w:ascii="Arial" w:hAnsi="Arial" w:cs="Arial"/>
              </w:rPr>
              <w:t xml:space="preserve">lies at the heart of Oriel.  </w:t>
            </w:r>
          </w:p>
          <w:p w14:paraId="744EC369" w14:textId="77777777" w:rsidR="003D00F0" w:rsidRPr="004F4B79" w:rsidRDefault="003D00F0" w:rsidP="005E0D57">
            <w:pPr>
              <w:pStyle w:val="ListParagraph"/>
              <w:numPr>
                <w:ilvl w:val="0"/>
                <w:numId w:val="25"/>
              </w:numPr>
              <w:spacing w:after="0"/>
              <w:rPr>
                <w:rFonts w:ascii="Arial" w:hAnsi="Arial" w:cs="Arial"/>
              </w:rPr>
            </w:pPr>
            <w:r w:rsidRPr="004F4B79">
              <w:rPr>
                <w:rFonts w:ascii="Arial" w:hAnsi="Arial" w:cs="Arial"/>
              </w:rPr>
              <w:t>Working together means we collaborate with one another as individuals, with our patients and with other organisations.</w:t>
            </w:r>
          </w:p>
          <w:p w14:paraId="0CAB9A9E" w14:textId="77777777" w:rsidR="003D00F0" w:rsidRPr="004F4B79" w:rsidRDefault="003D00F0" w:rsidP="005E0D57">
            <w:pPr>
              <w:pStyle w:val="ListParagraph"/>
              <w:numPr>
                <w:ilvl w:val="0"/>
                <w:numId w:val="25"/>
              </w:numPr>
              <w:spacing w:after="0"/>
              <w:rPr>
                <w:rFonts w:ascii="Arial" w:hAnsi="Arial" w:cs="Arial"/>
              </w:rPr>
            </w:pPr>
            <w:r w:rsidRPr="004F4B79">
              <w:rPr>
                <w:rFonts w:ascii="Arial" w:hAnsi="Arial" w:cs="Arial"/>
              </w:rPr>
              <w:t>Discovering the best eye care means we will focus on setting the agenda, being at the forefront for others to follow.</w:t>
            </w:r>
          </w:p>
          <w:p w14:paraId="2E576276" w14:textId="77777777" w:rsidR="003D00F0" w:rsidRPr="004F4B79" w:rsidRDefault="003D00F0" w:rsidP="005E0D57">
            <w:pPr>
              <w:pStyle w:val="ListParagraph"/>
              <w:numPr>
                <w:ilvl w:val="0"/>
                <w:numId w:val="25"/>
              </w:numPr>
              <w:spacing w:after="0"/>
              <w:rPr>
                <w:rFonts w:ascii="Arial" w:hAnsi="Arial" w:cs="Arial"/>
              </w:rPr>
            </w:pPr>
            <w:r w:rsidRPr="004F4B79">
              <w:rPr>
                <w:rFonts w:ascii="Arial" w:hAnsi="Arial" w:cs="Arial"/>
              </w:rPr>
              <w:t>Developing the best eye care means we will practically apply our discoveries to benefit our patients, staff and the services we provide.</w:t>
            </w:r>
          </w:p>
          <w:p w14:paraId="69691225" w14:textId="77777777" w:rsidR="00E47761" w:rsidRPr="004F4B79" w:rsidRDefault="003D00F0" w:rsidP="005E0D57">
            <w:pPr>
              <w:pStyle w:val="ListParagraph"/>
              <w:numPr>
                <w:ilvl w:val="0"/>
                <w:numId w:val="25"/>
              </w:numPr>
              <w:spacing w:after="0"/>
              <w:rPr>
                <w:rFonts w:ascii="Arial" w:hAnsi="Arial" w:cs="Arial"/>
              </w:rPr>
            </w:pPr>
            <w:r w:rsidRPr="004F4B79">
              <w:rPr>
                <w:rFonts w:ascii="Arial" w:hAnsi="Arial" w:cs="Arial"/>
              </w:rPr>
              <w:t xml:space="preserve">Delivering the best eye care means we will consistently provide an excellent, globally-recognised service. </w:t>
            </w:r>
          </w:p>
          <w:p w14:paraId="7EEA0801" w14:textId="42069AE3" w:rsidR="003D00F0" w:rsidRPr="00587DF1" w:rsidRDefault="003D00F0" w:rsidP="004D6D07">
            <w:pPr>
              <w:spacing w:after="0"/>
              <w:rPr>
                <w:rFonts w:ascii="Arial" w:hAnsi="Arial" w:cs="Arial"/>
              </w:rPr>
            </w:pPr>
            <w:r w:rsidRPr="004F4B79">
              <w:rPr>
                <w:rFonts w:ascii="Arial" w:hAnsi="Arial" w:cs="Arial"/>
              </w:rPr>
              <w:t>The NCL STP estates strategy sets out the strategic importance of the St Pancras redevelopment and</w:t>
            </w:r>
            <w:r w:rsidRPr="00587DF1">
              <w:rPr>
                <w:rFonts w:ascii="Arial" w:hAnsi="Arial" w:cs="Arial"/>
              </w:rPr>
              <w:t xml:space="preserve"> Oriel.</w:t>
            </w:r>
          </w:p>
        </w:tc>
      </w:tr>
      <w:tr w:rsidR="00E47761" w:rsidRPr="00587DF1" w14:paraId="34EF201F" w14:textId="77777777" w:rsidTr="004D6D07">
        <w:tc>
          <w:tcPr>
            <w:tcW w:w="2235" w:type="dxa"/>
          </w:tcPr>
          <w:p w14:paraId="46A61453" w14:textId="77777777" w:rsidR="00E47761" w:rsidRPr="00587DF1" w:rsidRDefault="0055604E" w:rsidP="004D6D07">
            <w:pPr>
              <w:spacing w:after="0"/>
              <w:rPr>
                <w:rFonts w:ascii="Arial" w:hAnsi="Arial" w:cs="Arial"/>
              </w:rPr>
            </w:pPr>
            <w:r w:rsidRPr="00587DF1">
              <w:rPr>
                <w:rFonts w:ascii="Arial" w:hAnsi="Arial" w:cs="Arial"/>
              </w:rPr>
              <w:lastRenderedPageBreak/>
              <w:t>Wider c</w:t>
            </w:r>
            <w:r w:rsidR="00E47761" w:rsidRPr="00587DF1">
              <w:rPr>
                <w:rFonts w:ascii="Arial" w:hAnsi="Arial" w:cs="Arial"/>
              </w:rPr>
              <w:t>ommissioner plans</w:t>
            </w:r>
          </w:p>
        </w:tc>
        <w:tc>
          <w:tcPr>
            <w:tcW w:w="7683" w:type="dxa"/>
          </w:tcPr>
          <w:p w14:paraId="6C668AFE" w14:textId="13702824" w:rsidR="00E47761" w:rsidRPr="00587DF1" w:rsidRDefault="003D00F0" w:rsidP="004D6D07">
            <w:pPr>
              <w:spacing w:after="0"/>
              <w:rPr>
                <w:rFonts w:ascii="Arial" w:hAnsi="Arial" w:cs="Arial"/>
              </w:rPr>
            </w:pPr>
            <w:r w:rsidRPr="00587DF1">
              <w:rPr>
                <w:rFonts w:ascii="Arial" w:hAnsi="Arial" w:cs="Arial"/>
              </w:rPr>
              <w:t xml:space="preserve">The </w:t>
            </w:r>
            <w:r w:rsidR="00E47761" w:rsidRPr="00587DF1">
              <w:rPr>
                <w:rFonts w:ascii="Arial" w:hAnsi="Arial" w:cs="Arial"/>
              </w:rPr>
              <w:t>14 CCGs</w:t>
            </w:r>
            <w:r w:rsidRPr="00587DF1">
              <w:rPr>
                <w:rFonts w:ascii="Arial" w:hAnsi="Arial" w:cs="Arial"/>
              </w:rPr>
              <w:t>,</w:t>
            </w:r>
            <w:r w:rsidR="00E47761" w:rsidRPr="00587DF1">
              <w:rPr>
                <w:rFonts w:ascii="Arial" w:hAnsi="Arial" w:cs="Arial"/>
              </w:rPr>
              <w:t xml:space="preserve"> </w:t>
            </w:r>
            <w:r w:rsidRPr="00587DF1">
              <w:rPr>
                <w:rFonts w:ascii="Arial" w:hAnsi="Arial" w:cs="Arial"/>
              </w:rPr>
              <w:t xml:space="preserve">and </w:t>
            </w:r>
            <w:r w:rsidR="005E64DB" w:rsidRPr="00587DF1">
              <w:rPr>
                <w:rFonts w:ascii="Arial" w:hAnsi="Arial" w:cs="Arial"/>
              </w:rPr>
              <w:t>NHS England Specialised Commissioning</w:t>
            </w:r>
            <w:r w:rsidRPr="00587DF1">
              <w:rPr>
                <w:rFonts w:ascii="Arial" w:hAnsi="Arial" w:cs="Arial"/>
              </w:rPr>
              <w:t>,</w:t>
            </w:r>
            <w:r w:rsidR="005E64DB" w:rsidRPr="00587DF1">
              <w:rPr>
                <w:rFonts w:ascii="Arial" w:hAnsi="Arial" w:cs="Arial"/>
              </w:rPr>
              <w:t xml:space="preserve"> </w:t>
            </w:r>
            <w:r w:rsidRPr="00587DF1">
              <w:rPr>
                <w:rFonts w:ascii="Arial" w:hAnsi="Arial" w:cs="Arial"/>
              </w:rPr>
              <w:t xml:space="preserve">who </w:t>
            </w:r>
            <w:r w:rsidR="00E47761" w:rsidRPr="00587DF1">
              <w:rPr>
                <w:rFonts w:ascii="Arial" w:hAnsi="Arial" w:cs="Arial"/>
              </w:rPr>
              <w:t>hold significant (&gt;£2m per annum) contracts with Moorfields for activity at City Road</w:t>
            </w:r>
            <w:r w:rsidRPr="00587DF1">
              <w:rPr>
                <w:rFonts w:ascii="Arial" w:hAnsi="Arial" w:cs="Arial"/>
              </w:rPr>
              <w:t>, have been closely involved in development of proposals through the development of the Decision Making Busine</w:t>
            </w:r>
            <w:r w:rsidRPr="00F549D1">
              <w:rPr>
                <w:rFonts w:ascii="Arial" w:hAnsi="Arial" w:cs="Arial"/>
              </w:rPr>
              <w:t xml:space="preserve">ss Case (DMBC). </w:t>
            </w:r>
            <w:r w:rsidR="001D702B" w:rsidRPr="00F549D1">
              <w:rPr>
                <w:rFonts w:ascii="Arial" w:hAnsi="Arial" w:cs="Arial"/>
              </w:rPr>
              <w:t xml:space="preserve">Through this process, commissioners have confirmed their support for the proposals and </w:t>
            </w:r>
            <w:r w:rsidRPr="00F549D1">
              <w:rPr>
                <w:rFonts w:ascii="Arial" w:hAnsi="Arial" w:cs="Arial"/>
              </w:rPr>
              <w:t xml:space="preserve">its </w:t>
            </w:r>
            <w:r w:rsidR="001D702B" w:rsidRPr="00F549D1">
              <w:rPr>
                <w:rFonts w:ascii="Arial" w:hAnsi="Arial" w:cs="Arial"/>
              </w:rPr>
              <w:t>alignment with commissioning intentions.</w:t>
            </w:r>
            <w:r w:rsidR="0065302B" w:rsidRPr="00587DF1">
              <w:rPr>
                <w:rFonts w:ascii="Arial" w:hAnsi="Arial" w:cs="Arial"/>
              </w:rPr>
              <w:t xml:space="preserve"> Commissioning intentions are described further in section</w:t>
            </w:r>
            <w:r w:rsidR="00B8080B">
              <w:rPr>
                <w:rFonts w:ascii="Arial" w:hAnsi="Arial" w:cs="Arial"/>
              </w:rPr>
              <w:t xml:space="preserve"> </w:t>
            </w:r>
            <w:r w:rsidR="00B8080B">
              <w:rPr>
                <w:rFonts w:ascii="Arial" w:hAnsi="Arial" w:cs="Arial"/>
              </w:rPr>
              <w:fldChar w:fldCharType="begin"/>
            </w:r>
            <w:r w:rsidR="00B8080B">
              <w:rPr>
                <w:rFonts w:ascii="Arial" w:hAnsi="Arial" w:cs="Arial"/>
              </w:rPr>
              <w:instrText xml:space="preserve"> REF _Ref27056909 \r \h </w:instrText>
            </w:r>
            <w:r w:rsidR="00B8080B">
              <w:rPr>
                <w:rFonts w:ascii="Arial" w:hAnsi="Arial" w:cs="Arial"/>
              </w:rPr>
            </w:r>
            <w:r w:rsidR="00B8080B">
              <w:rPr>
                <w:rFonts w:ascii="Arial" w:hAnsi="Arial" w:cs="Arial"/>
              </w:rPr>
              <w:fldChar w:fldCharType="separate"/>
            </w:r>
            <w:r w:rsidR="00A936CD">
              <w:rPr>
                <w:rFonts w:ascii="Arial" w:hAnsi="Arial" w:cs="Arial"/>
              </w:rPr>
              <w:t>5.2</w:t>
            </w:r>
            <w:r w:rsidR="00B8080B">
              <w:rPr>
                <w:rFonts w:ascii="Arial" w:hAnsi="Arial" w:cs="Arial"/>
              </w:rPr>
              <w:fldChar w:fldCharType="end"/>
            </w:r>
            <w:r w:rsidR="0065302B" w:rsidRPr="00587DF1">
              <w:rPr>
                <w:rFonts w:ascii="Arial" w:hAnsi="Arial" w:cs="Arial"/>
              </w:rPr>
              <w:t>.</w:t>
            </w:r>
          </w:p>
        </w:tc>
      </w:tr>
      <w:tr w:rsidR="00E67AA1" w:rsidRPr="00587DF1" w14:paraId="0CC3D75A" w14:textId="77777777" w:rsidTr="004D6D07">
        <w:tc>
          <w:tcPr>
            <w:tcW w:w="2235" w:type="dxa"/>
          </w:tcPr>
          <w:p w14:paraId="54B003D3" w14:textId="77777777" w:rsidR="00E67AA1" w:rsidRPr="00587DF1" w:rsidRDefault="00E67AA1" w:rsidP="004D6D07">
            <w:pPr>
              <w:spacing w:after="0"/>
              <w:rPr>
                <w:rFonts w:ascii="Arial" w:hAnsi="Arial" w:cs="Arial"/>
              </w:rPr>
            </w:pPr>
            <w:r w:rsidRPr="00587DF1">
              <w:rPr>
                <w:rFonts w:ascii="Arial" w:hAnsi="Arial" w:cs="Arial"/>
              </w:rPr>
              <w:t>London Mayor’s six tests</w:t>
            </w:r>
          </w:p>
        </w:tc>
        <w:tc>
          <w:tcPr>
            <w:tcW w:w="7683" w:type="dxa"/>
          </w:tcPr>
          <w:p w14:paraId="7F8FA930" w14:textId="77777777" w:rsidR="00E67AA1" w:rsidRPr="00587DF1" w:rsidRDefault="00E67AA1" w:rsidP="004D6D07">
            <w:pPr>
              <w:spacing w:after="0"/>
              <w:rPr>
                <w:rFonts w:ascii="Arial" w:hAnsi="Arial" w:cs="Arial"/>
              </w:rPr>
            </w:pPr>
            <w:r w:rsidRPr="00587DF1">
              <w:rPr>
                <w:rFonts w:ascii="Arial" w:hAnsi="Arial" w:cs="Arial"/>
              </w:rPr>
              <w:t>The King’s Fund and Nuffield Trust published a report</w:t>
            </w:r>
            <w:r w:rsidRPr="00F549D1">
              <w:rPr>
                <w:rFonts w:ascii="Arial" w:hAnsi="Arial" w:cs="Arial"/>
                <w:vertAlign w:val="superscript"/>
              </w:rPr>
              <w:footnoteReference w:id="1"/>
            </w:r>
            <w:r w:rsidRPr="00587DF1">
              <w:rPr>
                <w:rFonts w:ascii="Arial" w:hAnsi="Arial" w:cs="Arial"/>
              </w:rPr>
              <w:t xml:space="preserve"> in September 2017 which recommended that greater city-wide leadership is needed to successfully implement the five NHS STPs for London. In response to this, the Mayor of London set six assurances the Mayor requires to give support to the STPs. Compliance with these when implementing service change is considered best practice:</w:t>
            </w:r>
          </w:p>
          <w:p w14:paraId="455A9A16" w14:textId="3D8CA65E" w:rsidR="00E67AA1" w:rsidRPr="00587DF1" w:rsidRDefault="00E67AA1" w:rsidP="005E0D57">
            <w:pPr>
              <w:pStyle w:val="ListParagraph"/>
              <w:numPr>
                <w:ilvl w:val="0"/>
                <w:numId w:val="25"/>
              </w:numPr>
              <w:spacing w:after="0"/>
              <w:rPr>
                <w:rFonts w:ascii="Arial" w:hAnsi="Arial" w:cs="Arial"/>
              </w:rPr>
            </w:pPr>
            <w:r w:rsidRPr="00587DF1">
              <w:rPr>
                <w:rFonts w:ascii="Arial" w:hAnsi="Arial" w:cs="Arial"/>
              </w:rPr>
              <w:t>Patient and public engagement</w:t>
            </w:r>
            <w:r w:rsidR="0025490F">
              <w:rPr>
                <w:rFonts w:ascii="Arial" w:hAnsi="Arial" w:cs="Arial"/>
              </w:rPr>
              <w:t>.</w:t>
            </w:r>
          </w:p>
          <w:p w14:paraId="3FD61D60" w14:textId="5931E8A8" w:rsidR="00E67AA1" w:rsidRPr="00587DF1" w:rsidRDefault="00E67AA1" w:rsidP="005E0D57">
            <w:pPr>
              <w:pStyle w:val="ListParagraph"/>
              <w:numPr>
                <w:ilvl w:val="0"/>
                <w:numId w:val="25"/>
              </w:numPr>
              <w:spacing w:after="0"/>
              <w:rPr>
                <w:rFonts w:ascii="Arial" w:hAnsi="Arial" w:cs="Arial"/>
              </w:rPr>
            </w:pPr>
            <w:r w:rsidRPr="00587DF1">
              <w:rPr>
                <w:rFonts w:ascii="Arial" w:hAnsi="Arial" w:cs="Arial"/>
              </w:rPr>
              <w:t xml:space="preserve">Clinical </w:t>
            </w:r>
            <w:r w:rsidR="0025490F">
              <w:rPr>
                <w:rFonts w:ascii="Arial" w:hAnsi="Arial" w:cs="Arial"/>
              </w:rPr>
              <w:t>s</w:t>
            </w:r>
            <w:r w:rsidRPr="00587DF1">
              <w:rPr>
                <w:rFonts w:ascii="Arial" w:hAnsi="Arial" w:cs="Arial"/>
              </w:rPr>
              <w:t>upport</w:t>
            </w:r>
            <w:r w:rsidR="0025490F">
              <w:rPr>
                <w:rFonts w:ascii="Arial" w:hAnsi="Arial" w:cs="Arial"/>
              </w:rPr>
              <w:t>.</w:t>
            </w:r>
          </w:p>
          <w:p w14:paraId="1431CE7C" w14:textId="57D739B7" w:rsidR="00E67AA1" w:rsidRPr="00587DF1" w:rsidRDefault="00E67AA1" w:rsidP="005E0D57">
            <w:pPr>
              <w:pStyle w:val="ListParagraph"/>
              <w:numPr>
                <w:ilvl w:val="0"/>
                <w:numId w:val="25"/>
              </w:numPr>
              <w:spacing w:after="0"/>
              <w:rPr>
                <w:rFonts w:ascii="Arial" w:hAnsi="Arial" w:cs="Arial"/>
              </w:rPr>
            </w:pPr>
            <w:r w:rsidRPr="00587DF1">
              <w:rPr>
                <w:rFonts w:ascii="Arial" w:hAnsi="Arial" w:cs="Arial"/>
              </w:rPr>
              <w:t>Impact on health inequalit</w:t>
            </w:r>
            <w:r w:rsidR="003D00F0" w:rsidRPr="00587DF1">
              <w:rPr>
                <w:rFonts w:ascii="Arial" w:hAnsi="Arial" w:cs="Arial"/>
              </w:rPr>
              <w:t>y</w:t>
            </w:r>
            <w:r w:rsidR="0025490F">
              <w:rPr>
                <w:rFonts w:ascii="Arial" w:hAnsi="Arial" w:cs="Arial"/>
              </w:rPr>
              <w:t>.</w:t>
            </w:r>
          </w:p>
          <w:p w14:paraId="55CB2005" w14:textId="76CE0BF3" w:rsidR="00E67AA1" w:rsidRPr="00587DF1" w:rsidRDefault="00E67AA1" w:rsidP="005E0D57">
            <w:pPr>
              <w:pStyle w:val="ListParagraph"/>
              <w:numPr>
                <w:ilvl w:val="0"/>
                <w:numId w:val="25"/>
              </w:numPr>
              <w:spacing w:after="0"/>
              <w:rPr>
                <w:rFonts w:ascii="Arial" w:hAnsi="Arial" w:cs="Arial"/>
              </w:rPr>
            </w:pPr>
            <w:r w:rsidRPr="00587DF1">
              <w:rPr>
                <w:rFonts w:ascii="Arial" w:hAnsi="Arial" w:cs="Arial"/>
              </w:rPr>
              <w:t>Impact on social care</w:t>
            </w:r>
            <w:r w:rsidR="0025490F">
              <w:rPr>
                <w:rFonts w:ascii="Arial" w:hAnsi="Arial" w:cs="Arial"/>
              </w:rPr>
              <w:t>.</w:t>
            </w:r>
          </w:p>
          <w:p w14:paraId="6C9849C3" w14:textId="6D583DFB" w:rsidR="00E67AA1" w:rsidRPr="00587DF1" w:rsidRDefault="00E67AA1" w:rsidP="005E0D57">
            <w:pPr>
              <w:pStyle w:val="ListParagraph"/>
              <w:numPr>
                <w:ilvl w:val="0"/>
                <w:numId w:val="25"/>
              </w:numPr>
              <w:spacing w:after="0"/>
              <w:rPr>
                <w:rFonts w:ascii="Arial" w:hAnsi="Arial" w:cs="Arial"/>
              </w:rPr>
            </w:pPr>
            <w:r w:rsidRPr="00587DF1">
              <w:rPr>
                <w:rFonts w:ascii="Arial" w:hAnsi="Arial" w:cs="Arial"/>
              </w:rPr>
              <w:t>Hospital capacity</w:t>
            </w:r>
            <w:r w:rsidR="0025490F">
              <w:rPr>
                <w:rFonts w:ascii="Arial" w:hAnsi="Arial" w:cs="Arial"/>
              </w:rPr>
              <w:t>.</w:t>
            </w:r>
          </w:p>
          <w:p w14:paraId="2952B7E6" w14:textId="59AD6DC0" w:rsidR="00E67AA1" w:rsidRPr="00587DF1" w:rsidRDefault="00E67AA1" w:rsidP="005E0D57">
            <w:pPr>
              <w:pStyle w:val="ListParagraph"/>
              <w:numPr>
                <w:ilvl w:val="0"/>
                <w:numId w:val="25"/>
              </w:numPr>
              <w:spacing w:after="0"/>
              <w:rPr>
                <w:rFonts w:ascii="Arial" w:hAnsi="Arial" w:cs="Arial"/>
              </w:rPr>
            </w:pPr>
            <w:r w:rsidRPr="00587DF1">
              <w:rPr>
                <w:rFonts w:ascii="Arial" w:hAnsi="Arial" w:cs="Arial"/>
              </w:rPr>
              <w:t>Sufficient investment</w:t>
            </w:r>
            <w:r w:rsidR="0025490F">
              <w:rPr>
                <w:rFonts w:ascii="Arial" w:hAnsi="Arial" w:cs="Arial"/>
              </w:rPr>
              <w:t>.</w:t>
            </w:r>
          </w:p>
          <w:p w14:paraId="6565C858" w14:textId="77777777" w:rsidR="00E67AA1" w:rsidRPr="00587DF1" w:rsidRDefault="00E67AA1" w:rsidP="004D6D07">
            <w:pPr>
              <w:spacing w:after="0"/>
              <w:rPr>
                <w:rFonts w:ascii="Arial" w:hAnsi="Arial" w:cs="Arial"/>
              </w:rPr>
            </w:pPr>
            <w:r w:rsidRPr="00587DF1">
              <w:rPr>
                <w:rFonts w:ascii="Arial" w:hAnsi="Arial" w:cs="Arial"/>
              </w:rPr>
              <w:t>The ways in which this proposal complies with these are set out in the DMBC.</w:t>
            </w:r>
          </w:p>
        </w:tc>
      </w:tr>
      <w:tr w:rsidR="00E47761" w:rsidRPr="00587DF1" w14:paraId="7EEE85C4" w14:textId="77777777" w:rsidTr="004D6D07">
        <w:tc>
          <w:tcPr>
            <w:tcW w:w="2235" w:type="dxa"/>
          </w:tcPr>
          <w:p w14:paraId="50294314" w14:textId="77777777" w:rsidR="00E47761" w:rsidRPr="00587DF1" w:rsidRDefault="00E47761" w:rsidP="004D6D07">
            <w:pPr>
              <w:spacing w:after="0"/>
              <w:rPr>
                <w:rFonts w:ascii="Arial" w:hAnsi="Arial" w:cs="Arial"/>
              </w:rPr>
            </w:pPr>
            <w:r w:rsidRPr="00587DF1">
              <w:rPr>
                <w:rFonts w:ascii="Arial" w:hAnsi="Arial" w:cs="Arial"/>
              </w:rPr>
              <w:t xml:space="preserve">Medicity London Mayor’s Office, 2014 </w:t>
            </w:r>
          </w:p>
          <w:p w14:paraId="59FF369F" w14:textId="77777777" w:rsidR="00E47761" w:rsidRPr="00587DF1" w:rsidRDefault="00E47761" w:rsidP="004D6D07">
            <w:pPr>
              <w:spacing w:after="0"/>
              <w:rPr>
                <w:rFonts w:ascii="Arial" w:hAnsi="Arial" w:cs="Arial"/>
              </w:rPr>
            </w:pPr>
          </w:p>
          <w:p w14:paraId="2EDF623B" w14:textId="77777777" w:rsidR="00E47761" w:rsidRPr="00587DF1" w:rsidRDefault="00E47761" w:rsidP="004D6D07">
            <w:pPr>
              <w:spacing w:after="0"/>
              <w:rPr>
                <w:rFonts w:ascii="Arial" w:hAnsi="Arial" w:cs="Arial"/>
              </w:rPr>
            </w:pPr>
          </w:p>
        </w:tc>
        <w:tc>
          <w:tcPr>
            <w:tcW w:w="7683" w:type="dxa"/>
          </w:tcPr>
          <w:p w14:paraId="4AC83D8F" w14:textId="77777777" w:rsidR="00E47761" w:rsidRPr="00587DF1" w:rsidRDefault="00E47761" w:rsidP="004D6D07">
            <w:pPr>
              <w:spacing w:after="0"/>
              <w:rPr>
                <w:rFonts w:ascii="Arial" w:hAnsi="Arial" w:cs="Arial"/>
              </w:rPr>
            </w:pPr>
            <w:r w:rsidRPr="00587DF1">
              <w:rPr>
                <w:rFonts w:ascii="Arial" w:hAnsi="Arial" w:cs="Arial"/>
              </w:rPr>
              <w:lastRenderedPageBreak/>
              <w:t xml:space="preserve">A collaboration between the Mayor of London and the three academic health and science centres to promote life sciences’ investment and industry in the London region with the aim of being a world-leading, inter-connected region </w:t>
            </w:r>
            <w:r w:rsidRPr="00587DF1">
              <w:rPr>
                <w:rFonts w:ascii="Arial" w:hAnsi="Arial" w:cs="Arial"/>
              </w:rPr>
              <w:lastRenderedPageBreak/>
              <w:t>for life sciences research, development, manufacturing and commercialisation as a stimulus for greater economic growth.</w:t>
            </w:r>
          </w:p>
        </w:tc>
      </w:tr>
    </w:tbl>
    <w:p w14:paraId="1F8EA2D9" w14:textId="12715BC7" w:rsidR="00E47761" w:rsidRDefault="00E47761" w:rsidP="00E47761">
      <w:pPr>
        <w:rPr>
          <w:rFonts w:ascii="Arial" w:eastAsia="Arial" w:hAnsi="Arial" w:cs="Arial"/>
        </w:rPr>
      </w:pPr>
    </w:p>
    <w:p w14:paraId="3E0A0F03" w14:textId="77777777" w:rsidR="001249D5" w:rsidRPr="00587DF1" w:rsidRDefault="001249D5" w:rsidP="005E0D57">
      <w:pPr>
        <w:pStyle w:val="Heading2"/>
        <w:numPr>
          <w:ilvl w:val="1"/>
          <w:numId w:val="1"/>
        </w:numPr>
        <w:rPr>
          <w:rFonts w:ascii="Arial" w:eastAsia="Arial" w:hAnsi="Arial" w:cs="Arial"/>
        </w:rPr>
      </w:pPr>
      <w:bookmarkStart w:id="40" w:name="_Ref27744364"/>
      <w:bookmarkStart w:id="41" w:name="_Toc32842675"/>
      <w:r w:rsidRPr="00587DF1">
        <w:rPr>
          <w:rFonts w:ascii="Arial" w:eastAsia="Arial" w:hAnsi="Arial" w:cs="Arial"/>
        </w:rPr>
        <w:t>The St Pancras Redevelopment</w:t>
      </w:r>
      <w:bookmarkEnd w:id="40"/>
      <w:bookmarkEnd w:id="41"/>
    </w:p>
    <w:p w14:paraId="22EEB810" w14:textId="77777777" w:rsidR="001249D5" w:rsidRPr="00587DF1" w:rsidRDefault="001249D5" w:rsidP="004F4B79">
      <w:pPr>
        <w:spacing w:after="0"/>
        <w:rPr>
          <w:rFonts w:ascii="Arial" w:eastAsia="Arial" w:hAnsi="Arial" w:cs="Arial"/>
          <w:b/>
          <w:color w:val="000000"/>
        </w:rPr>
      </w:pPr>
    </w:p>
    <w:p w14:paraId="3B180CB6" w14:textId="07526AFB" w:rsidR="001249D5" w:rsidRPr="00587DF1" w:rsidRDefault="001249D5" w:rsidP="001249D5">
      <w:pPr>
        <w:rPr>
          <w:rFonts w:ascii="Arial" w:eastAsia="Times New Roman" w:hAnsi="Arial" w:cs="Arial"/>
          <w:lang w:eastAsia="en-US"/>
        </w:rPr>
      </w:pPr>
      <w:r w:rsidRPr="00587DF1">
        <w:rPr>
          <w:rFonts w:ascii="Arial" w:eastAsia="Times New Roman" w:hAnsi="Arial" w:cs="Arial"/>
          <w:lang w:eastAsia="en-US"/>
        </w:rPr>
        <w:t xml:space="preserve">Oriel is part of a wider programme of works in the NCL STP to make best use of the St Pancras site, maximising the capital value which can be realised and using it as an enabler to provide high quality facilities for </w:t>
      </w:r>
      <w:r w:rsidRPr="00587DF1">
        <w:rPr>
          <w:rFonts w:ascii="Arial" w:eastAsia="Arial" w:hAnsi="Arial" w:cs="Arial"/>
        </w:rPr>
        <w:t>Moorfields</w:t>
      </w:r>
      <w:r w:rsidRPr="00587DF1">
        <w:rPr>
          <w:rFonts w:ascii="Arial" w:eastAsia="Times New Roman" w:hAnsi="Arial" w:cs="Arial"/>
          <w:lang w:eastAsia="en-US"/>
        </w:rPr>
        <w:t xml:space="preserve">, UCL and </w:t>
      </w:r>
      <w:r w:rsidR="00C9177D">
        <w:rPr>
          <w:rFonts w:ascii="Arial" w:eastAsia="Times New Roman" w:hAnsi="Arial" w:cs="Arial"/>
          <w:lang w:eastAsia="en-US"/>
        </w:rPr>
        <w:t>Camden and Islington NHS Foundation Trust</w:t>
      </w:r>
      <w:r w:rsidRPr="00587DF1">
        <w:rPr>
          <w:rFonts w:ascii="Arial" w:eastAsia="Times New Roman" w:hAnsi="Arial" w:cs="Arial"/>
          <w:lang w:eastAsia="en-US"/>
        </w:rPr>
        <w:t xml:space="preserve"> (C&amp;I). This plan includes the following steps (further details of the programme included in section </w:t>
      </w:r>
      <w:r w:rsidR="00600E4C">
        <w:rPr>
          <w:rFonts w:ascii="Arial" w:eastAsia="Times New Roman" w:hAnsi="Arial" w:cs="Arial"/>
          <w:highlight w:val="yellow"/>
          <w:lang w:eastAsia="en-US"/>
        </w:rPr>
        <w:fldChar w:fldCharType="begin"/>
      </w:r>
      <w:r w:rsidR="00600E4C">
        <w:rPr>
          <w:rFonts w:ascii="Arial" w:eastAsia="Times New Roman" w:hAnsi="Arial" w:cs="Arial"/>
          <w:lang w:eastAsia="en-US"/>
        </w:rPr>
        <w:instrText xml:space="preserve"> REF _Ref27746178 \r \h </w:instrText>
      </w:r>
      <w:r w:rsidR="00600E4C">
        <w:rPr>
          <w:rFonts w:ascii="Arial" w:eastAsia="Times New Roman" w:hAnsi="Arial" w:cs="Arial"/>
          <w:highlight w:val="yellow"/>
          <w:lang w:eastAsia="en-US"/>
        </w:rPr>
      </w:r>
      <w:r w:rsidR="00600E4C">
        <w:rPr>
          <w:rFonts w:ascii="Arial" w:eastAsia="Times New Roman" w:hAnsi="Arial" w:cs="Arial"/>
          <w:highlight w:val="yellow"/>
          <w:lang w:eastAsia="en-US"/>
        </w:rPr>
        <w:fldChar w:fldCharType="separate"/>
      </w:r>
      <w:r w:rsidR="00A936CD">
        <w:rPr>
          <w:rFonts w:ascii="Arial" w:eastAsia="Times New Roman" w:hAnsi="Arial" w:cs="Arial"/>
          <w:lang w:eastAsia="en-US"/>
        </w:rPr>
        <w:t>8.5</w:t>
      </w:r>
      <w:r w:rsidR="00600E4C">
        <w:rPr>
          <w:rFonts w:ascii="Arial" w:eastAsia="Times New Roman" w:hAnsi="Arial" w:cs="Arial"/>
          <w:highlight w:val="yellow"/>
          <w:lang w:eastAsia="en-US"/>
        </w:rPr>
        <w:fldChar w:fldCharType="end"/>
      </w:r>
      <w:r w:rsidRPr="00587DF1">
        <w:rPr>
          <w:rFonts w:ascii="Arial" w:eastAsia="Times New Roman" w:hAnsi="Arial" w:cs="Arial"/>
          <w:lang w:eastAsia="en-US"/>
        </w:rPr>
        <w:t xml:space="preserve">, </w:t>
      </w:r>
      <w:r w:rsidR="00236908">
        <w:rPr>
          <w:rFonts w:ascii="Arial" w:eastAsia="Arial" w:hAnsi="Arial" w:cs="Arial"/>
          <w:bCs/>
          <w:color w:val="000000"/>
        </w:rPr>
        <w:t>Management Case</w:t>
      </w:r>
      <w:r w:rsidRPr="00587DF1">
        <w:rPr>
          <w:rFonts w:ascii="Arial" w:eastAsia="Times New Roman" w:hAnsi="Arial" w:cs="Arial"/>
          <w:lang w:eastAsia="en-US"/>
        </w:rPr>
        <w:t>)</w:t>
      </w:r>
      <w:r w:rsidR="008015AD">
        <w:rPr>
          <w:rFonts w:ascii="Arial" w:eastAsia="Times New Roman" w:hAnsi="Arial" w:cs="Arial"/>
          <w:lang w:eastAsia="en-US"/>
        </w:rPr>
        <w:t>:</w:t>
      </w:r>
    </w:p>
    <w:p w14:paraId="24AC8639" w14:textId="2EEF4A6E" w:rsidR="001249D5" w:rsidRPr="00587DF1" w:rsidRDefault="001249D5" w:rsidP="005E0D57">
      <w:pPr>
        <w:pStyle w:val="ListParagraph"/>
        <w:numPr>
          <w:ilvl w:val="0"/>
          <w:numId w:val="19"/>
        </w:numPr>
        <w:rPr>
          <w:rFonts w:ascii="Arial" w:eastAsia="Times New Roman" w:hAnsi="Arial" w:cs="Arial"/>
          <w:lang w:eastAsia="en-US"/>
        </w:rPr>
      </w:pPr>
      <w:r w:rsidRPr="00587DF1">
        <w:rPr>
          <w:rFonts w:ascii="Arial" w:eastAsia="Times New Roman" w:hAnsi="Arial" w:cs="Arial"/>
          <w:b/>
          <w:lang w:eastAsia="en-US"/>
        </w:rPr>
        <w:t xml:space="preserve">Whittington Health NHS </w:t>
      </w:r>
      <w:r w:rsidR="008015AD">
        <w:rPr>
          <w:rFonts w:ascii="Arial" w:eastAsia="Times New Roman" w:hAnsi="Arial" w:cs="Arial"/>
          <w:b/>
          <w:lang w:eastAsia="en-US"/>
        </w:rPr>
        <w:t>T</w:t>
      </w:r>
      <w:r w:rsidRPr="00587DF1">
        <w:rPr>
          <w:rFonts w:ascii="Arial" w:eastAsia="Times New Roman" w:hAnsi="Arial" w:cs="Arial"/>
          <w:b/>
          <w:lang w:eastAsia="en-US"/>
        </w:rPr>
        <w:t>rust</w:t>
      </w:r>
      <w:r w:rsidRPr="00587DF1">
        <w:rPr>
          <w:rFonts w:ascii="Arial" w:eastAsia="Times New Roman" w:hAnsi="Arial" w:cs="Arial"/>
          <w:lang w:eastAsia="en-US"/>
        </w:rPr>
        <w:t xml:space="preserve"> (WHT) are undertaking a series of non-clinical service relocations (due to complete </w:t>
      </w:r>
      <w:r w:rsidR="00481D35">
        <w:rPr>
          <w:rFonts w:ascii="Arial" w:eastAsia="Times New Roman" w:hAnsi="Arial" w:cs="Arial"/>
          <w:lang w:eastAsia="en-US"/>
        </w:rPr>
        <w:t>June</w:t>
      </w:r>
      <w:r w:rsidRPr="00587DF1">
        <w:rPr>
          <w:rFonts w:ascii="Arial" w:eastAsia="Times New Roman" w:hAnsi="Arial" w:cs="Arial"/>
          <w:lang w:eastAsia="en-US"/>
        </w:rPr>
        <w:t xml:space="preserve"> 2020) to vacate part of their site for use by Camden and Islington NHS Foundation trust (C&amp;I)</w:t>
      </w:r>
      <w:r w:rsidR="008015AD">
        <w:rPr>
          <w:rFonts w:ascii="Arial" w:eastAsia="Times New Roman" w:hAnsi="Arial" w:cs="Arial"/>
          <w:lang w:eastAsia="en-US"/>
        </w:rPr>
        <w:t>.</w:t>
      </w:r>
    </w:p>
    <w:p w14:paraId="09A605F6" w14:textId="4C1B0741" w:rsidR="001249D5" w:rsidRPr="00587DF1" w:rsidRDefault="001249D5" w:rsidP="005E0D57">
      <w:pPr>
        <w:pStyle w:val="ListParagraph"/>
        <w:numPr>
          <w:ilvl w:val="0"/>
          <w:numId w:val="19"/>
        </w:numPr>
        <w:rPr>
          <w:rFonts w:ascii="Arial" w:eastAsia="Times New Roman" w:hAnsi="Arial" w:cs="Arial"/>
          <w:lang w:eastAsia="en-US"/>
        </w:rPr>
      </w:pPr>
      <w:r w:rsidRPr="00587DF1">
        <w:rPr>
          <w:rFonts w:ascii="Arial" w:eastAsia="Times New Roman" w:hAnsi="Arial" w:cs="Arial"/>
          <w:b/>
          <w:lang w:eastAsia="en-US"/>
        </w:rPr>
        <w:t xml:space="preserve">Camden and Islington NHS Foundation </w:t>
      </w:r>
      <w:r w:rsidR="008015AD">
        <w:rPr>
          <w:rFonts w:ascii="Arial" w:eastAsia="Times New Roman" w:hAnsi="Arial" w:cs="Arial"/>
          <w:b/>
          <w:lang w:eastAsia="en-US"/>
        </w:rPr>
        <w:t>T</w:t>
      </w:r>
      <w:r w:rsidRPr="00587DF1">
        <w:rPr>
          <w:rFonts w:ascii="Arial" w:eastAsia="Times New Roman" w:hAnsi="Arial" w:cs="Arial"/>
          <w:b/>
          <w:lang w:eastAsia="en-US"/>
        </w:rPr>
        <w:t xml:space="preserve">rust </w:t>
      </w:r>
      <w:r w:rsidRPr="00587DF1">
        <w:rPr>
          <w:rFonts w:ascii="Arial" w:eastAsia="Times New Roman" w:hAnsi="Arial" w:cs="Arial"/>
          <w:lang w:eastAsia="en-US"/>
        </w:rPr>
        <w:t>have completed a public consultation and submitted an OBC for the re-location of inpatient beds from St Pancras Hospital to a new facility on the WHT site. Two new mental health community hubs will also be created in Islington and Camden, which will completely vacate the five-acre St Pancras site by July 2022</w:t>
      </w:r>
      <w:r w:rsidR="008015AD">
        <w:rPr>
          <w:rFonts w:ascii="Arial" w:eastAsia="Times New Roman" w:hAnsi="Arial" w:cs="Arial"/>
          <w:lang w:eastAsia="en-US"/>
        </w:rPr>
        <w:t>.</w:t>
      </w:r>
    </w:p>
    <w:p w14:paraId="413F6C42" w14:textId="20926299" w:rsidR="001249D5" w:rsidRPr="00587DF1" w:rsidRDefault="001249D5" w:rsidP="005E0D57">
      <w:pPr>
        <w:pStyle w:val="ListParagraph"/>
        <w:numPr>
          <w:ilvl w:val="0"/>
          <w:numId w:val="19"/>
        </w:numPr>
        <w:rPr>
          <w:rFonts w:ascii="Arial" w:eastAsia="Times New Roman" w:hAnsi="Arial" w:cs="Arial"/>
          <w:lang w:eastAsia="en-US"/>
        </w:rPr>
      </w:pPr>
      <w:r w:rsidRPr="00587DF1">
        <w:rPr>
          <w:rFonts w:ascii="Arial" w:eastAsia="Times New Roman" w:hAnsi="Arial" w:cs="Arial"/>
          <w:lang w:eastAsia="en-US"/>
        </w:rPr>
        <w:t xml:space="preserve">Up to two acres of the St Pancras site will be sold to </w:t>
      </w:r>
      <w:r w:rsidRPr="00587DF1">
        <w:rPr>
          <w:rFonts w:ascii="Arial" w:eastAsia="Times New Roman" w:hAnsi="Arial" w:cs="Arial"/>
          <w:b/>
          <w:lang w:eastAsia="en-US"/>
        </w:rPr>
        <w:t xml:space="preserve">Moorfields Eye Hospital NHS Foundation </w:t>
      </w:r>
      <w:r w:rsidR="008015AD">
        <w:rPr>
          <w:rFonts w:ascii="Arial" w:eastAsia="Times New Roman" w:hAnsi="Arial" w:cs="Arial"/>
          <w:b/>
          <w:lang w:eastAsia="en-US"/>
        </w:rPr>
        <w:t>T</w:t>
      </w:r>
      <w:r w:rsidRPr="00587DF1">
        <w:rPr>
          <w:rFonts w:ascii="Arial" w:eastAsia="Times New Roman" w:hAnsi="Arial" w:cs="Arial"/>
          <w:b/>
          <w:lang w:eastAsia="en-US"/>
        </w:rPr>
        <w:t>rust</w:t>
      </w:r>
      <w:r w:rsidRPr="00587DF1">
        <w:rPr>
          <w:rFonts w:ascii="Arial" w:eastAsia="Times New Roman" w:hAnsi="Arial" w:cs="Arial"/>
          <w:lang w:eastAsia="en-US"/>
        </w:rPr>
        <w:t xml:space="preserve"> for Oriel. C&amp;I</w:t>
      </w:r>
      <w:r w:rsidRPr="00587DF1" w:rsidDel="00D60A93">
        <w:rPr>
          <w:rFonts w:ascii="Arial" w:eastAsia="Times New Roman" w:hAnsi="Arial" w:cs="Arial"/>
          <w:lang w:eastAsia="en-US"/>
        </w:rPr>
        <w:t xml:space="preserve"> </w:t>
      </w:r>
      <w:r w:rsidRPr="00587DF1">
        <w:rPr>
          <w:rFonts w:ascii="Arial" w:eastAsia="Times New Roman" w:hAnsi="Arial" w:cs="Arial"/>
          <w:lang w:eastAsia="en-US"/>
        </w:rPr>
        <w:t xml:space="preserve">has appointed a development partner to optimise value from the remainder of the site. The trusts will work in partnership when developing plans for these sites, and submitting a town planning application (described in section </w:t>
      </w:r>
      <w:r w:rsidR="00600E4C">
        <w:rPr>
          <w:rFonts w:ascii="Arial" w:eastAsia="Times New Roman" w:hAnsi="Arial" w:cs="Arial"/>
          <w:lang w:eastAsia="en-US"/>
        </w:rPr>
        <w:fldChar w:fldCharType="begin"/>
      </w:r>
      <w:r w:rsidR="00600E4C">
        <w:rPr>
          <w:rFonts w:ascii="Arial" w:eastAsia="Times New Roman" w:hAnsi="Arial" w:cs="Arial"/>
          <w:lang w:eastAsia="en-US"/>
        </w:rPr>
        <w:instrText xml:space="preserve"> REF _Ref26374520 \r \h </w:instrText>
      </w:r>
      <w:r w:rsidR="00600E4C">
        <w:rPr>
          <w:rFonts w:ascii="Arial" w:eastAsia="Times New Roman" w:hAnsi="Arial" w:cs="Arial"/>
          <w:lang w:eastAsia="en-US"/>
        </w:rPr>
      </w:r>
      <w:r w:rsidR="00600E4C">
        <w:rPr>
          <w:rFonts w:ascii="Arial" w:eastAsia="Times New Roman" w:hAnsi="Arial" w:cs="Arial"/>
          <w:lang w:eastAsia="en-US"/>
        </w:rPr>
        <w:fldChar w:fldCharType="separate"/>
      </w:r>
      <w:r w:rsidR="00A936CD">
        <w:rPr>
          <w:rFonts w:ascii="Arial" w:eastAsia="Times New Roman" w:hAnsi="Arial" w:cs="Arial"/>
          <w:lang w:eastAsia="en-US"/>
        </w:rPr>
        <w:t>7.8</w:t>
      </w:r>
      <w:r w:rsidR="00600E4C">
        <w:rPr>
          <w:rFonts w:ascii="Arial" w:eastAsia="Times New Roman" w:hAnsi="Arial" w:cs="Arial"/>
          <w:lang w:eastAsia="en-US"/>
        </w:rPr>
        <w:fldChar w:fldCharType="end"/>
      </w:r>
      <w:r w:rsidRPr="00587DF1">
        <w:rPr>
          <w:rFonts w:ascii="Arial" w:eastAsia="Times New Roman" w:hAnsi="Arial" w:cs="Arial"/>
          <w:lang w:eastAsia="en-US"/>
        </w:rPr>
        <w:t>).</w:t>
      </w:r>
    </w:p>
    <w:p w14:paraId="3928FB2A" w14:textId="7AEACF87" w:rsidR="001249D5" w:rsidRPr="00587DF1" w:rsidRDefault="001249D5" w:rsidP="001249D5">
      <w:pPr>
        <w:rPr>
          <w:rFonts w:ascii="Arial" w:eastAsia="Times New Roman" w:hAnsi="Arial" w:cs="Arial"/>
          <w:lang w:eastAsia="en-US"/>
        </w:rPr>
      </w:pPr>
      <w:r w:rsidRPr="00587DF1">
        <w:rPr>
          <w:rFonts w:ascii="Arial" w:eastAsia="Times New Roman" w:hAnsi="Arial" w:cs="Arial"/>
          <w:lang w:eastAsia="en-US"/>
        </w:rPr>
        <w:t xml:space="preserve">This programme will realise significant benefits to patients across Camden and Islington through provision of high quality, modern facilities in more appropriate locations. It involves the release of significant amounts of high-value land to partially fund these developments. The impact of this wider project is set out in the </w:t>
      </w:r>
      <w:r w:rsidR="00236908">
        <w:rPr>
          <w:rFonts w:ascii="Arial" w:eastAsia="Times New Roman" w:hAnsi="Arial" w:cs="Arial"/>
          <w:lang w:eastAsia="en-US"/>
        </w:rPr>
        <w:t>C</w:t>
      </w:r>
      <w:r w:rsidRPr="00587DF1">
        <w:rPr>
          <w:rFonts w:ascii="Arial" w:eastAsia="Times New Roman" w:hAnsi="Arial" w:cs="Arial"/>
          <w:lang w:eastAsia="en-US"/>
        </w:rPr>
        <w:t xml:space="preserve">ommercial and </w:t>
      </w:r>
      <w:r w:rsidR="00236908">
        <w:rPr>
          <w:rFonts w:ascii="Arial" w:eastAsia="Times New Roman" w:hAnsi="Arial" w:cs="Arial"/>
          <w:lang w:eastAsia="en-US"/>
        </w:rPr>
        <w:t>M</w:t>
      </w:r>
      <w:r w:rsidRPr="00587DF1">
        <w:rPr>
          <w:rFonts w:ascii="Arial" w:eastAsia="Times New Roman" w:hAnsi="Arial" w:cs="Arial"/>
          <w:lang w:eastAsia="en-US"/>
        </w:rPr>
        <w:t xml:space="preserve">anagement </w:t>
      </w:r>
      <w:r w:rsidR="00236908">
        <w:rPr>
          <w:rFonts w:ascii="Arial" w:eastAsia="Times New Roman" w:hAnsi="Arial" w:cs="Arial"/>
          <w:lang w:eastAsia="en-US"/>
        </w:rPr>
        <w:t>C</w:t>
      </w:r>
      <w:r w:rsidRPr="00587DF1">
        <w:rPr>
          <w:rFonts w:ascii="Arial" w:eastAsia="Times New Roman" w:hAnsi="Arial" w:cs="Arial"/>
          <w:lang w:eastAsia="en-US"/>
        </w:rPr>
        <w:t>ases – as implementation of Oriel is linked to WHT and C&amp;I’s</w:t>
      </w:r>
      <w:r w:rsidRPr="00587DF1" w:rsidDel="00D60A93">
        <w:rPr>
          <w:rFonts w:ascii="Arial" w:eastAsia="Times New Roman" w:hAnsi="Arial" w:cs="Arial"/>
          <w:lang w:eastAsia="en-US"/>
        </w:rPr>
        <w:t xml:space="preserve"> </w:t>
      </w:r>
      <w:r w:rsidRPr="00587DF1">
        <w:rPr>
          <w:rFonts w:ascii="Arial" w:eastAsia="Times New Roman" w:hAnsi="Arial" w:cs="Arial"/>
          <w:lang w:eastAsia="en-US"/>
        </w:rPr>
        <w:t>town planning process, construction programmes and providing of vacant possession when planned.</w:t>
      </w:r>
    </w:p>
    <w:p w14:paraId="74385644" w14:textId="77777777" w:rsidR="001249D5" w:rsidRPr="00587DF1" w:rsidRDefault="001249D5" w:rsidP="004F4B79">
      <w:pPr>
        <w:spacing w:after="0"/>
        <w:rPr>
          <w:rFonts w:ascii="Arial" w:eastAsia="Arial" w:hAnsi="Arial" w:cs="Arial"/>
        </w:rPr>
      </w:pPr>
    </w:p>
    <w:p w14:paraId="30527101" w14:textId="77777777" w:rsidR="00E47761" w:rsidRPr="00587DF1" w:rsidRDefault="00E47761" w:rsidP="005E0D57">
      <w:pPr>
        <w:pStyle w:val="Heading2"/>
        <w:numPr>
          <w:ilvl w:val="1"/>
          <w:numId w:val="1"/>
        </w:numPr>
        <w:rPr>
          <w:rFonts w:ascii="Arial" w:eastAsia="Arial" w:hAnsi="Arial" w:cs="Arial"/>
        </w:rPr>
      </w:pPr>
      <w:bookmarkStart w:id="42" w:name="_Ref32561680"/>
      <w:bookmarkStart w:id="43" w:name="_Toc32842676"/>
      <w:r w:rsidRPr="00587DF1">
        <w:rPr>
          <w:rFonts w:ascii="Arial" w:eastAsia="Arial" w:hAnsi="Arial" w:cs="Arial"/>
        </w:rPr>
        <w:t>Local strategy</w:t>
      </w:r>
      <w:bookmarkEnd w:id="42"/>
      <w:bookmarkEnd w:id="43"/>
    </w:p>
    <w:p w14:paraId="65C60868" w14:textId="77777777" w:rsidR="00E47761" w:rsidRPr="00587DF1" w:rsidRDefault="00E47761" w:rsidP="00E47761">
      <w:pPr>
        <w:spacing w:after="0" w:line="240" w:lineRule="auto"/>
        <w:rPr>
          <w:rFonts w:ascii="Arial" w:eastAsia="Arial" w:hAnsi="Arial" w:cs="Arial"/>
          <w:color w:val="FF0000"/>
        </w:rPr>
      </w:pPr>
    </w:p>
    <w:p w14:paraId="793D5DD6" w14:textId="77777777" w:rsidR="00E47761" w:rsidRPr="00587DF1" w:rsidRDefault="00AD3E2C" w:rsidP="005E0D57">
      <w:pPr>
        <w:numPr>
          <w:ilvl w:val="2"/>
          <w:numId w:val="1"/>
        </w:numPr>
        <w:pBdr>
          <w:top w:val="nil"/>
          <w:left w:val="nil"/>
          <w:bottom w:val="nil"/>
          <w:right w:val="nil"/>
          <w:between w:val="nil"/>
        </w:pBdr>
        <w:spacing w:after="0" w:line="240" w:lineRule="auto"/>
        <w:ind w:left="567" w:hanging="567"/>
        <w:jc w:val="both"/>
        <w:rPr>
          <w:rFonts w:ascii="Arial" w:eastAsia="Arial" w:hAnsi="Arial" w:cs="Arial"/>
          <w:b/>
          <w:color w:val="000000"/>
        </w:rPr>
      </w:pPr>
      <w:r w:rsidRPr="00587DF1">
        <w:rPr>
          <w:rFonts w:ascii="Arial" w:eastAsia="Arial" w:hAnsi="Arial" w:cs="Arial"/>
          <w:b/>
        </w:rPr>
        <w:t>Moorfields</w:t>
      </w:r>
      <w:r w:rsidRPr="00587DF1">
        <w:rPr>
          <w:rFonts w:ascii="Arial" w:eastAsia="Arial" w:hAnsi="Arial" w:cs="Arial"/>
        </w:rPr>
        <w:t xml:space="preserve"> </w:t>
      </w:r>
      <w:r w:rsidR="00E47761" w:rsidRPr="00587DF1">
        <w:rPr>
          <w:rFonts w:ascii="Arial" w:eastAsia="Arial" w:hAnsi="Arial" w:cs="Arial"/>
          <w:b/>
          <w:color w:val="000000"/>
        </w:rPr>
        <w:t>organisational strategies</w:t>
      </w:r>
    </w:p>
    <w:p w14:paraId="4245D5B3" w14:textId="77777777" w:rsidR="00E47761" w:rsidRPr="00587DF1" w:rsidRDefault="00E47761" w:rsidP="00E47761">
      <w:pPr>
        <w:spacing w:after="0"/>
        <w:rPr>
          <w:rFonts w:ascii="Arial" w:eastAsia="Arial" w:hAnsi="Arial" w:cs="Arial"/>
        </w:rPr>
      </w:pPr>
    </w:p>
    <w:p w14:paraId="0C2410B8" w14:textId="77777777" w:rsidR="00E47761" w:rsidRPr="00587DF1" w:rsidRDefault="00E47761" w:rsidP="00E47761">
      <w:pPr>
        <w:spacing w:after="0"/>
        <w:rPr>
          <w:rFonts w:ascii="Arial" w:eastAsia="Arial" w:hAnsi="Arial" w:cs="Arial"/>
        </w:rPr>
      </w:pPr>
      <w:r w:rsidRPr="00587DF1">
        <w:rPr>
          <w:rFonts w:ascii="Arial" w:eastAsia="Arial" w:hAnsi="Arial" w:cs="Arial"/>
        </w:rPr>
        <w:t xml:space="preserve">Oriel also enables the delivery of key </w:t>
      </w:r>
      <w:r w:rsidR="00AD3E2C" w:rsidRPr="00587DF1">
        <w:rPr>
          <w:rFonts w:ascii="Arial" w:eastAsia="Arial" w:hAnsi="Arial" w:cs="Arial"/>
        </w:rPr>
        <w:t xml:space="preserve">Moorfields </w:t>
      </w:r>
      <w:r w:rsidRPr="00587DF1">
        <w:rPr>
          <w:rFonts w:ascii="Arial" w:eastAsia="Arial" w:hAnsi="Arial" w:cs="Arial"/>
        </w:rPr>
        <w:t xml:space="preserve">local strategies, driven by the organisation’s core belief that ‘People’s Sight Matters’, and its three core pillars of excellence; clinical services, research and education. The table below details the </w:t>
      </w:r>
      <w:r w:rsidR="001936F8" w:rsidRPr="00587DF1">
        <w:rPr>
          <w:rFonts w:ascii="Arial" w:eastAsia="Arial" w:hAnsi="Arial" w:cs="Arial"/>
        </w:rPr>
        <w:t xml:space="preserve">Moorfields </w:t>
      </w:r>
      <w:r w:rsidRPr="00587DF1">
        <w:rPr>
          <w:rFonts w:ascii="Arial" w:eastAsia="Arial" w:hAnsi="Arial" w:cs="Arial"/>
        </w:rPr>
        <w:t>strategies used to inform proposals for Oriel.</w:t>
      </w:r>
    </w:p>
    <w:p w14:paraId="5EA20A68" w14:textId="77777777" w:rsidR="001936F8" w:rsidRPr="00587DF1" w:rsidRDefault="001936F8" w:rsidP="00E47761">
      <w:pPr>
        <w:spacing w:after="0"/>
        <w:rPr>
          <w:rFonts w:ascii="Arial" w:eastAsia="Arial" w:hAnsi="Arial" w:cs="Arial"/>
        </w:rPr>
      </w:pPr>
    </w:p>
    <w:p w14:paraId="09760E07" w14:textId="77777777" w:rsidR="001936F8" w:rsidRPr="00587DF1" w:rsidRDefault="001936F8" w:rsidP="00E47761">
      <w:pPr>
        <w:spacing w:after="0"/>
        <w:rPr>
          <w:rFonts w:ascii="Arial" w:eastAsia="Arial" w:hAnsi="Arial" w:cs="Arial"/>
        </w:rPr>
      </w:pPr>
      <w:r w:rsidRPr="00587DF1">
        <w:rPr>
          <w:rFonts w:ascii="Arial" w:eastAsia="Arial" w:hAnsi="Arial" w:cs="Arial"/>
        </w:rPr>
        <w:t>Oriel is a key enabler to Moorfields achieving its ambitions of delivering outstanding clinical care, patient experience and ensuring it can retain its position as a world-leading centre for ophthalmology well into the future.</w:t>
      </w:r>
    </w:p>
    <w:p w14:paraId="1104D8A5" w14:textId="77777777" w:rsidR="00E47761" w:rsidRPr="00587DF1" w:rsidRDefault="00E47761" w:rsidP="00E47761">
      <w:pPr>
        <w:spacing w:after="0"/>
        <w:rPr>
          <w:rFonts w:ascii="Arial" w:eastAsia="Arial" w:hAnsi="Arial" w:cs="Arial"/>
          <w:i/>
          <w:sz w:val="20"/>
        </w:rPr>
      </w:pPr>
    </w:p>
    <w:p w14:paraId="01F7EAF7" w14:textId="4831F0CB" w:rsidR="00B37104" w:rsidRDefault="00B37104" w:rsidP="00B37104">
      <w:pPr>
        <w:pStyle w:val="Caption"/>
      </w:pPr>
      <w:r>
        <w:lastRenderedPageBreak/>
        <w:t xml:space="preserve">Table </w:t>
      </w:r>
      <w:r>
        <w:fldChar w:fldCharType="begin"/>
      </w:r>
      <w:r>
        <w:instrText xml:space="preserve"> SEQ Table \* ARABIC </w:instrText>
      </w:r>
      <w:r>
        <w:fldChar w:fldCharType="separate"/>
      </w:r>
      <w:r w:rsidR="00A936CD">
        <w:rPr>
          <w:noProof/>
        </w:rPr>
        <w:t>6</w:t>
      </w:r>
      <w:r>
        <w:fldChar w:fldCharType="end"/>
      </w:r>
      <w:r>
        <w:t xml:space="preserve">: </w:t>
      </w:r>
      <w:r w:rsidRPr="004F6A2C">
        <w:rPr>
          <w:b w:val="0"/>
          <w:bCs w:val="0"/>
        </w:rPr>
        <w:t>Summary of Moorfields strategies relevant to Oriel</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6974"/>
      </w:tblGrid>
      <w:tr w:rsidR="0025490F" w:rsidRPr="0025490F" w14:paraId="1A8094B3" w14:textId="77777777" w:rsidTr="0025490F">
        <w:trPr>
          <w:trHeight w:val="95"/>
        </w:trPr>
        <w:tc>
          <w:tcPr>
            <w:tcW w:w="2660" w:type="dxa"/>
            <w:shd w:val="clear" w:color="auto" w:fill="4F81BD"/>
          </w:tcPr>
          <w:p w14:paraId="1EFDC1FA" w14:textId="77777777" w:rsidR="00E47761" w:rsidRPr="0025490F" w:rsidRDefault="00E47761" w:rsidP="00E47761">
            <w:pPr>
              <w:autoSpaceDE w:val="0"/>
              <w:autoSpaceDN w:val="0"/>
              <w:adjustRightInd w:val="0"/>
              <w:spacing w:after="0" w:line="240" w:lineRule="auto"/>
              <w:rPr>
                <w:rFonts w:ascii="Arial" w:eastAsiaTheme="minorHAnsi" w:hAnsi="Arial" w:cs="Arial"/>
                <w:b/>
                <w:bCs/>
                <w:color w:val="FFFFFF" w:themeColor="background1"/>
                <w:lang w:eastAsia="en-US"/>
              </w:rPr>
            </w:pPr>
            <w:r w:rsidRPr="0025490F">
              <w:rPr>
                <w:rFonts w:ascii="Arial" w:eastAsiaTheme="minorHAnsi" w:hAnsi="Arial" w:cs="Arial"/>
                <w:b/>
                <w:bCs/>
                <w:color w:val="FFFFFF" w:themeColor="background1"/>
                <w:lang w:eastAsia="en-US"/>
              </w:rPr>
              <w:t>Strategy</w:t>
            </w:r>
          </w:p>
        </w:tc>
        <w:tc>
          <w:tcPr>
            <w:tcW w:w="6974" w:type="dxa"/>
            <w:shd w:val="clear" w:color="auto" w:fill="4F81BD"/>
          </w:tcPr>
          <w:p w14:paraId="080748CD" w14:textId="77777777" w:rsidR="00E47761" w:rsidRPr="0025490F" w:rsidRDefault="00E47761" w:rsidP="00E47761">
            <w:pPr>
              <w:spacing w:after="0"/>
              <w:rPr>
                <w:rFonts w:ascii="Arial" w:eastAsia="Arial" w:hAnsi="Arial" w:cs="Arial"/>
                <w:b/>
                <w:color w:val="FFFFFF" w:themeColor="background1"/>
              </w:rPr>
            </w:pPr>
            <w:r w:rsidRPr="0025490F">
              <w:rPr>
                <w:rFonts w:ascii="Arial" w:eastAsia="Arial" w:hAnsi="Arial" w:cs="Arial"/>
                <w:b/>
                <w:color w:val="FFFFFF" w:themeColor="background1"/>
              </w:rPr>
              <w:t>Description</w:t>
            </w:r>
          </w:p>
        </w:tc>
      </w:tr>
      <w:tr w:rsidR="001249D5" w:rsidRPr="00587DF1" w14:paraId="4692972A" w14:textId="77777777" w:rsidTr="00A5379E">
        <w:trPr>
          <w:trHeight w:val="95"/>
        </w:trPr>
        <w:tc>
          <w:tcPr>
            <w:tcW w:w="2660" w:type="dxa"/>
          </w:tcPr>
          <w:p w14:paraId="51D561A8" w14:textId="77777777" w:rsidR="001249D5" w:rsidRPr="00587DF1" w:rsidRDefault="001249D5" w:rsidP="001249D5">
            <w:pPr>
              <w:rPr>
                <w:rFonts w:ascii="Arial" w:hAnsi="Arial" w:cs="Arial"/>
                <w:bCs/>
              </w:rPr>
            </w:pPr>
            <w:r w:rsidRPr="00587DF1">
              <w:rPr>
                <w:rFonts w:ascii="Arial" w:hAnsi="Arial" w:cs="Arial"/>
                <w:bCs/>
              </w:rPr>
              <w:t>Our Vision of excellence, 2017-2022</w:t>
            </w:r>
          </w:p>
        </w:tc>
        <w:tc>
          <w:tcPr>
            <w:tcW w:w="6974" w:type="dxa"/>
          </w:tcPr>
          <w:p w14:paraId="02104094" w14:textId="07EEBB37" w:rsidR="001249D5" w:rsidRPr="00587DF1" w:rsidRDefault="001249D5" w:rsidP="001249D5">
            <w:pPr>
              <w:spacing w:after="0"/>
              <w:rPr>
                <w:rFonts w:ascii="Arial" w:eastAsia="Arial" w:hAnsi="Arial" w:cs="Arial"/>
              </w:rPr>
            </w:pPr>
            <w:r w:rsidRPr="00587DF1">
              <w:rPr>
                <w:rFonts w:ascii="Arial" w:eastAsia="Arial" w:hAnsi="Arial" w:cs="Arial"/>
              </w:rPr>
              <w:t>The Moorfields organisational strategy sets out Moorfields’ aim to provide the best care for patients now and in the future, and was developed with input from staff, patients and key partners. The strategy is based on 3 key pillars</w:t>
            </w:r>
            <w:r w:rsidR="00D94CF3">
              <w:rPr>
                <w:rFonts w:ascii="Arial" w:eastAsia="Arial" w:hAnsi="Arial" w:cs="Arial"/>
              </w:rPr>
              <w:t>:</w:t>
            </w:r>
          </w:p>
          <w:p w14:paraId="448A1960" w14:textId="6C90ED0B" w:rsidR="001249D5" w:rsidRPr="00587DF1" w:rsidRDefault="001249D5" w:rsidP="005E0D57">
            <w:pPr>
              <w:pStyle w:val="ListParagraph"/>
              <w:numPr>
                <w:ilvl w:val="0"/>
                <w:numId w:val="14"/>
              </w:numPr>
              <w:spacing w:after="0"/>
              <w:rPr>
                <w:rFonts w:ascii="Arial" w:eastAsia="Arial" w:hAnsi="Arial" w:cs="Arial"/>
              </w:rPr>
            </w:pPr>
            <w:r w:rsidRPr="00587DF1">
              <w:rPr>
                <w:rFonts w:ascii="Arial" w:eastAsia="Arial" w:hAnsi="Arial" w:cs="Arial"/>
              </w:rPr>
              <w:t>Clinical services</w:t>
            </w:r>
            <w:r w:rsidR="00D94CF3">
              <w:rPr>
                <w:rFonts w:ascii="Arial" w:eastAsia="Arial" w:hAnsi="Arial" w:cs="Arial"/>
              </w:rPr>
              <w:t>.</w:t>
            </w:r>
          </w:p>
          <w:p w14:paraId="00FC46C8" w14:textId="0EE2A474" w:rsidR="001249D5" w:rsidRPr="00587DF1" w:rsidRDefault="001249D5" w:rsidP="005E0D57">
            <w:pPr>
              <w:pStyle w:val="ListParagraph"/>
              <w:numPr>
                <w:ilvl w:val="0"/>
                <w:numId w:val="14"/>
              </w:numPr>
              <w:spacing w:after="0"/>
              <w:rPr>
                <w:rFonts w:ascii="Arial" w:eastAsia="Arial" w:hAnsi="Arial" w:cs="Arial"/>
              </w:rPr>
            </w:pPr>
            <w:r w:rsidRPr="00587DF1">
              <w:rPr>
                <w:rFonts w:ascii="Arial" w:eastAsia="Arial" w:hAnsi="Arial" w:cs="Arial"/>
              </w:rPr>
              <w:t>Research</w:t>
            </w:r>
            <w:r w:rsidR="00D94CF3">
              <w:rPr>
                <w:rFonts w:ascii="Arial" w:eastAsia="Arial" w:hAnsi="Arial" w:cs="Arial"/>
              </w:rPr>
              <w:t>.</w:t>
            </w:r>
          </w:p>
          <w:p w14:paraId="69341509" w14:textId="27CBA785" w:rsidR="001249D5" w:rsidRPr="00587DF1" w:rsidRDefault="001249D5" w:rsidP="005E0D57">
            <w:pPr>
              <w:pStyle w:val="ListParagraph"/>
              <w:numPr>
                <w:ilvl w:val="0"/>
                <w:numId w:val="14"/>
              </w:numPr>
              <w:spacing w:after="0"/>
              <w:rPr>
                <w:rFonts w:ascii="Arial" w:eastAsia="Arial" w:hAnsi="Arial" w:cs="Arial"/>
              </w:rPr>
            </w:pPr>
            <w:r w:rsidRPr="00587DF1">
              <w:rPr>
                <w:rFonts w:ascii="Arial" w:eastAsia="Arial" w:hAnsi="Arial" w:cs="Arial"/>
              </w:rPr>
              <w:t>Education</w:t>
            </w:r>
            <w:r w:rsidR="00D94CF3">
              <w:rPr>
                <w:rFonts w:ascii="Arial" w:eastAsia="Arial" w:hAnsi="Arial" w:cs="Arial"/>
              </w:rPr>
              <w:t>.</w:t>
            </w:r>
          </w:p>
          <w:p w14:paraId="0E17E4D2" w14:textId="77777777" w:rsidR="00A5379E" w:rsidRPr="00587DF1" w:rsidRDefault="00A5379E" w:rsidP="00A5379E">
            <w:pPr>
              <w:spacing w:after="0"/>
              <w:rPr>
                <w:rFonts w:ascii="Arial" w:eastAsia="Arial" w:hAnsi="Arial" w:cs="Arial"/>
              </w:rPr>
            </w:pPr>
            <w:r w:rsidRPr="00587DF1">
              <w:rPr>
                <w:rFonts w:ascii="Arial" w:eastAsia="Arial" w:hAnsi="Arial" w:cs="Arial"/>
              </w:rPr>
              <w:t xml:space="preserve">Moorfields’ objectives are as follows: </w:t>
            </w:r>
          </w:p>
          <w:p w14:paraId="45B21678" w14:textId="256EAAD5" w:rsidR="00A5379E" w:rsidRPr="00587DF1" w:rsidRDefault="00A5379E" w:rsidP="00A5379E">
            <w:pPr>
              <w:spacing w:after="0"/>
              <w:rPr>
                <w:rFonts w:ascii="Arial" w:eastAsia="Arial" w:hAnsi="Arial" w:cs="Arial"/>
              </w:rPr>
            </w:pPr>
            <w:r w:rsidRPr="00587DF1">
              <w:rPr>
                <w:rFonts w:ascii="Arial" w:eastAsia="Arial" w:hAnsi="Arial" w:cs="Arial"/>
              </w:rPr>
              <w:t>Ambitions</w:t>
            </w:r>
            <w:r w:rsidR="00D94CF3">
              <w:rPr>
                <w:rFonts w:ascii="Arial" w:eastAsia="Arial" w:hAnsi="Arial" w:cs="Arial"/>
              </w:rPr>
              <w:t>:</w:t>
            </w:r>
          </w:p>
          <w:p w14:paraId="5C14CCB0" w14:textId="77777777" w:rsidR="00A5379E" w:rsidRPr="00587DF1" w:rsidRDefault="00A5379E" w:rsidP="005E0D57">
            <w:pPr>
              <w:numPr>
                <w:ilvl w:val="0"/>
                <w:numId w:val="2"/>
              </w:numPr>
              <w:pBdr>
                <w:top w:val="nil"/>
                <w:left w:val="nil"/>
                <w:bottom w:val="nil"/>
                <w:right w:val="nil"/>
                <w:between w:val="nil"/>
              </w:pBdr>
              <w:spacing w:after="0"/>
              <w:rPr>
                <w:rFonts w:ascii="Arial" w:hAnsi="Arial" w:cs="Arial"/>
                <w:color w:val="000000"/>
              </w:rPr>
            </w:pPr>
            <w:r w:rsidRPr="00587DF1">
              <w:rPr>
                <w:rFonts w:ascii="Arial" w:eastAsia="Arial" w:hAnsi="Arial" w:cs="Arial"/>
                <w:color w:val="000000"/>
              </w:rPr>
              <w:t>We will pioneer patient-centred care with exceptional clinical outcomes and excellent patient experience.</w:t>
            </w:r>
          </w:p>
          <w:p w14:paraId="24FD66A3" w14:textId="77777777" w:rsidR="00A5379E" w:rsidRPr="00587DF1" w:rsidRDefault="00A5379E" w:rsidP="005E0D57">
            <w:pPr>
              <w:numPr>
                <w:ilvl w:val="0"/>
                <w:numId w:val="2"/>
              </w:numPr>
              <w:pBdr>
                <w:top w:val="nil"/>
                <w:left w:val="nil"/>
                <w:bottom w:val="nil"/>
                <w:right w:val="nil"/>
                <w:between w:val="nil"/>
              </w:pBdr>
              <w:spacing w:after="0"/>
              <w:rPr>
                <w:rFonts w:ascii="Arial" w:hAnsi="Arial" w:cs="Arial"/>
                <w:color w:val="000000"/>
              </w:rPr>
            </w:pPr>
            <w:r w:rsidRPr="00587DF1">
              <w:rPr>
                <w:rFonts w:ascii="Arial" w:eastAsia="Arial" w:hAnsi="Arial" w:cs="Arial"/>
                <w:color w:val="000000"/>
              </w:rPr>
              <w:t>We will be at the leading edge of research, making new discoveries with our partners and patients.</w:t>
            </w:r>
          </w:p>
          <w:p w14:paraId="285747DE" w14:textId="77777777" w:rsidR="00A5379E" w:rsidRPr="00587DF1" w:rsidRDefault="00A5379E" w:rsidP="005E0D57">
            <w:pPr>
              <w:numPr>
                <w:ilvl w:val="0"/>
                <w:numId w:val="2"/>
              </w:numPr>
              <w:pBdr>
                <w:top w:val="nil"/>
                <w:left w:val="nil"/>
                <w:bottom w:val="nil"/>
                <w:right w:val="nil"/>
                <w:between w:val="nil"/>
              </w:pBdr>
              <w:spacing w:after="0"/>
              <w:rPr>
                <w:rFonts w:ascii="Arial" w:hAnsi="Arial" w:cs="Arial"/>
                <w:color w:val="000000"/>
              </w:rPr>
            </w:pPr>
            <w:r w:rsidRPr="00587DF1">
              <w:rPr>
                <w:rFonts w:ascii="Arial" w:eastAsia="Arial" w:hAnsi="Arial" w:cs="Arial"/>
                <w:color w:val="000000"/>
              </w:rPr>
              <w:t>We will innovate by sharing our knowledge and developing tomorrow’s experts.</w:t>
            </w:r>
          </w:p>
          <w:p w14:paraId="376CE285" w14:textId="7DAAA59A" w:rsidR="00A5379E" w:rsidRPr="00A5379E" w:rsidRDefault="00A5379E" w:rsidP="005E0D57">
            <w:pPr>
              <w:numPr>
                <w:ilvl w:val="0"/>
                <w:numId w:val="2"/>
              </w:numPr>
              <w:pBdr>
                <w:top w:val="nil"/>
                <w:left w:val="nil"/>
                <w:bottom w:val="nil"/>
                <w:right w:val="nil"/>
                <w:between w:val="nil"/>
              </w:pBdr>
              <w:spacing w:after="0"/>
              <w:rPr>
                <w:rFonts w:ascii="Arial" w:hAnsi="Arial" w:cs="Arial"/>
                <w:color w:val="000000"/>
              </w:rPr>
            </w:pPr>
            <w:r w:rsidRPr="00587DF1">
              <w:rPr>
                <w:rFonts w:ascii="Arial" w:eastAsia="Arial" w:hAnsi="Arial" w:cs="Arial"/>
                <w:color w:val="000000"/>
              </w:rPr>
              <w:t>We will collaborate to shape national policy.</w:t>
            </w:r>
          </w:p>
          <w:p w14:paraId="673ADE1B" w14:textId="16A0018E" w:rsidR="00A5379E" w:rsidRPr="00587DF1" w:rsidRDefault="00A5379E" w:rsidP="00A5379E">
            <w:pPr>
              <w:spacing w:after="0"/>
              <w:rPr>
                <w:rFonts w:ascii="Arial" w:eastAsia="Arial" w:hAnsi="Arial" w:cs="Arial"/>
              </w:rPr>
            </w:pPr>
            <w:r w:rsidRPr="00587DF1">
              <w:rPr>
                <w:rFonts w:ascii="Arial" w:eastAsia="Arial" w:hAnsi="Arial" w:cs="Arial"/>
              </w:rPr>
              <w:t>Enablers</w:t>
            </w:r>
            <w:r w:rsidR="00D94CF3">
              <w:rPr>
                <w:rFonts w:ascii="Arial" w:eastAsia="Arial" w:hAnsi="Arial" w:cs="Arial"/>
              </w:rPr>
              <w:t>:</w:t>
            </w:r>
          </w:p>
          <w:p w14:paraId="5867B12F" w14:textId="77777777" w:rsidR="00A5379E" w:rsidRPr="00587DF1" w:rsidRDefault="00A5379E" w:rsidP="005E0D57">
            <w:pPr>
              <w:numPr>
                <w:ilvl w:val="0"/>
                <w:numId w:val="2"/>
              </w:numPr>
              <w:pBdr>
                <w:top w:val="nil"/>
                <w:left w:val="nil"/>
                <w:bottom w:val="nil"/>
                <w:right w:val="nil"/>
                <w:between w:val="nil"/>
              </w:pBdr>
              <w:spacing w:after="0"/>
              <w:rPr>
                <w:rFonts w:ascii="Arial" w:hAnsi="Arial" w:cs="Arial"/>
                <w:color w:val="000000"/>
              </w:rPr>
            </w:pPr>
            <w:r w:rsidRPr="00587DF1">
              <w:rPr>
                <w:rFonts w:ascii="Arial" w:eastAsia="Arial" w:hAnsi="Arial" w:cs="Arial"/>
                <w:color w:val="000000"/>
              </w:rPr>
              <w:t>We will attract, retain and develop great people.</w:t>
            </w:r>
          </w:p>
          <w:p w14:paraId="1D055030" w14:textId="77777777" w:rsidR="00A5379E" w:rsidRPr="00587DF1" w:rsidRDefault="00A5379E" w:rsidP="005E0D57">
            <w:pPr>
              <w:numPr>
                <w:ilvl w:val="0"/>
                <w:numId w:val="2"/>
              </w:numPr>
              <w:pBdr>
                <w:top w:val="nil"/>
                <w:left w:val="nil"/>
                <w:bottom w:val="nil"/>
                <w:right w:val="nil"/>
                <w:between w:val="nil"/>
              </w:pBdr>
              <w:spacing w:after="0"/>
              <w:rPr>
                <w:rFonts w:ascii="Arial" w:hAnsi="Arial" w:cs="Arial"/>
                <w:color w:val="000000"/>
              </w:rPr>
            </w:pPr>
            <w:r w:rsidRPr="00587DF1">
              <w:rPr>
                <w:rFonts w:ascii="Arial" w:eastAsia="Arial" w:hAnsi="Arial" w:cs="Arial"/>
                <w:color w:val="000000"/>
              </w:rPr>
              <w:t>We will have an infrastructure and culture that supports innovation.</w:t>
            </w:r>
          </w:p>
          <w:p w14:paraId="6FE1FB6E" w14:textId="77777777" w:rsidR="00A5379E" w:rsidRPr="00587DF1" w:rsidRDefault="00A5379E" w:rsidP="005E0D57">
            <w:pPr>
              <w:numPr>
                <w:ilvl w:val="0"/>
                <w:numId w:val="2"/>
              </w:numPr>
              <w:pBdr>
                <w:top w:val="nil"/>
                <w:left w:val="nil"/>
                <w:bottom w:val="nil"/>
                <w:right w:val="nil"/>
                <w:between w:val="nil"/>
              </w:pBdr>
              <w:spacing w:after="0"/>
              <w:rPr>
                <w:rFonts w:ascii="Arial" w:hAnsi="Arial" w:cs="Arial"/>
                <w:color w:val="000000"/>
              </w:rPr>
            </w:pPr>
            <w:r w:rsidRPr="00587DF1">
              <w:rPr>
                <w:rFonts w:ascii="Arial" w:eastAsia="Arial" w:hAnsi="Arial" w:cs="Arial"/>
                <w:color w:val="000000"/>
              </w:rPr>
              <w:t>We will have a sustainable financial model.</w:t>
            </w:r>
          </w:p>
          <w:p w14:paraId="4B779B6E" w14:textId="77777777" w:rsidR="001249D5" w:rsidRPr="00587DF1" w:rsidRDefault="00A5379E" w:rsidP="005E0D57">
            <w:pPr>
              <w:numPr>
                <w:ilvl w:val="0"/>
                <w:numId w:val="2"/>
              </w:numPr>
              <w:spacing w:after="0"/>
              <w:rPr>
                <w:rFonts w:ascii="Arial" w:eastAsia="Arial" w:hAnsi="Arial" w:cs="Arial"/>
                <w:bCs/>
              </w:rPr>
            </w:pPr>
            <w:bookmarkStart w:id="44" w:name="_Hlk30774488"/>
            <w:r w:rsidRPr="00587DF1">
              <w:rPr>
                <w:rFonts w:ascii="Arial" w:eastAsia="Arial" w:hAnsi="Arial" w:cs="Arial"/>
                <w:color w:val="000000"/>
              </w:rPr>
              <w:t>We will be enterprising to support and fund our ambitions</w:t>
            </w:r>
            <w:bookmarkEnd w:id="44"/>
          </w:p>
        </w:tc>
      </w:tr>
      <w:tr w:rsidR="00721330" w:rsidRPr="00587DF1" w14:paraId="12A52D43" w14:textId="77777777" w:rsidTr="00A5379E">
        <w:trPr>
          <w:trHeight w:val="95"/>
        </w:trPr>
        <w:tc>
          <w:tcPr>
            <w:tcW w:w="2660" w:type="dxa"/>
          </w:tcPr>
          <w:p w14:paraId="00BDF5B0" w14:textId="0B9FCD05" w:rsidR="00721330" w:rsidRPr="00587DF1" w:rsidRDefault="001D702B" w:rsidP="00E47761">
            <w:pPr>
              <w:autoSpaceDE w:val="0"/>
              <w:autoSpaceDN w:val="0"/>
              <w:adjustRightInd w:val="0"/>
              <w:spacing w:after="0" w:line="240" w:lineRule="auto"/>
              <w:rPr>
                <w:rFonts w:ascii="Arial" w:eastAsiaTheme="minorHAnsi" w:hAnsi="Arial" w:cs="Arial"/>
                <w:lang w:eastAsia="en-US"/>
              </w:rPr>
            </w:pPr>
            <w:r w:rsidRPr="00587DF1">
              <w:rPr>
                <w:rFonts w:ascii="Arial" w:eastAsiaTheme="minorHAnsi" w:hAnsi="Arial" w:cs="Arial"/>
                <w:lang w:eastAsia="en-US"/>
              </w:rPr>
              <w:t>Trust w</w:t>
            </w:r>
            <w:r w:rsidR="00721330" w:rsidRPr="00587DF1">
              <w:rPr>
                <w:rFonts w:ascii="Arial" w:eastAsiaTheme="minorHAnsi" w:hAnsi="Arial" w:cs="Arial"/>
                <w:lang w:eastAsia="en-US"/>
              </w:rPr>
              <w:t>orkforce strategy</w:t>
            </w:r>
            <w:r w:rsidR="00481D35">
              <w:rPr>
                <w:rFonts w:ascii="Arial" w:eastAsiaTheme="minorHAnsi" w:hAnsi="Arial" w:cs="Arial"/>
                <w:lang w:eastAsia="en-US"/>
              </w:rPr>
              <w:t xml:space="preserve"> (2019)</w:t>
            </w:r>
          </w:p>
        </w:tc>
        <w:tc>
          <w:tcPr>
            <w:tcW w:w="6974" w:type="dxa"/>
          </w:tcPr>
          <w:p w14:paraId="128702BC" w14:textId="77777777" w:rsidR="00C430AE" w:rsidRPr="004F4B79" w:rsidRDefault="00C430AE" w:rsidP="00C430AE">
            <w:pPr>
              <w:pBdr>
                <w:top w:val="nil"/>
                <w:left w:val="nil"/>
                <w:bottom w:val="nil"/>
                <w:right w:val="nil"/>
                <w:between w:val="nil"/>
              </w:pBdr>
              <w:tabs>
                <w:tab w:val="left" w:pos="567"/>
              </w:tabs>
              <w:spacing w:after="0"/>
              <w:rPr>
                <w:rFonts w:ascii="Arial" w:eastAsia="Arial" w:hAnsi="Arial" w:cs="Arial"/>
                <w:bCs/>
                <w:color w:val="000000"/>
              </w:rPr>
            </w:pPr>
            <w:r>
              <w:rPr>
                <w:rFonts w:ascii="Arial" w:eastAsia="Arial" w:hAnsi="Arial" w:cs="Arial"/>
                <w:bCs/>
                <w:color w:val="000000"/>
              </w:rPr>
              <w:t xml:space="preserve">The </w:t>
            </w:r>
            <w:r w:rsidRPr="00587DF1">
              <w:rPr>
                <w:rFonts w:ascii="Arial" w:eastAsia="Arial" w:hAnsi="Arial" w:cs="Arial"/>
                <w:bCs/>
                <w:color w:val="000000"/>
              </w:rPr>
              <w:t>organisational workforce strategy</w:t>
            </w:r>
            <w:r>
              <w:rPr>
                <w:rFonts w:ascii="Arial" w:eastAsia="Arial" w:hAnsi="Arial" w:cs="Arial"/>
                <w:bCs/>
                <w:color w:val="000000"/>
              </w:rPr>
              <w:t xml:space="preserve"> considers the following </w:t>
            </w:r>
            <w:r w:rsidRPr="00587DF1">
              <w:rPr>
                <w:rFonts w:ascii="Arial" w:eastAsia="Arial" w:hAnsi="Arial" w:cs="Arial"/>
                <w:bCs/>
                <w:color w:val="000000"/>
              </w:rPr>
              <w:t xml:space="preserve">questions, </w:t>
            </w:r>
            <w:r w:rsidRPr="004F4B79">
              <w:rPr>
                <w:rFonts w:ascii="Arial" w:eastAsia="Arial" w:hAnsi="Arial" w:cs="Arial"/>
                <w:bCs/>
                <w:color w:val="000000"/>
              </w:rPr>
              <w:t>which reflect current workforce challenges, and the opportunities afforded by Oriel.</w:t>
            </w:r>
          </w:p>
          <w:p w14:paraId="608096B3" w14:textId="77777777" w:rsidR="00C430AE" w:rsidRPr="004F4B79" w:rsidRDefault="00C430AE" w:rsidP="005E0D57">
            <w:pPr>
              <w:pStyle w:val="ListParagraph"/>
              <w:numPr>
                <w:ilvl w:val="0"/>
                <w:numId w:val="36"/>
              </w:numPr>
              <w:spacing w:after="160" w:line="254" w:lineRule="auto"/>
              <w:ind w:left="434" w:right="-188" w:hanging="434"/>
              <w:rPr>
                <w:rFonts w:ascii="Arial" w:hAnsi="Arial" w:cs="Arial"/>
                <w:bCs/>
              </w:rPr>
            </w:pPr>
            <w:r w:rsidRPr="004F4B79">
              <w:rPr>
                <w:rFonts w:ascii="Arial" w:hAnsi="Arial" w:cs="Arial"/>
                <w:bCs/>
              </w:rPr>
              <w:t>How do we ensure that we have the staff with the skills capability and capacity to deliver world leading eye care?</w:t>
            </w:r>
          </w:p>
          <w:p w14:paraId="40224368" w14:textId="77777777" w:rsidR="00C430AE" w:rsidRPr="004F4B79" w:rsidRDefault="00C430AE" w:rsidP="005E0D57">
            <w:pPr>
              <w:pStyle w:val="ListParagraph"/>
              <w:numPr>
                <w:ilvl w:val="0"/>
                <w:numId w:val="36"/>
              </w:numPr>
              <w:spacing w:after="160" w:line="254" w:lineRule="auto"/>
              <w:ind w:left="434" w:right="-188" w:hanging="434"/>
              <w:rPr>
                <w:rFonts w:ascii="Arial" w:hAnsi="Arial" w:cs="Arial"/>
                <w:bCs/>
              </w:rPr>
            </w:pPr>
            <w:r w:rsidRPr="004F4B79">
              <w:rPr>
                <w:rFonts w:ascii="Arial" w:hAnsi="Arial" w:cs="Arial"/>
                <w:bCs/>
              </w:rPr>
              <w:t>How do we develop the leadership and culture to enable the workforce to grow, thrive and perform at the highest levels?</w:t>
            </w:r>
          </w:p>
          <w:p w14:paraId="7D80BE00" w14:textId="77777777" w:rsidR="00C430AE" w:rsidRPr="004F4B79" w:rsidRDefault="00C430AE" w:rsidP="005E0D57">
            <w:pPr>
              <w:pStyle w:val="ListParagraph"/>
              <w:numPr>
                <w:ilvl w:val="0"/>
                <w:numId w:val="36"/>
              </w:numPr>
              <w:spacing w:after="160" w:line="254" w:lineRule="auto"/>
              <w:ind w:left="434" w:right="-188" w:hanging="434"/>
              <w:rPr>
                <w:rFonts w:ascii="Arial" w:hAnsi="Arial" w:cs="Arial"/>
                <w:bCs/>
              </w:rPr>
            </w:pPr>
            <w:r w:rsidRPr="004F4B79">
              <w:rPr>
                <w:rFonts w:ascii="Arial" w:hAnsi="Arial" w:cs="Arial"/>
                <w:bCs/>
              </w:rPr>
              <w:t>How do we ensure that every member of staff, volunteer and student feels welcome, valued and able to contribute to the success of Moorfields?</w:t>
            </w:r>
          </w:p>
          <w:p w14:paraId="3493515D" w14:textId="31F2CF8E" w:rsidR="00721330" w:rsidRPr="00CB4422" w:rsidRDefault="00C430AE" w:rsidP="00CB4422">
            <w:pPr>
              <w:pStyle w:val="ListParagraph"/>
              <w:numPr>
                <w:ilvl w:val="0"/>
                <w:numId w:val="36"/>
              </w:numPr>
              <w:spacing w:after="160" w:line="254" w:lineRule="auto"/>
              <w:ind w:left="434" w:right="-188" w:hanging="434"/>
              <w:rPr>
                <w:rFonts w:ascii="Arial" w:hAnsi="Arial" w:cs="Arial"/>
                <w:bCs/>
                <w:i/>
                <w:iCs/>
              </w:rPr>
            </w:pPr>
            <w:r w:rsidRPr="004F4B79">
              <w:rPr>
                <w:rFonts w:ascii="Arial" w:hAnsi="Arial" w:cs="Arial"/>
                <w:bCs/>
              </w:rPr>
              <w:t xml:space="preserve"> How do we ensure that our workforce processes, practices and policies are efficient, aligned and provide best value</w:t>
            </w:r>
            <w:r w:rsidR="00CB4422" w:rsidRPr="004F4B79">
              <w:rPr>
                <w:rFonts w:ascii="Arial" w:hAnsi="Arial" w:cs="Arial"/>
                <w:bCs/>
              </w:rPr>
              <w:t>?</w:t>
            </w:r>
          </w:p>
        </w:tc>
      </w:tr>
      <w:tr w:rsidR="00E47761" w:rsidRPr="00587DF1" w14:paraId="2FB12361" w14:textId="77777777" w:rsidTr="00A5379E">
        <w:trPr>
          <w:trHeight w:val="861"/>
        </w:trPr>
        <w:tc>
          <w:tcPr>
            <w:tcW w:w="2660" w:type="dxa"/>
          </w:tcPr>
          <w:p w14:paraId="65C619F6" w14:textId="77777777" w:rsidR="00E47761" w:rsidRPr="00587DF1" w:rsidRDefault="00E47761" w:rsidP="00E47761">
            <w:pPr>
              <w:autoSpaceDE w:val="0"/>
              <w:autoSpaceDN w:val="0"/>
              <w:adjustRightInd w:val="0"/>
              <w:spacing w:after="0" w:line="240" w:lineRule="auto"/>
              <w:rPr>
                <w:rFonts w:ascii="Arial" w:eastAsiaTheme="minorHAnsi" w:hAnsi="Arial" w:cs="Arial"/>
                <w:lang w:eastAsia="en-US"/>
              </w:rPr>
            </w:pPr>
            <w:r w:rsidRPr="00587DF1">
              <w:rPr>
                <w:rFonts w:ascii="Arial" w:eastAsiaTheme="minorHAnsi" w:hAnsi="Arial" w:cs="Arial"/>
                <w:bCs/>
                <w:lang w:eastAsia="en-US"/>
              </w:rPr>
              <w:t xml:space="preserve">Quality and safety strategy 2017-2020 </w:t>
            </w:r>
          </w:p>
        </w:tc>
        <w:tc>
          <w:tcPr>
            <w:tcW w:w="6974" w:type="dxa"/>
          </w:tcPr>
          <w:p w14:paraId="7BDEDC2A" w14:textId="79E101CE" w:rsidR="00E47761" w:rsidRPr="00587DF1" w:rsidRDefault="00E47761" w:rsidP="00E47761">
            <w:pPr>
              <w:spacing w:after="0"/>
              <w:rPr>
                <w:rFonts w:ascii="Arial" w:eastAsia="Arial" w:hAnsi="Arial" w:cs="Arial"/>
              </w:rPr>
            </w:pPr>
            <w:r w:rsidRPr="00587DF1">
              <w:rPr>
                <w:rFonts w:ascii="Arial" w:eastAsia="Arial" w:hAnsi="Arial" w:cs="Arial"/>
              </w:rPr>
              <w:t>The quality strategy sets out Moorfields’ ambitions, pledges and practical next steps in delivering outstanding patient care. The strategy sets out what quality means at Moorfields, and will support Moorfields’ staff to work together to embed a culture of quality, make positive changes and drive behaviours to deliver an outstanding patient experience.</w:t>
            </w:r>
          </w:p>
        </w:tc>
      </w:tr>
      <w:tr w:rsidR="00E47761" w:rsidRPr="00587DF1" w14:paraId="7F694FAD" w14:textId="77777777" w:rsidTr="00A5379E">
        <w:trPr>
          <w:trHeight w:val="356"/>
        </w:trPr>
        <w:tc>
          <w:tcPr>
            <w:tcW w:w="2660" w:type="dxa"/>
          </w:tcPr>
          <w:p w14:paraId="39A71E46" w14:textId="0C88DF09" w:rsidR="00E47761" w:rsidRPr="00587DF1" w:rsidRDefault="00E47761" w:rsidP="00E47761">
            <w:pPr>
              <w:autoSpaceDE w:val="0"/>
              <w:autoSpaceDN w:val="0"/>
              <w:adjustRightInd w:val="0"/>
              <w:spacing w:after="0" w:line="240" w:lineRule="auto"/>
              <w:rPr>
                <w:rFonts w:ascii="Arial" w:eastAsiaTheme="minorHAnsi" w:hAnsi="Arial" w:cs="Arial"/>
                <w:highlight w:val="yellow"/>
                <w:lang w:eastAsia="en-US"/>
              </w:rPr>
            </w:pPr>
            <w:r w:rsidRPr="00587DF1">
              <w:rPr>
                <w:rFonts w:ascii="Arial" w:eastAsiaTheme="minorHAnsi" w:hAnsi="Arial" w:cs="Arial"/>
                <w:bCs/>
                <w:lang w:eastAsia="en-US"/>
              </w:rPr>
              <w:t>Clinical strategy</w:t>
            </w:r>
          </w:p>
        </w:tc>
        <w:tc>
          <w:tcPr>
            <w:tcW w:w="6974" w:type="dxa"/>
          </w:tcPr>
          <w:p w14:paraId="5B413BB2" w14:textId="70A99F82" w:rsidR="00E47761" w:rsidRPr="00587DF1" w:rsidRDefault="00E47761" w:rsidP="00E47761">
            <w:pPr>
              <w:spacing w:after="0"/>
              <w:rPr>
                <w:rFonts w:ascii="Arial" w:eastAsia="Arial" w:hAnsi="Arial" w:cs="Arial"/>
              </w:rPr>
            </w:pPr>
            <w:r w:rsidRPr="00587DF1">
              <w:rPr>
                <w:rFonts w:ascii="Arial" w:eastAsia="Arial" w:hAnsi="Arial" w:cs="Arial"/>
              </w:rPr>
              <w:t xml:space="preserve">The </w:t>
            </w:r>
            <w:r w:rsidR="00FA2D12" w:rsidRPr="00587DF1">
              <w:rPr>
                <w:rFonts w:ascii="Arial" w:eastAsia="Arial" w:hAnsi="Arial" w:cs="Arial"/>
              </w:rPr>
              <w:t>trust</w:t>
            </w:r>
            <w:r w:rsidRPr="00587DF1">
              <w:rPr>
                <w:rFonts w:ascii="Arial" w:eastAsia="Arial" w:hAnsi="Arial" w:cs="Arial"/>
              </w:rPr>
              <w:t xml:space="preserve"> has developed clinical strategies for its four main sub-specialities (based on </w:t>
            </w:r>
            <w:r w:rsidR="00481D35">
              <w:rPr>
                <w:rFonts w:ascii="Arial" w:eastAsia="Arial" w:hAnsi="Arial" w:cs="Arial"/>
              </w:rPr>
              <w:t>activity volume</w:t>
            </w:r>
            <w:r w:rsidRPr="00587DF1">
              <w:rPr>
                <w:rFonts w:ascii="Arial" w:eastAsia="Arial" w:hAnsi="Arial" w:cs="Arial"/>
              </w:rPr>
              <w:t>):</w:t>
            </w:r>
          </w:p>
          <w:p w14:paraId="709BF474" w14:textId="77777777" w:rsidR="00E47761" w:rsidRPr="00587DF1" w:rsidRDefault="00E47761" w:rsidP="00190084">
            <w:pPr>
              <w:pStyle w:val="ListParagraph"/>
              <w:numPr>
                <w:ilvl w:val="0"/>
                <w:numId w:val="87"/>
              </w:numPr>
              <w:spacing w:after="0"/>
              <w:rPr>
                <w:rFonts w:ascii="Arial" w:eastAsia="Arial" w:hAnsi="Arial" w:cs="Arial"/>
              </w:rPr>
            </w:pPr>
            <w:r w:rsidRPr="00587DF1">
              <w:rPr>
                <w:rFonts w:ascii="Arial" w:eastAsia="Arial" w:hAnsi="Arial" w:cs="Arial"/>
              </w:rPr>
              <w:t>Medical retinal</w:t>
            </w:r>
          </w:p>
          <w:p w14:paraId="29FDE959" w14:textId="77777777" w:rsidR="00E47761" w:rsidRPr="00587DF1" w:rsidRDefault="00E47761" w:rsidP="00190084">
            <w:pPr>
              <w:pStyle w:val="ListParagraph"/>
              <w:numPr>
                <w:ilvl w:val="0"/>
                <w:numId w:val="87"/>
              </w:numPr>
              <w:spacing w:after="0"/>
              <w:rPr>
                <w:rFonts w:ascii="Arial" w:eastAsia="Arial" w:hAnsi="Arial" w:cs="Arial"/>
              </w:rPr>
            </w:pPr>
            <w:r w:rsidRPr="00587DF1">
              <w:rPr>
                <w:rFonts w:ascii="Arial" w:eastAsia="Arial" w:hAnsi="Arial" w:cs="Arial"/>
              </w:rPr>
              <w:lastRenderedPageBreak/>
              <w:t>Glaucoma</w:t>
            </w:r>
          </w:p>
          <w:p w14:paraId="0CEDC1B1" w14:textId="77777777" w:rsidR="00E47761" w:rsidRPr="00587DF1" w:rsidRDefault="00E47761" w:rsidP="00190084">
            <w:pPr>
              <w:pStyle w:val="ListParagraph"/>
              <w:numPr>
                <w:ilvl w:val="0"/>
                <w:numId w:val="87"/>
              </w:numPr>
              <w:spacing w:after="0"/>
              <w:rPr>
                <w:rFonts w:ascii="Arial" w:eastAsia="Arial" w:hAnsi="Arial" w:cs="Arial"/>
              </w:rPr>
            </w:pPr>
            <w:r w:rsidRPr="00587DF1">
              <w:rPr>
                <w:rFonts w:ascii="Arial" w:eastAsia="Arial" w:hAnsi="Arial" w:cs="Arial"/>
              </w:rPr>
              <w:t>Cataract</w:t>
            </w:r>
          </w:p>
          <w:p w14:paraId="182C6C49" w14:textId="77777777" w:rsidR="00E47761" w:rsidRPr="00587DF1" w:rsidRDefault="00E47761" w:rsidP="00190084">
            <w:pPr>
              <w:pStyle w:val="ListParagraph"/>
              <w:numPr>
                <w:ilvl w:val="0"/>
                <w:numId w:val="87"/>
              </w:numPr>
              <w:spacing w:after="0"/>
              <w:rPr>
                <w:rFonts w:ascii="Arial" w:eastAsia="Arial" w:hAnsi="Arial" w:cs="Arial"/>
              </w:rPr>
            </w:pPr>
            <w:r w:rsidRPr="00587DF1">
              <w:rPr>
                <w:rFonts w:ascii="Arial" w:eastAsia="Arial" w:hAnsi="Arial" w:cs="Arial"/>
              </w:rPr>
              <w:t>A&amp;E and Urgent Care</w:t>
            </w:r>
          </w:p>
          <w:p w14:paraId="7B42DCD8" w14:textId="2573BEB3" w:rsidR="00E47761" w:rsidRPr="00587DF1" w:rsidRDefault="00E47761" w:rsidP="00E47761">
            <w:pPr>
              <w:spacing w:after="0"/>
              <w:rPr>
                <w:rFonts w:ascii="Arial" w:eastAsia="Arial" w:hAnsi="Arial" w:cs="Arial"/>
              </w:rPr>
            </w:pPr>
            <w:r w:rsidRPr="00587DF1">
              <w:rPr>
                <w:rFonts w:ascii="Arial" w:eastAsia="Arial" w:hAnsi="Arial" w:cs="Arial"/>
              </w:rPr>
              <w:t>The key themes of these are to improve patient stratification, so patients are seen by the most appropriate clinician and only the most complex cases are assigned to the most experienced consultants; and increasing the services which can be delivered virtually.</w:t>
            </w:r>
          </w:p>
          <w:p w14:paraId="4F1F50BD" w14:textId="77777777" w:rsidR="00E47761" w:rsidRPr="00587DF1" w:rsidRDefault="00E47761" w:rsidP="00E47761">
            <w:pPr>
              <w:spacing w:after="0"/>
              <w:rPr>
                <w:rFonts w:ascii="Arial" w:eastAsia="Arial" w:hAnsi="Arial" w:cs="Arial"/>
              </w:rPr>
            </w:pPr>
            <w:r w:rsidRPr="00587DF1">
              <w:rPr>
                <w:rFonts w:ascii="Arial" w:eastAsia="Arial" w:hAnsi="Arial" w:cs="Arial"/>
              </w:rPr>
              <w:t xml:space="preserve">A network clinical strategy is under development, to look at the future of the remaining services provided by </w:t>
            </w:r>
            <w:r w:rsidR="00AD3E2C" w:rsidRPr="00587DF1">
              <w:rPr>
                <w:rFonts w:ascii="Arial" w:eastAsia="Arial" w:hAnsi="Arial" w:cs="Arial"/>
              </w:rPr>
              <w:t>Moorfields</w:t>
            </w:r>
            <w:r w:rsidRPr="00587DF1">
              <w:rPr>
                <w:rFonts w:ascii="Arial" w:eastAsia="Arial" w:hAnsi="Arial" w:cs="Arial"/>
              </w:rPr>
              <w:t>.</w:t>
            </w:r>
          </w:p>
        </w:tc>
      </w:tr>
      <w:tr w:rsidR="001936F8" w:rsidRPr="00587DF1" w14:paraId="71CE55DE" w14:textId="77777777" w:rsidTr="00A5379E">
        <w:trPr>
          <w:trHeight w:val="356"/>
        </w:trPr>
        <w:tc>
          <w:tcPr>
            <w:tcW w:w="2660" w:type="dxa"/>
          </w:tcPr>
          <w:p w14:paraId="0622AB11" w14:textId="77777777" w:rsidR="001936F8" w:rsidRPr="00587DF1" w:rsidRDefault="001936F8" w:rsidP="00E47761">
            <w:pPr>
              <w:autoSpaceDE w:val="0"/>
              <w:autoSpaceDN w:val="0"/>
              <w:adjustRightInd w:val="0"/>
              <w:spacing w:after="0" w:line="240" w:lineRule="auto"/>
              <w:rPr>
                <w:rFonts w:ascii="Arial" w:eastAsiaTheme="minorHAnsi" w:hAnsi="Arial" w:cs="Arial"/>
                <w:bCs/>
                <w:lang w:eastAsia="en-US"/>
              </w:rPr>
            </w:pPr>
            <w:r w:rsidRPr="00587DF1">
              <w:rPr>
                <w:rFonts w:ascii="Arial" w:eastAsiaTheme="minorHAnsi" w:hAnsi="Arial" w:cs="Arial"/>
                <w:bCs/>
                <w:lang w:eastAsia="en-US"/>
              </w:rPr>
              <w:lastRenderedPageBreak/>
              <w:t>Emerging estates strategy</w:t>
            </w:r>
            <w:r w:rsidR="00BC5C16">
              <w:rPr>
                <w:rFonts w:ascii="Arial" w:eastAsiaTheme="minorHAnsi" w:hAnsi="Arial" w:cs="Arial"/>
                <w:bCs/>
                <w:lang w:eastAsia="en-US"/>
              </w:rPr>
              <w:t xml:space="preserve"> (City Road)</w:t>
            </w:r>
          </w:p>
        </w:tc>
        <w:tc>
          <w:tcPr>
            <w:tcW w:w="6974" w:type="dxa"/>
          </w:tcPr>
          <w:p w14:paraId="7B097188" w14:textId="77777777" w:rsidR="00BC5C16" w:rsidRPr="00587DF1" w:rsidRDefault="00BC5C16" w:rsidP="00BC5C16">
            <w:pPr>
              <w:spacing w:after="0"/>
              <w:rPr>
                <w:rFonts w:ascii="Arial" w:eastAsia="Arial" w:hAnsi="Arial" w:cs="Arial"/>
              </w:rPr>
            </w:pPr>
            <w:r w:rsidRPr="00587DF1">
              <w:rPr>
                <w:rFonts w:ascii="Arial" w:eastAsia="Arial" w:hAnsi="Arial" w:cs="Arial"/>
              </w:rPr>
              <w:t xml:space="preserve">The emerging draft estates strategy sets out the trust's vision for </w:t>
            </w:r>
            <w:r>
              <w:rPr>
                <w:rFonts w:ascii="Arial" w:eastAsia="Arial" w:hAnsi="Arial" w:cs="Arial"/>
              </w:rPr>
              <w:t>the City Road site</w:t>
            </w:r>
            <w:r w:rsidRPr="00587DF1">
              <w:rPr>
                <w:rFonts w:ascii="Arial" w:eastAsia="Arial" w:hAnsi="Arial" w:cs="Arial"/>
              </w:rPr>
              <w:t xml:space="preserve"> over the next 5 years. It has two areas of focus:</w:t>
            </w:r>
          </w:p>
          <w:p w14:paraId="34555DC0" w14:textId="77777777" w:rsidR="00BC5C16" w:rsidRPr="00BC5C16" w:rsidRDefault="00BC5C16" w:rsidP="00BC5C16">
            <w:pPr>
              <w:spacing w:after="0"/>
              <w:rPr>
                <w:rFonts w:ascii="Arial" w:eastAsia="Arial" w:hAnsi="Arial" w:cs="Arial"/>
                <w:b/>
                <w:bCs/>
              </w:rPr>
            </w:pPr>
            <w:r w:rsidRPr="00BC5C16">
              <w:rPr>
                <w:rFonts w:ascii="Arial" w:eastAsia="Arial" w:hAnsi="Arial" w:cs="Arial"/>
                <w:b/>
                <w:bCs/>
              </w:rPr>
              <w:t>1) City Road – Maintaining ‘Business as Usual'</w:t>
            </w:r>
          </w:p>
          <w:p w14:paraId="49FA6597" w14:textId="6AB74AAC" w:rsidR="00BC5C16" w:rsidRPr="00587DF1" w:rsidRDefault="00BC5C16" w:rsidP="005E0D57">
            <w:pPr>
              <w:pStyle w:val="ListParagraph"/>
              <w:numPr>
                <w:ilvl w:val="0"/>
                <w:numId w:val="24"/>
              </w:numPr>
              <w:spacing w:after="0"/>
              <w:rPr>
                <w:rFonts w:ascii="Arial" w:eastAsia="Arial" w:hAnsi="Arial" w:cs="Arial"/>
              </w:rPr>
            </w:pPr>
            <w:r>
              <w:rPr>
                <w:rFonts w:ascii="Arial" w:eastAsia="Arial" w:hAnsi="Arial" w:cs="Arial"/>
              </w:rPr>
              <w:t>I</w:t>
            </w:r>
            <w:r w:rsidRPr="00587DF1">
              <w:rPr>
                <w:rFonts w:ascii="Arial" w:eastAsia="Arial" w:hAnsi="Arial" w:cs="Arial"/>
              </w:rPr>
              <w:t>mprove patient flows and focus clinical use at City Road</w:t>
            </w:r>
            <w:r w:rsidR="0025490F">
              <w:rPr>
                <w:rFonts w:ascii="Arial" w:eastAsia="Arial" w:hAnsi="Arial" w:cs="Arial"/>
              </w:rPr>
              <w:t>.</w:t>
            </w:r>
          </w:p>
          <w:p w14:paraId="26183FB4" w14:textId="336E4EDA" w:rsidR="00BC5C16" w:rsidRPr="00587DF1" w:rsidRDefault="00BC5C16" w:rsidP="005E0D57">
            <w:pPr>
              <w:pStyle w:val="ListParagraph"/>
              <w:numPr>
                <w:ilvl w:val="0"/>
                <w:numId w:val="24"/>
              </w:numPr>
              <w:spacing w:after="0"/>
              <w:rPr>
                <w:rFonts w:ascii="Arial" w:eastAsia="Arial" w:hAnsi="Arial" w:cs="Arial"/>
              </w:rPr>
            </w:pPr>
            <w:r>
              <w:rPr>
                <w:rFonts w:ascii="Arial" w:eastAsia="Arial" w:hAnsi="Arial" w:cs="Arial"/>
              </w:rPr>
              <w:t>C</w:t>
            </w:r>
            <w:r w:rsidRPr="00587DF1">
              <w:rPr>
                <w:rFonts w:ascii="Arial" w:eastAsia="Arial" w:hAnsi="Arial" w:cs="Arial"/>
              </w:rPr>
              <w:t>ontinue to manage</w:t>
            </w:r>
            <w:r w:rsidR="00481D35">
              <w:rPr>
                <w:rFonts w:ascii="Arial" w:eastAsia="Arial" w:hAnsi="Arial" w:cs="Arial"/>
              </w:rPr>
              <w:t xml:space="preserve">, </w:t>
            </w:r>
            <w:r w:rsidRPr="00587DF1">
              <w:rPr>
                <w:rFonts w:ascii="Arial" w:eastAsia="Arial" w:hAnsi="Arial" w:cs="Arial"/>
              </w:rPr>
              <w:t xml:space="preserve">maintain and meet statutory and mandatory requirements at </w:t>
            </w:r>
            <w:r>
              <w:rPr>
                <w:rFonts w:ascii="Arial" w:eastAsia="Arial" w:hAnsi="Arial" w:cs="Arial"/>
              </w:rPr>
              <w:t>City Road</w:t>
            </w:r>
            <w:r w:rsidR="0025490F">
              <w:rPr>
                <w:rFonts w:ascii="Arial" w:eastAsia="Arial" w:hAnsi="Arial" w:cs="Arial"/>
              </w:rPr>
              <w:t>.</w:t>
            </w:r>
          </w:p>
          <w:p w14:paraId="0B509ACF" w14:textId="08F5F317" w:rsidR="00BC5C16" w:rsidRPr="00587DF1" w:rsidRDefault="00BC5C16" w:rsidP="005E0D57">
            <w:pPr>
              <w:pStyle w:val="ListParagraph"/>
              <w:numPr>
                <w:ilvl w:val="0"/>
                <w:numId w:val="24"/>
              </w:numPr>
              <w:spacing w:after="0"/>
              <w:rPr>
                <w:rFonts w:ascii="Arial" w:eastAsia="Arial" w:hAnsi="Arial" w:cs="Arial"/>
              </w:rPr>
            </w:pPr>
            <w:r>
              <w:rPr>
                <w:rFonts w:ascii="Arial" w:eastAsia="Arial" w:hAnsi="Arial" w:cs="Arial"/>
              </w:rPr>
              <w:t xml:space="preserve">Ensure City Road can continue to meet </w:t>
            </w:r>
            <w:r w:rsidRPr="00587DF1">
              <w:rPr>
                <w:rFonts w:ascii="Arial" w:eastAsia="Arial" w:hAnsi="Arial" w:cs="Arial"/>
              </w:rPr>
              <w:t>projected growth whilst the new site is designed and in time built</w:t>
            </w:r>
            <w:r w:rsidR="0025490F">
              <w:rPr>
                <w:rFonts w:ascii="Arial" w:eastAsia="Arial" w:hAnsi="Arial" w:cs="Arial"/>
              </w:rPr>
              <w:t>.</w:t>
            </w:r>
          </w:p>
          <w:p w14:paraId="2E4FB671" w14:textId="43FE7EA3" w:rsidR="00BC5C16" w:rsidRPr="00587DF1" w:rsidRDefault="00BC5C16" w:rsidP="005E0D57">
            <w:pPr>
              <w:pStyle w:val="ListParagraph"/>
              <w:numPr>
                <w:ilvl w:val="0"/>
                <w:numId w:val="24"/>
              </w:numPr>
              <w:spacing w:after="0"/>
              <w:rPr>
                <w:rFonts w:ascii="Arial" w:eastAsia="Arial" w:hAnsi="Arial" w:cs="Arial"/>
              </w:rPr>
            </w:pPr>
            <w:r w:rsidRPr="00587DF1">
              <w:rPr>
                <w:rFonts w:ascii="Arial" w:eastAsia="Arial" w:hAnsi="Arial" w:cs="Arial"/>
              </w:rPr>
              <w:t xml:space="preserve">To increase the clinical use </w:t>
            </w:r>
            <w:r w:rsidR="00481D35">
              <w:rPr>
                <w:rFonts w:ascii="Arial" w:eastAsia="Arial" w:hAnsi="Arial" w:cs="Arial"/>
              </w:rPr>
              <w:t>percentage</w:t>
            </w:r>
            <w:r w:rsidRPr="00587DF1">
              <w:rPr>
                <w:rFonts w:ascii="Arial" w:eastAsia="Arial" w:hAnsi="Arial" w:cs="Arial"/>
              </w:rPr>
              <w:t xml:space="preserve"> at City Road as part of improving efficiency and preparing for the eventual move</w:t>
            </w:r>
            <w:r w:rsidR="0025490F">
              <w:rPr>
                <w:rFonts w:ascii="Arial" w:eastAsia="Arial" w:hAnsi="Arial" w:cs="Arial"/>
              </w:rPr>
              <w:t>.</w:t>
            </w:r>
          </w:p>
          <w:p w14:paraId="4316CC37" w14:textId="77777777" w:rsidR="00BC5C16" w:rsidRPr="00BC5C16" w:rsidRDefault="00BC5C16" w:rsidP="00BC5C16">
            <w:pPr>
              <w:spacing w:after="0"/>
              <w:rPr>
                <w:rFonts w:ascii="Arial" w:eastAsia="Arial" w:hAnsi="Arial" w:cs="Arial"/>
                <w:b/>
                <w:bCs/>
              </w:rPr>
            </w:pPr>
            <w:r w:rsidRPr="00BC5C16">
              <w:rPr>
                <w:rFonts w:ascii="Arial" w:eastAsia="Arial" w:hAnsi="Arial" w:cs="Arial"/>
                <w:b/>
                <w:bCs/>
              </w:rPr>
              <w:t>2) To feed into Oriel’s design and construction</w:t>
            </w:r>
          </w:p>
          <w:p w14:paraId="5CA5388A" w14:textId="6762A301" w:rsidR="00BC5C16" w:rsidRPr="00587DF1" w:rsidRDefault="00E10C97" w:rsidP="005E0D57">
            <w:pPr>
              <w:pStyle w:val="ListParagraph"/>
              <w:numPr>
                <w:ilvl w:val="0"/>
                <w:numId w:val="24"/>
              </w:numPr>
              <w:spacing w:after="0"/>
              <w:rPr>
                <w:rFonts w:ascii="Arial" w:eastAsia="Arial" w:hAnsi="Arial" w:cs="Arial"/>
              </w:rPr>
            </w:pPr>
            <w:r>
              <w:rPr>
                <w:rFonts w:ascii="Arial" w:eastAsia="Arial" w:hAnsi="Arial" w:cs="Arial"/>
              </w:rPr>
              <w:t>Enable the</w:t>
            </w:r>
            <w:r w:rsidR="00BC5C16" w:rsidRPr="00587DF1">
              <w:rPr>
                <w:rFonts w:ascii="Arial" w:eastAsia="Arial" w:hAnsi="Arial" w:cs="Arial"/>
              </w:rPr>
              <w:t xml:space="preserve"> team to inform and enhance the design and development of the new Oriel facility</w:t>
            </w:r>
            <w:r w:rsidR="0025490F">
              <w:rPr>
                <w:rFonts w:ascii="Arial" w:eastAsia="Arial" w:hAnsi="Arial" w:cs="Arial"/>
              </w:rPr>
              <w:t>.</w:t>
            </w:r>
          </w:p>
          <w:p w14:paraId="4976E8D0" w14:textId="727C0CE3" w:rsidR="00BC5C16" w:rsidRPr="00BC5C16" w:rsidRDefault="00BC5C16" w:rsidP="005E0D57">
            <w:pPr>
              <w:pStyle w:val="ListParagraph"/>
              <w:numPr>
                <w:ilvl w:val="0"/>
                <w:numId w:val="24"/>
              </w:numPr>
              <w:spacing w:after="0"/>
              <w:rPr>
                <w:rFonts w:ascii="Arial" w:eastAsia="Arial" w:hAnsi="Arial" w:cs="Arial"/>
              </w:rPr>
            </w:pPr>
            <w:r>
              <w:rPr>
                <w:rFonts w:ascii="Arial" w:eastAsia="Arial" w:hAnsi="Arial" w:cs="Arial"/>
              </w:rPr>
              <w:t>E</w:t>
            </w:r>
            <w:r w:rsidRPr="00587DF1">
              <w:rPr>
                <w:rFonts w:ascii="Arial" w:eastAsia="Arial" w:hAnsi="Arial" w:cs="Arial"/>
              </w:rPr>
              <w:t xml:space="preserve">nsure Estates and Facilities have a clear voice in its design – </w:t>
            </w:r>
            <w:r w:rsidR="00E10C97">
              <w:rPr>
                <w:rFonts w:ascii="Arial" w:eastAsia="Arial" w:hAnsi="Arial" w:cs="Arial"/>
              </w:rPr>
              <w:t xml:space="preserve">to ensure they can </w:t>
            </w:r>
            <w:r w:rsidRPr="00587DF1">
              <w:rPr>
                <w:rFonts w:ascii="Arial" w:eastAsia="Arial" w:hAnsi="Arial" w:cs="Arial"/>
              </w:rPr>
              <w:t>maintain, clean and service the new site</w:t>
            </w:r>
            <w:r w:rsidR="0025490F">
              <w:rPr>
                <w:rFonts w:ascii="Arial" w:eastAsia="Arial" w:hAnsi="Arial" w:cs="Arial"/>
              </w:rPr>
              <w:t>.</w:t>
            </w:r>
          </w:p>
        </w:tc>
      </w:tr>
    </w:tbl>
    <w:p w14:paraId="13C10B7B" w14:textId="77777777" w:rsidR="00E47761" w:rsidRPr="00587DF1" w:rsidRDefault="00E47761" w:rsidP="00E47761">
      <w:pPr>
        <w:rPr>
          <w:rFonts w:ascii="Arial" w:hAnsi="Arial" w:cs="Arial"/>
          <w:b/>
        </w:rPr>
      </w:pPr>
    </w:p>
    <w:p w14:paraId="6FE21B76" w14:textId="77777777" w:rsidR="00E47761" w:rsidRPr="00587DF1" w:rsidRDefault="00AD3E2C" w:rsidP="005E0D57">
      <w:pPr>
        <w:numPr>
          <w:ilvl w:val="2"/>
          <w:numId w:val="1"/>
        </w:numPr>
        <w:pBdr>
          <w:top w:val="nil"/>
          <w:left w:val="nil"/>
          <w:bottom w:val="nil"/>
          <w:right w:val="nil"/>
          <w:between w:val="nil"/>
        </w:pBdr>
        <w:spacing w:after="0" w:line="240" w:lineRule="auto"/>
        <w:ind w:left="567" w:hanging="567"/>
        <w:jc w:val="both"/>
        <w:rPr>
          <w:rFonts w:ascii="Arial" w:eastAsia="Arial" w:hAnsi="Arial" w:cs="Arial"/>
          <w:b/>
          <w:color w:val="000000"/>
        </w:rPr>
      </w:pPr>
      <w:bookmarkStart w:id="45" w:name="_Ref25598946"/>
      <w:r w:rsidRPr="00587DF1">
        <w:rPr>
          <w:rFonts w:ascii="Arial" w:eastAsia="Arial" w:hAnsi="Arial" w:cs="Arial"/>
          <w:b/>
          <w:color w:val="000000"/>
        </w:rPr>
        <w:t xml:space="preserve">Moorfields </w:t>
      </w:r>
      <w:r w:rsidR="00E47761" w:rsidRPr="00587DF1">
        <w:rPr>
          <w:rFonts w:ascii="Arial" w:eastAsia="Arial" w:hAnsi="Arial" w:cs="Arial"/>
          <w:b/>
          <w:color w:val="000000"/>
        </w:rPr>
        <w:t>and UCL Joint Strategies</w:t>
      </w:r>
      <w:bookmarkEnd w:id="45"/>
    </w:p>
    <w:p w14:paraId="50447D65" w14:textId="77777777" w:rsidR="00E47761" w:rsidRPr="00587DF1" w:rsidRDefault="00E47761" w:rsidP="00E47761">
      <w:pPr>
        <w:spacing w:after="0"/>
        <w:rPr>
          <w:rFonts w:ascii="Arial" w:eastAsia="Arial" w:hAnsi="Arial" w:cs="Arial"/>
        </w:rPr>
      </w:pPr>
    </w:p>
    <w:p w14:paraId="6E8B6B86" w14:textId="77777777" w:rsidR="00E47761" w:rsidRPr="00587DF1" w:rsidRDefault="00AD3E2C" w:rsidP="00E47761">
      <w:pPr>
        <w:spacing w:after="0"/>
        <w:rPr>
          <w:rFonts w:ascii="Arial" w:eastAsia="Arial" w:hAnsi="Arial" w:cs="Arial"/>
        </w:rPr>
      </w:pPr>
      <w:r w:rsidRPr="00587DF1">
        <w:rPr>
          <w:rFonts w:ascii="Arial" w:eastAsia="Arial" w:hAnsi="Arial" w:cs="Arial"/>
        </w:rPr>
        <w:t xml:space="preserve">Moorfields </w:t>
      </w:r>
      <w:r w:rsidR="00E47761" w:rsidRPr="00587DF1">
        <w:rPr>
          <w:rFonts w:ascii="Arial" w:eastAsia="Arial" w:hAnsi="Arial" w:cs="Arial"/>
        </w:rPr>
        <w:t>and UCL in partnership have developed joint strateg</w:t>
      </w:r>
      <w:r w:rsidR="00721330" w:rsidRPr="00587DF1">
        <w:rPr>
          <w:rFonts w:ascii="Arial" w:eastAsia="Arial" w:hAnsi="Arial" w:cs="Arial"/>
        </w:rPr>
        <w:t>ies</w:t>
      </w:r>
      <w:r w:rsidR="00E47761" w:rsidRPr="00587DF1">
        <w:rPr>
          <w:rFonts w:ascii="Arial" w:eastAsia="Arial" w:hAnsi="Arial" w:cs="Arial"/>
        </w:rPr>
        <w:t xml:space="preserve"> in order to ensure collaborative working when informing Oriel.</w:t>
      </w:r>
    </w:p>
    <w:p w14:paraId="75A8D9BB" w14:textId="77777777" w:rsidR="00E47761" w:rsidRPr="00587DF1" w:rsidRDefault="00E47761" w:rsidP="00E47761">
      <w:pPr>
        <w:spacing w:after="0"/>
        <w:rPr>
          <w:rFonts w:ascii="Arial" w:eastAsia="Arial" w:hAnsi="Arial" w:cs="Arial"/>
          <w:i/>
          <w:sz w:val="20"/>
        </w:rPr>
      </w:pPr>
    </w:p>
    <w:p w14:paraId="69B5C40E" w14:textId="3C6C9A56" w:rsidR="00B37104" w:rsidRDefault="00B37104" w:rsidP="00B37104">
      <w:pPr>
        <w:pStyle w:val="Caption"/>
      </w:pPr>
      <w:r>
        <w:t xml:space="preserve">Table </w:t>
      </w:r>
      <w:r>
        <w:fldChar w:fldCharType="begin"/>
      </w:r>
      <w:r>
        <w:instrText xml:space="preserve"> SEQ Table \* ARABIC </w:instrText>
      </w:r>
      <w:r>
        <w:fldChar w:fldCharType="separate"/>
      </w:r>
      <w:r w:rsidR="00A936CD">
        <w:rPr>
          <w:noProof/>
        </w:rPr>
        <w:t>7</w:t>
      </w:r>
      <w:r>
        <w:fldChar w:fldCharType="end"/>
      </w:r>
      <w:r>
        <w:t xml:space="preserve">: </w:t>
      </w:r>
      <w:r w:rsidRPr="00632B1E">
        <w:rPr>
          <w:b w:val="0"/>
          <w:bCs w:val="0"/>
        </w:rPr>
        <w:t>Moorfields and UCL joint strategies</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6350"/>
      </w:tblGrid>
      <w:tr w:rsidR="0025490F" w:rsidRPr="0025490F" w14:paraId="323CC6E0" w14:textId="77777777" w:rsidTr="0025490F">
        <w:trPr>
          <w:trHeight w:val="141"/>
        </w:trPr>
        <w:tc>
          <w:tcPr>
            <w:tcW w:w="3402" w:type="dxa"/>
            <w:tcBorders>
              <w:top w:val="single" w:sz="4" w:space="0" w:color="auto"/>
              <w:left w:val="single" w:sz="4" w:space="0" w:color="auto"/>
              <w:bottom w:val="single" w:sz="4" w:space="0" w:color="auto"/>
              <w:right w:val="single" w:sz="4" w:space="0" w:color="auto"/>
            </w:tcBorders>
            <w:shd w:val="clear" w:color="auto" w:fill="4F81BD"/>
          </w:tcPr>
          <w:p w14:paraId="7D2F474A" w14:textId="77777777" w:rsidR="00E47761" w:rsidRPr="0025490F" w:rsidRDefault="00E47761" w:rsidP="00E47761">
            <w:pPr>
              <w:autoSpaceDE w:val="0"/>
              <w:autoSpaceDN w:val="0"/>
              <w:adjustRightInd w:val="0"/>
              <w:spacing w:after="0" w:line="240" w:lineRule="auto"/>
              <w:rPr>
                <w:rFonts w:ascii="Arial" w:eastAsiaTheme="minorHAnsi" w:hAnsi="Arial" w:cs="Arial"/>
                <w:b/>
                <w:bCs/>
                <w:color w:val="FFFFFF" w:themeColor="background1"/>
                <w:lang w:eastAsia="en-US"/>
              </w:rPr>
            </w:pPr>
            <w:r w:rsidRPr="0025490F">
              <w:rPr>
                <w:rFonts w:ascii="Arial" w:eastAsiaTheme="minorHAnsi" w:hAnsi="Arial" w:cs="Arial"/>
                <w:b/>
                <w:bCs/>
                <w:color w:val="FFFFFF" w:themeColor="background1"/>
                <w:lang w:eastAsia="en-US"/>
              </w:rPr>
              <w:t>Strategy</w:t>
            </w:r>
          </w:p>
        </w:tc>
        <w:tc>
          <w:tcPr>
            <w:tcW w:w="6350" w:type="dxa"/>
            <w:tcBorders>
              <w:top w:val="single" w:sz="4" w:space="0" w:color="auto"/>
              <w:left w:val="single" w:sz="4" w:space="0" w:color="auto"/>
              <w:bottom w:val="single" w:sz="4" w:space="0" w:color="auto"/>
              <w:right w:val="single" w:sz="4" w:space="0" w:color="auto"/>
            </w:tcBorders>
            <w:shd w:val="clear" w:color="auto" w:fill="4F81BD"/>
          </w:tcPr>
          <w:p w14:paraId="19CEEBE7" w14:textId="77777777" w:rsidR="00E47761" w:rsidRPr="0025490F" w:rsidRDefault="00E47761" w:rsidP="00E47761">
            <w:pPr>
              <w:spacing w:after="0"/>
              <w:rPr>
                <w:rFonts w:ascii="Arial" w:eastAsia="Arial" w:hAnsi="Arial" w:cs="Arial"/>
                <w:b/>
                <w:color w:val="FFFFFF" w:themeColor="background1"/>
              </w:rPr>
            </w:pPr>
            <w:r w:rsidRPr="0025490F">
              <w:rPr>
                <w:rFonts w:ascii="Arial" w:eastAsia="Arial" w:hAnsi="Arial" w:cs="Arial"/>
                <w:b/>
                <w:color w:val="FFFFFF" w:themeColor="background1"/>
              </w:rPr>
              <w:t>Description</w:t>
            </w:r>
          </w:p>
        </w:tc>
      </w:tr>
      <w:tr w:rsidR="00E47761" w:rsidRPr="00587DF1" w14:paraId="3FDC8072" w14:textId="77777777" w:rsidTr="00F12664">
        <w:trPr>
          <w:trHeight w:val="863"/>
        </w:trPr>
        <w:tc>
          <w:tcPr>
            <w:tcW w:w="3402" w:type="dxa"/>
            <w:tcBorders>
              <w:top w:val="single" w:sz="4" w:space="0" w:color="auto"/>
              <w:left w:val="single" w:sz="4" w:space="0" w:color="auto"/>
              <w:bottom w:val="single" w:sz="4" w:space="0" w:color="auto"/>
              <w:right w:val="single" w:sz="4" w:space="0" w:color="auto"/>
            </w:tcBorders>
          </w:tcPr>
          <w:p w14:paraId="60A63D90" w14:textId="77777777" w:rsidR="00E47761" w:rsidRPr="00587DF1" w:rsidRDefault="00E47761" w:rsidP="00E47761">
            <w:pPr>
              <w:autoSpaceDE w:val="0"/>
              <w:autoSpaceDN w:val="0"/>
              <w:adjustRightInd w:val="0"/>
              <w:spacing w:after="0" w:line="240" w:lineRule="auto"/>
              <w:rPr>
                <w:rFonts w:ascii="Arial" w:eastAsiaTheme="minorHAnsi" w:hAnsi="Arial" w:cs="Arial"/>
                <w:bCs/>
                <w:lang w:eastAsia="en-US"/>
              </w:rPr>
            </w:pPr>
            <w:r w:rsidRPr="00587DF1">
              <w:rPr>
                <w:rFonts w:ascii="Arial" w:eastAsiaTheme="minorHAnsi" w:hAnsi="Arial" w:cs="Arial"/>
                <w:bCs/>
                <w:lang w:eastAsia="en-US"/>
              </w:rPr>
              <w:t xml:space="preserve">Research and Development Joint Strategy 2013-2020 </w:t>
            </w:r>
            <w:r w:rsidR="0065302B" w:rsidRPr="00587DF1">
              <w:rPr>
                <w:rFonts w:ascii="Arial" w:eastAsiaTheme="minorHAnsi" w:hAnsi="Arial" w:cs="Arial"/>
                <w:bCs/>
                <w:lang w:eastAsia="en-US"/>
              </w:rPr>
              <w:t>(</w:t>
            </w:r>
            <w:r w:rsidRPr="00587DF1">
              <w:rPr>
                <w:rFonts w:ascii="Arial" w:eastAsiaTheme="minorHAnsi" w:hAnsi="Arial" w:cs="Arial"/>
                <w:bCs/>
                <w:lang w:eastAsia="en-US"/>
              </w:rPr>
              <w:t xml:space="preserve">Moorfields and UCL IoO, 2013) </w:t>
            </w:r>
          </w:p>
        </w:tc>
        <w:tc>
          <w:tcPr>
            <w:tcW w:w="6350" w:type="dxa"/>
            <w:tcBorders>
              <w:top w:val="single" w:sz="4" w:space="0" w:color="auto"/>
              <w:left w:val="single" w:sz="4" w:space="0" w:color="auto"/>
              <w:bottom w:val="single" w:sz="4" w:space="0" w:color="auto"/>
              <w:right w:val="single" w:sz="4" w:space="0" w:color="auto"/>
            </w:tcBorders>
          </w:tcPr>
          <w:p w14:paraId="6494B45F" w14:textId="15A312C5" w:rsidR="00E47761" w:rsidRPr="00587DF1" w:rsidRDefault="00E47761" w:rsidP="00E47761">
            <w:pPr>
              <w:spacing w:after="0"/>
              <w:rPr>
                <w:rFonts w:ascii="Arial" w:eastAsia="Arial" w:hAnsi="Arial" w:cs="Arial"/>
              </w:rPr>
            </w:pPr>
            <w:r w:rsidRPr="00587DF1">
              <w:rPr>
                <w:rFonts w:ascii="Arial" w:eastAsia="Arial" w:hAnsi="Arial" w:cs="Arial"/>
              </w:rPr>
              <w:t>The aim of the joint strategy is to outline a path for future research collaboratively between Moorfields and UCL IoO to ensure that the benefits for those at risk of eye disease are optimised, and that the continued pre-eminence of both parties continues. The strategy</w:t>
            </w:r>
            <w:r w:rsidR="0025490F">
              <w:rPr>
                <w:rFonts w:ascii="Arial" w:eastAsia="Arial" w:hAnsi="Arial" w:cs="Arial"/>
              </w:rPr>
              <w:t>;</w:t>
            </w:r>
          </w:p>
          <w:p w14:paraId="37D89267" w14:textId="77777777" w:rsidR="00E47761" w:rsidRPr="00587DF1" w:rsidRDefault="00E47761" w:rsidP="005E0D57">
            <w:pPr>
              <w:pStyle w:val="ListParagraph"/>
              <w:numPr>
                <w:ilvl w:val="0"/>
                <w:numId w:val="15"/>
              </w:numPr>
              <w:spacing w:after="0"/>
              <w:rPr>
                <w:rFonts w:ascii="Arial" w:eastAsia="Arial" w:hAnsi="Arial" w:cs="Arial"/>
              </w:rPr>
            </w:pPr>
            <w:r w:rsidRPr="00587DF1">
              <w:rPr>
                <w:rFonts w:ascii="Arial" w:eastAsia="Arial" w:hAnsi="Arial" w:cs="Arial"/>
              </w:rPr>
              <w:t xml:space="preserve">draws on the strengths of working in partnership </w:t>
            </w:r>
          </w:p>
          <w:p w14:paraId="0A7556DB" w14:textId="77777777" w:rsidR="00E47761" w:rsidRPr="00587DF1" w:rsidRDefault="00E47761" w:rsidP="005E0D57">
            <w:pPr>
              <w:pStyle w:val="ListParagraph"/>
              <w:numPr>
                <w:ilvl w:val="0"/>
                <w:numId w:val="15"/>
              </w:numPr>
              <w:spacing w:after="0"/>
              <w:rPr>
                <w:rFonts w:ascii="Arial" w:eastAsia="Arial" w:hAnsi="Arial" w:cs="Arial"/>
              </w:rPr>
            </w:pPr>
            <w:r w:rsidRPr="00587DF1">
              <w:rPr>
                <w:rFonts w:ascii="Arial" w:eastAsia="Arial" w:hAnsi="Arial" w:cs="Arial"/>
              </w:rPr>
              <w:t xml:space="preserve">recognises the need to recruit and retain premier research talent </w:t>
            </w:r>
          </w:p>
          <w:p w14:paraId="5291D671" w14:textId="77777777" w:rsidR="00E47761" w:rsidRPr="00587DF1" w:rsidRDefault="00E47761" w:rsidP="00E47761">
            <w:pPr>
              <w:spacing w:after="0"/>
              <w:ind w:left="747" w:hanging="425"/>
              <w:rPr>
                <w:rFonts w:ascii="Arial" w:eastAsia="Arial" w:hAnsi="Arial" w:cs="Arial"/>
              </w:rPr>
            </w:pPr>
            <w:r w:rsidRPr="00587DF1">
              <w:rPr>
                <w:rFonts w:ascii="Arial" w:eastAsia="Arial" w:hAnsi="Arial" w:cs="Arial"/>
              </w:rPr>
              <w:t xml:space="preserve">3) </w:t>
            </w:r>
            <w:r w:rsidR="00F12664" w:rsidRPr="00587DF1">
              <w:rPr>
                <w:rFonts w:ascii="Arial" w:eastAsia="Arial" w:hAnsi="Arial" w:cs="Arial"/>
              </w:rPr>
              <w:t xml:space="preserve">  </w:t>
            </w:r>
            <w:r w:rsidRPr="00587DF1">
              <w:rPr>
                <w:rFonts w:ascii="Arial" w:eastAsia="Arial" w:hAnsi="Arial" w:cs="Arial"/>
              </w:rPr>
              <w:t xml:space="preserve">sees the importance of a streamlined well-resourced environment </w:t>
            </w:r>
          </w:p>
        </w:tc>
      </w:tr>
      <w:tr w:rsidR="00004A66" w:rsidRPr="00587DF1" w14:paraId="21270C9E" w14:textId="77777777" w:rsidTr="00F12664">
        <w:trPr>
          <w:trHeight w:val="863"/>
        </w:trPr>
        <w:tc>
          <w:tcPr>
            <w:tcW w:w="3402" w:type="dxa"/>
            <w:tcBorders>
              <w:top w:val="single" w:sz="4" w:space="0" w:color="auto"/>
              <w:left w:val="single" w:sz="4" w:space="0" w:color="auto"/>
              <w:bottom w:val="single" w:sz="4" w:space="0" w:color="auto"/>
              <w:right w:val="single" w:sz="4" w:space="0" w:color="auto"/>
            </w:tcBorders>
            <w:shd w:val="clear" w:color="auto" w:fill="auto"/>
          </w:tcPr>
          <w:p w14:paraId="093875A0" w14:textId="77777777" w:rsidR="00004A66" w:rsidRPr="00587DF1" w:rsidRDefault="00004A66" w:rsidP="0065302B">
            <w:pPr>
              <w:autoSpaceDE w:val="0"/>
              <w:autoSpaceDN w:val="0"/>
              <w:adjustRightInd w:val="0"/>
              <w:spacing w:after="0" w:line="240" w:lineRule="auto"/>
              <w:rPr>
                <w:rFonts w:ascii="Arial" w:eastAsiaTheme="minorHAnsi" w:hAnsi="Arial" w:cs="Arial"/>
                <w:bCs/>
                <w:lang w:eastAsia="en-US"/>
              </w:rPr>
            </w:pPr>
            <w:r w:rsidRPr="00587DF1">
              <w:rPr>
                <w:rFonts w:ascii="Arial" w:eastAsiaTheme="minorHAnsi" w:hAnsi="Arial" w:cs="Arial"/>
                <w:bCs/>
                <w:lang w:eastAsia="en-US"/>
              </w:rPr>
              <w:lastRenderedPageBreak/>
              <w:t>Joint Education Strategy 2018-2023</w:t>
            </w:r>
            <w:r w:rsidR="0065302B" w:rsidRPr="00587DF1">
              <w:rPr>
                <w:rFonts w:ascii="Arial" w:eastAsiaTheme="minorHAnsi" w:hAnsi="Arial" w:cs="Arial"/>
                <w:bCs/>
                <w:lang w:eastAsia="en-US"/>
              </w:rPr>
              <w:t xml:space="preserve"> </w:t>
            </w:r>
            <w:r w:rsidRPr="00587DF1">
              <w:rPr>
                <w:rFonts w:ascii="Arial" w:eastAsiaTheme="minorHAnsi" w:hAnsi="Arial" w:cs="Arial"/>
                <w:bCs/>
                <w:lang w:eastAsia="en-US"/>
              </w:rPr>
              <w:t>(Moorfields Eye Hospital and UCL IoO</w:t>
            </w:r>
            <w:r w:rsidR="0065302B" w:rsidRPr="00587DF1">
              <w:rPr>
                <w:rFonts w:ascii="Arial" w:eastAsiaTheme="minorHAnsi" w:hAnsi="Arial" w:cs="Arial"/>
                <w:bCs/>
                <w:lang w:eastAsia="en-US"/>
              </w:rPr>
              <w:t>, 2018</w:t>
            </w:r>
            <w:r w:rsidRPr="00587DF1">
              <w:rPr>
                <w:rFonts w:ascii="Arial" w:eastAsiaTheme="minorHAnsi" w:hAnsi="Arial" w:cs="Arial"/>
                <w:bCs/>
                <w:lang w:eastAsia="en-US"/>
              </w:rPr>
              <w:t>)</w:t>
            </w:r>
          </w:p>
        </w:tc>
        <w:tc>
          <w:tcPr>
            <w:tcW w:w="6350" w:type="dxa"/>
            <w:tcBorders>
              <w:top w:val="single" w:sz="4" w:space="0" w:color="auto"/>
              <w:left w:val="single" w:sz="4" w:space="0" w:color="auto"/>
              <w:bottom w:val="single" w:sz="4" w:space="0" w:color="auto"/>
              <w:right w:val="single" w:sz="4" w:space="0" w:color="auto"/>
            </w:tcBorders>
            <w:shd w:val="clear" w:color="auto" w:fill="auto"/>
          </w:tcPr>
          <w:p w14:paraId="5605374B" w14:textId="77777777" w:rsidR="00004A66" w:rsidRPr="00587DF1" w:rsidRDefault="00CB4F04" w:rsidP="00F12664">
            <w:pPr>
              <w:spacing w:after="0"/>
              <w:rPr>
                <w:rFonts w:ascii="Arial" w:eastAsia="Arial" w:hAnsi="Arial" w:cs="Arial"/>
              </w:rPr>
            </w:pPr>
            <w:r w:rsidRPr="00587DF1">
              <w:rPr>
                <w:rFonts w:ascii="Arial" w:eastAsia="Arial" w:hAnsi="Arial" w:cs="Arial"/>
              </w:rPr>
              <w:t xml:space="preserve">In describing the partnership’s </w:t>
            </w:r>
            <w:r w:rsidR="00004A66" w:rsidRPr="00587DF1">
              <w:rPr>
                <w:rFonts w:ascii="Arial" w:eastAsia="Arial" w:hAnsi="Arial" w:cs="Arial"/>
              </w:rPr>
              <w:t xml:space="preserve">approach to education, the joint strategy sets out </w:t>
            </w:r>
            <w:r w:rsidRPr="00587DF1">
              <w:rPr>
                <w:rFonts w:ascii="Arial" w:eastAsia="Arial" w:hAnsi="Arial" w:cs="Arial"/>
              </w:rPr>
              <w:t xml:space="preserve">the intention </w:t>
            </w:r>
            <w:r w:rsidR="00004A66" w:rsidRPr="00587DF1">
              <w:rPr>
                <w:rFonts w:ascii="Arial" w:eastAsia="Arial" w:hAnsi="Arial" w:cs="Arial"/>
              </w:rPr>
              <w:t xml:space="preserve">to ensure that </w:t>
            </w:r>
            <w:r w:rsidRPr="00587DF1">
              <w:rPr>
                <w:rFonts w:ascii="Arial" w:eastAsia="Arial" w:hAnsi="Arial" w:cs="Arial"/>
              </w:rPr>
              <w:t>UCL IoO</w:t>
            </w:r>
            <w:r w:rsidR="00004A66" w:rsidRPr="00587DF1">
              <w:rPr>
                <w:rFonts w:ascii="Arial" w:eastAsia="Arial" w:hAnsi="Arial" w:cs="Arial"/>
              </w:rPr>
              <w:t xml:space="preserve"> and Moorfields remain the global leaders in vision and eye health education. </w:t>
            </w:r>
            <w:r w:rsidRPr="00587DF1">
              <w:rPr>
                <w:rFonts w:ascii="Arial" w:eastAsia="Arial" w:hAnsi="Arial" w:cs="Arial"/>
              </w:rPr>
              <w:t xml:space="preserve">The ambition is to train both a </w:t>
            </w:r>
            <w:r w:rsidR="00004A66" w:rsidRPr="00587DF1">
              <w:rPr>
                <w:rFonts w:ascii="Arial" w:eastAsia="Arial" w:hAnsi="Arial" w:cs="Arial"/>
              </w:rPr>
              <w:t xml:space="preserve">local </w:t>
            </w:r>
            <w:r w:rsidRPr="00587DF1">
              <w:rPr>
                <w:rFonts w:ascii="Arial" w:eastAsia="Arial" w:hAnsi="Arial" w:cs="Arial"/>
              </w:rPr>
              <w:t xml:space="preserve">and </w:t>
            </w:r>
            <w:r w:rsidR="00004A66" w:rsidRPr="00587DF1">
              <w:rPr>
                <w:rFonts w:ascii="Arial" w:eastAsia="Arial" w:hAnsi="Arial" w:cs="Arial"/>
              </w:rPr>
              <w:t xml:space="preserve">global workforce that </w:t>
            </w:r>
            <w:r w:rsidRPr="00587DF1">
              <w:rPr>
                <w:rFonts w:ascii="Arial" w:eastAsia="Arial" w:hAnsi="Arial" w:cs="Arial"/>
              </w:rPr>
              <w:t xml:space="preserve">can </w:t>
            </w:r>
            <w:r w:rsidR="00004A66" w:rsidRPr="00587DF1">
              <w:rPr>
                <w:rFonts w:ascii="Arial" w:eastAsia="Arial" w:hAnsi="Arial" w:cs="Arial"/>
              </w:rPr>
              <w:t xml:space="preserve">address the growing demand for eye </w:t>
            </w:r>
            <w:r w:rsidRPr="00587DF1">
              <w:rPr>
                <w:rFonts w:ascii="Arial" w:eastAsia="Arial" w:hAnsi="Arial" w:cs="Arial"/>
              </w:rPr>
              <w:t>care and research</w:t>
            </w:r>
            <w:r w:rsidR="00004A66" w:rsidRPr="00587DF1">
              <w:rPr>
                <w:rFonts w:ascii="Arial" w:eastAsia="Arial" w:hAnsi="Arial" w:cs="Arial"/>
              </w:rPr>
              <w:t>.</w:t>
            </w:r>
          </w:p>
        </w:tc>
      </w:tr>
    </w:tbl>
    <w:p w14:paraId="721BD11A" w14:textId="77777777" w:rsidR="00E47761" w:rsidRPr="00587DF1" w:rsidRDefault="00E47761" w:rsidP="00E47761">
      <w:pPr>
        <w:rPr>
          <w:rFonts w:ascii="Arial" w:hAnsi="Arial" w:cs="Arial"/>
        </w:rPr>
      </w:pPr>
    </w:p>
    <w:p w14:paraId="3CF3A7F6" w14:textId="77777777" w:rsidR="00E47761" w:rsidRPr="00587DF1" w:rsidRDefault="00E47761" w:rsidP="00E47761">
      <w:pPr>
        <w:spacing w:after="0" w:line="240" w:lineRule="auto"/>
        <w:rPr>
          <w:rFonts w:ascii="Arial" w:eastAsia="Arial" w:hAnsi="Arial" w:cs="Arial"/>
          <w:b/>
        </w:rPr>
      </w:pPr>
    </w:p>
    <w:p w14:paraId="6A7F66B3" w14:textId="77777777" w:rsidR="005C539B" w:rsidRPr="00587DF1" w:rsidRDefault="005C539B" w:rsidP="005C539B">
      <w:pPr>
        <w:pStyle w:val="Heading2"/>
        <w:rPr>
          <w:rFonts w:ascii="Arial" w:eastAsia="Arial" w:hAnsi="Arial" w:cs="Arial"/>
        </w:rPr>
      </w:pPr>
      <w:bookmarkStart w:id="46" w:name="_Toc32842677"/>
      <w:r w:rsidRPr="00587DF1">
        <w:rPr>
          <w:rFonts w:ascii="Arial" w:eastAsia="Arial" w:hAnsi="Arial" w:cs="Arial"/>
        </w:rPr>
        <w:t>PART B – MAKING THE CASE FOR CHANGE</w:t>
      </w:r>
      <w:bookmarkEnd w:id="46"/>
    </w:p>
    <w:tbl>
      <w:tblPr>
        <w:tblW w:w="0" w:type="auto"/>
        <w:tblLook w:val="04A0" w:firstRow="1" w:lastRow="0" w:firstColumn="1" w:lastColumn="0" w:noHBand="0" w:noVBand="1"/>
      </w:tblPr>
      <w:tblGrid>
        <w:gridCol w:w="9016"/>
      </w:tblGrid>
      <w:tr w:rsidR="005C539B" w:rsidRPr="00587DF1" w14:paraId="2C74B8B1" w14:textId="77777777" w:rsidTr="001D71F5">
        <w:tc>
          <w:tcPr>
            <w:tcW w:w="9016" w:type="dxa"/>
            <w:tcBorders>
              <w:top w:val="single" w:sz="4" w:space="0" w:color="00A09D"/>
              <w:left w:val="single" w:sz="4" w:space="0" w:color="00A09D"/>
              <w:bottom w:val="single" w:sz="4" w:space="0" w:color="00A09D"/>
              <w:right w:val="single" w:sz="4" w:space="0" w:color="00A09D"/>
            </w:tcBorders>
            <w:shd w:val="clear" w:color="auto" w:fill="DEECEF"/>
          </w:tcPr>
          <w:p w14:paraId="26659AEE" w14:textId="4741FE41" w:rsidR="005C539B" w:rsidRPr="00587DF1" w:rsidRDefault="005C539B" w:rsidP="001D71F5">
            <w:pPr>
              <w:rPr>
                <w:rFonts w:ascii="Arial" w:hAnsi="Arial" w:cs="Arial"/>
                <w:b/>
                <w:bCs/>
                <w:color w:val="00A09D"/>
              </w:rPr>
            </w:pPr>
            <w:r w:rsidRPr="00587DF1">
              <w:rPr>
                <w:rFonts w:ascii="Arial" w:hAnsi="Arial" w:cs="Arial"/>
                <w:b/>
                <w:bCs/>
                <w:color w:val="00A09D"/>
              </w:rPr>
              <w:t xml:space="preserve">Making the case for change – </w:t>
            </w:r>
            <w:r w:rsidR="0025699F">
              <w:rPr>
                <w:rFonts w:ascii="Arial" w:hAnsi="Arial" w:cs="Arial"/>
                <w:b/>
                <w:bCs/>
                <w:color w:val="00A09D"/>
              </w:rPr>
              <w:t>section</w:t>
            </w:r>
            <w:r w:rsidRPr="00587DF1">
              <w:rPr>
                <w:rFonts w:ascii="Arial" w:hAnsi="Arial" w:cs="Arial"/>
                <w:b/>
                <w:bCs/>
                <w:color w:val="00A09D"/>
              </w:rPr>
              <w:t xml:space="preserve"> summary</w:t>
            </w:r>
          </w:p>
          <w:p w14:paraId="22F55ACE" w14:textId="77777777" w:rsidR="005C539B" w:rsidRPr="00587DF1" w:rsidRDefault="00F3653A" w:rsidP="00F3653A">
            <w:pPr>
              <w:rPr>
                <w:rFonts w:ascii="Arial" w:hAnsi="Arial" w:cs="Arial"/>
              </w:rPr>
            </w:pPr>
            <w:r w:rsidRPr="00587DF1">
              <w:rPr>
                <w:rFonts w:ascii="Arial" w:hAnsi="Arial" w:cs="Arial"/>
              </w:rPr>
              <w:t xml:space="preserve">Following on from the </w:t>
            </w:r>
            <w:r w:rsidR="005C539B" w:rsidRPr="00587DF1">
              <w:rPr>
                <w:rFonts w:ascii="Arial" w:hAnsi="Arial" w:cs="Arial"/>
              </w:rPr>
              <w:t>strategic context</w:t>
            </w:r>
            <w:r w:rsidRPr="00587DF1">
              <w:rPr>
                <w:rFonts w:ascii="Arial" w:hAnsi="Arial" w:cs="Arial"/>
              </w:rPr>
              <w:t>, this section provides a</w:t>
            </w:r>
            <w:r w:rsidR="005C539B" w:rsidRPr="00587DF1">
              <w:rPr>
                <w:rFonts w:ascii="Arial" w:hAnsi="Arial" w:cs="Arial"/>
              </w:rPr>
              <w:t>n organisational overview for Moorfields, including its vision and objectives, range of services currently provided and existing financial position.</w:t>
            </w:r>
          </w:p>
          <w:p w14:paraId="39A9491C" w14:textId="4746CEA4" w:rsidR="00F3653A" w:rsidRPr="00587DF1" w:rsidRDefault="00F3653A" w:rsidP="00F3653A">
            <w:pPr>
              <w:rPr>
                <w:rFonts w:ascii="Arial" w:hAnsi="Arial" w:cs="Arial"/>
              </w:rPr>
            </w:pPr>
            <w:r w:rsidRPr="00587DF1">
              <w:rPr>
                <w:rFonts w:ascii="Arial" w:hAnsi="Arial" w:cs="Arial"/>
              </w:rPr>
              <w:t xml:space="preserve">It sets out the significant stakeholder engagement undertaken to develop the case for change, agree investment objectives and appraise options (further detailed in the Economic Case, chapter </w:t>
            </w:r>
            <w:r w:rsidRPr="00587DF1">
              <w:rPr>
                <w:rFonts w:ascii="Arial" w:hAnsi="Arial" w:cs="Arial"/>
              </w:rPr>
              <w:fldChar w:fldCharType="begin"/>
            </w:r>
            <w:r w:rsidRPr="00587DF1">
              <w:rPr>
                <w:rFonts w:ascii="Arial" w:hAnsi="Arial" w:cs="Arial"/>
              </w:rPr>
              <w:instrText xml:space="preserve"> REF _Ref24718143 \r \h </w:instrText>
            </w:r>
            <w:r w:rsidR="00587DF1">
              <w:rPr>
                <w:rFonts w:ascii="Arial" w:hAnsi="Arial" w:cs="Arial"/>
              </w:rPr>
              <w:instrText xml:space="preserve"> \* MERGEFORMAT </w:instrText>
            </w:r>
            <w:r w:rsidRPr="00587DF1">
              <w:rPr>
                <w:rFonts w:ascii="Arial" w:hAnsi="Arial" w:cs="Arial"/>
              </w:rPr>
            </w:r>
            <w:r w:rsidRPr="00587DF1">
              <w:rPr>
                <w:rFonts w:ascii="Arial" w:hAnsi="Arial" w:cs="Arial"/>
              </w:rPr>
              <w:fldChar w:fldCharType="separate"/>
            </w:r>
            <w:r w:rsidR="00A936CD">
              <w:rPr>
                <w:rFonts w:ascii="Arial" w:hAnsi="Arial" w:cs="Arial"/>
              </w:rPr>
              <w:t>4</w:t>
            </w:r>
            <w:r w:rsidRPr="00587DF1">
              <w:rPr>
                <w:rFonts w:ascii="Arial" w:hAnsi="Arial" w:cs="Arial"/>
              </w:rPr>
              <w:fldChar w:fldCharType="end"/>
            </w:r>
            <w:r w:rsidRPr="00587DF1">
              <w:rPr>
                <w:rFonts w:ascii="Arial" w:hAnsi="Arial" w:cs="Arial"/>
              </w:rPr>
              <w:t>).</w:t>
            </w:r>
          </w:p>
          <w:p w14:paraId="2E667A75" w14:textId="77777777" w:rsidR="002E7902" w:rsidRPr="00587DF1" w:rsidRDefault="00F3653A" w:rsidP="002E7902">
            <w:pPr>
              <w:rPr>
                <w:rFonts w:ascii="Arial" w:hAnsi="Arial" w:cs="Arial"/>
              </w:rPr>
            </w:pPr>
            <w:r w:rsidRPr="00587DF1">
              <w:rPr>
                <w:rFonts w:ascii="Arial" w:hAnsi="Arial" w:cs="Arial"/>
              </w:rPr>
              <w:t xml:space="preserve">Finally, it sets out the </w:t>
            </w:r>
            <w:r w:rsidR="005C539B" w:rsidRPr="00587DF1">
              <w:rPr>
                <w:rFonts w:ascii="Arial" w:hAnsi="Arial" w:cs="Arial"/>
              </w:rPr>
              <w:t>spending objectives, existing arrangements and business needs</w:t>
            </w:r>
            <w:r w:rsidR="002E7902" w:rsidRPr="00587DF1">
              <w:rPr>
                <w:rFonts w:ascii="Arial" w:hAnsi="Arial" w:cs="Arial"/>
              </w:rPr>
              <w:t>.</w:t>
            </w:r>
          </w:p>
        </w:tc>
      </w:tr>
    </w:tbl>
    <w:p w14:paraId="14DE1E25" w14:textId="77777777" w:rsidR="00C05A34" w:rsidRPr="00587DF1" w:rsidRDefault="00C05A34" w:rsidP="00E47761">
      <w:pPr>
        <w:spacing w:after="0" w:line="240" w:lineRule="auto"/>
        <w:rPr>
          <w:rFonts w:ascii="Arial" w:eastAsia="Arial" w:hAnsi="Arial" w:cs="Arial"/>
        </w:rPr>
      </w:pPr>
    </w:p>
    <w:p w14:paraId="28371BA1" w14:textId="77777777" w:rsidR="00E47761" w:rsidRPr="00587DF1" w:rsidRDefault="005C539B" w:rsidP="005E0D57">
      <w:pPr>
        <w:pStyle w:val="Heading2"/>
        <w:numPr>
          <w:ilvl w:val="1"/>
          <w:numId w:val="1"/>
        </w:numPr>
        <w:rPr>
          <w:rFonts w:ascii="Arial" w:hAnsi="Arial" w:cs="Arial"/>
        </w:rPr>
      </w:pPr>
      <w:bookmarkStart w:id="47" w:name="_Toc32842678"/>
      <w:r w:rsidRPr="00587DF1">
        <w:rPr>
          <w:rFonts w:ascii="Arial" w:eastAsia="Arial" w:hAnsi="Arial" w:cs="Arial"/>
        </w:rPr>
        <w:t>Organisational overview</w:t>
      </w:r>
      <w:bookmarkEnd w:id="47"/>
    </w:p>
    <w:p w14:paraId="652BAD14" w14:textId="77777777" w:rsidR="00E47761" w:rsidRPr="00587DF1" w:rsidRDefault="00E47761" w:rsidP="00E47761">
      <w:pPr>
        <w:spacing w:after="0" w:line="240" w:lineRule="auto"/>
        <w:rPr>
          <w:rFonts w:ascii="Arial" w:eastAsia="Arial" w:hAnsi="Arial" w:cs="Arial"/>
        </w:rPr>
      </w:pPr>
    </w:p>
    <w:p w14:paraId="579BBDF1" w14:textId="77777777" w:rsidR="00C05A34" w:rsidRPr="00587DF1" w:rsidRDefault="005C539B" w:rsidP="005E0D57">
      <w:pPr>
        <w:numPr>
          <w:ilvl w:val="2"/>
          <w:numId w:val="1"/>
        </w:numPr>
        <w:pBdr>
          <w:top w:val="nil"/>
          <w:left w:val="nil"/>
          <w:bottom w:val="nil"/>
          <w:right w:val="nil"/>
          <w:between w:val="nil"/>
        </w:pBdr>
        <w:spacing w:after="0"/>
        <w:ind w:left="567" w:hanging="567"/>
        <w:jc w:val="both"/>
        <w:rPr>
          <w:rFonts w:ascii="Arial" w:eastAsia="Arial" w:hAnsi="Arial" w:cs="Arial"/>
          <w:b/>
          <w:color w:val="000000"/>
        </w:rPr>
      </w:pPr>
      <w:r w:rsidRPr="00587DF1">
        <w:rPr>
          <w:rFonts w:ascii="Arial" w:eastAsia="Arial" w:hAnsi="Arial" w:cs="Arial"/>
          <w:b/>
          <w:color w:val="000000"/>
        </w:rPr>
        <w:t>O</w:t>
      </w:r>
      <w:r w:rsidR="00C05A34" w:rsidRPr="00587DF1">
        <w:rPr>
          <w:rFonts w:ascii="Arial" w:eastAsia="Arial" w:hAnsi="Arial" w:cs="Arial"/>
          <w:b/>
          <w:color w:val="000000"/>
        </w:rPr>
        <w:t>phthalmology</w:t>
      </w:r>
      <w:r w:rsidRPr="00587DF1">
        <w:rPr>
          <w:rFonts w:ascii="Arial" w:eastAsia="Arial" w:hAnsi="Arial" w:cs="Arial"/>
          <w:b/>
          <w:color w:val="000000"/>
        </w:rPr>
        <w:t xml:space="preserve"> as a specialised service</w:t>
      </w:r>
    </w:p>
    <w:p w14:paraId="0CD2B30D" w14:textId="77777777" w:rsidR="00C05A34" w:rsidRPr="00587DF1" w:rsidRDefault="00C05A34" w:rsidP="00C05A34">
      <w:pPr>
        <w:spacing w:after="0" w:line="240" w:lineRule="auto"/>
        <w:rPr>
          <w:rFonts w:ascii="Arial" w:eastAsia="Arial" w:hAnsi="Arial" w:cs="Arial"/>
        </w:rPr>
      </w:pPr>
    </w:p>
    <w:p w14:paraId="0A2BADCD" w14:textId="3C4691A5" w:rsidR="00C05A34" w:rsidRPr="00587DF1" w:rsidRDefault="00C05A34" w:rsidP="00C05A34">
      <w:pPr>
        <w:spacing w:after="0"/>
        <w:rPr>
          <w:rFonts w:ascii="Arial" w:eastAsia="Arial" w:hAnsi="Arial" w:cs="Arial"/>
        </w:rPr>
      </w:pPr>
      <w:r w:rsidRPr="00587DF1">
        <w:rPr>
          <w:rFonts w:ascii="Arial" w:eastAsia="Arial" w:hAnsi="Arial" w:cs="Arial"/>
        </w:rPr>
        <w:t xml:space="preserve">Moorfields is a specialist provider of ophthalmology </w:t>
      </w:r>
      <w:r w:rsidR="00725971" w:rsidRPr="00587DF1">
        <w:rPr>
          <w:rFonts w:ascii="Arial" w:eastAsia="Arial" w:hAnsi="Arial" w:cs="Arial"/>
        </w:rPr>
        <w:t>services</w:t>
      </w:r>
      <w:r w:rsidRPr="00587DF1">
        <w:rPr>
          <w:rFonts w:ascii="Arial" w:eastAsia="Arial" w:hAnsi="Arial" w:cs="Arial"/>
        </w:rPr>
        <w:t xml:space="preserve">. Key features of </w:t>
      </w:r>
      <w:r w:rsidR="005C539B" w:rsidRPr="00587DF1">
        <w:rPr>
          <w:rFonts w:ascii="Arial" w:eastAsia="Arial" w:hAnsi="Arial" w:cs="Arial"/>
        </w:rPr>
        <w:t>this special</w:t>
      </w:r>
      <w:r w:rsidR="00481D35">
        <w:rPr>
          <w:rFonts w:ascii="Arial" w:eastAsia="Arial" w:hAnsi="Arial" w:cs="Arial"/>
        </w:rPr>
        <w:t>ty</w:t>
      </w:r>
      <w:r w:rsidR="005C539B" w:rsidRPr="00587DF1">
        <w:rPr>
          <w:rFonts w:ascii="Arial" w:eastAsia="Arial" w:hAnsi="Arial" w:cs="Arial"/>
        </w:rPr>
        <w:t xml:space="preserve"> </w:t>
      </w:r>
      <w:r w:rsidRPr="00587DF1">
        <w:rPr>
          <w:rFonts w:ascii="Arial" w:eastAsia="Arial" w:hAnsi="Arial" w:cs="Arial"/>
        </w:rPr>
        <w:t>include:</w:t>
      </w:r>
    </w:p>
    <w:p w14:paraId="48B74E2A" w14:textId="77777777" w:rsidR="00C05A34" w:rsidRPr="00587DF1" w:rsidRDefault="00725971" w:rsidP="005E0D57">
      <w:pPr>
        <w:pStyle w:val="ListParagraph"/>
        <w:numPr>
          <w:ilvl w:val="0"/>
          <w:numId w:val="26"/>
        </w:numPr>
        <w:spacing w:after="0"/>
        <w:rPr>
          <w:rFonts w:ascii="Arial" w:eastAsia="Arial" w:hAnsi="Arial" w:cs="Arial"/>
        </w:rPr>
      </w:pPr>
      <w:r w:rsidRPr="00587DF1">
        <w:rPr>
          <w:rFonts w:ascii="Arial" w:eastAsia="Arial" w:hAnsi="Arial" w:cs="Arial"/>
        </w:rPr>
        <w:t>Ophthalmology</w:t>
      </w:r>
      <w:r w:rsidR="00C05A34" w:rsidRPr="00587DF1">
        <w:rPr>
          <w:rFonts w:ascii="Arial" w:eastAsia="Arial" w:hAnsi="Arial" w:cs="Arial"/>
        </w:rPr>
        <w:t xml:space="preserve"> conditions are rarely life-threatening, however, eye symptoms and disorders are very common and can cause considerable distress and anxiety</w:t>
      </w:r>
      <w:r w:rsidR="007F01A5">
        <w:rPr>
          <w:rFonts w:ascii="Arial" w:eastAsia="Arial" w:hAnsi="Arial" w:cs="Arial"/>
        </w:rPr>
        <w:t>.</w:t>
      </w:r>
    </w:p>
    <w:p w14:paraId="3B3E800B" w14:textId="77777777" w:rsidR="00C05A34" w:rsidRPr="00587DF1" w:rsidRDefault="00C05A34" w:rsidP="005E0D57">
      <w:pPr>
        <w:pStyle w:val="ListParagraph"/>
        <w:numPr>
          <w:ilvl w:val="0"/>
          <w:numId w:val="26"/>
        </w:numPr>
        <w:spacing w:after="0"/>
        <w:rPr>
          <w:rFonts w:ascii="Arial" w:eastAsia="Arial" w:hAnsi="Arial" w:cs="Arial"/>
        </w:rPr>
      </w:pPr>
      <w:r w:rsidRPr="00587DF1">
        <w:rPr>
          <w:rFonts w:ascii="Arial" w:eastAsia="Arial" w:hAnsi="Arial" w:cs="Arial"/>
        </w:rPr>
        <w:t>Sight loss has a significant impact on the lives of those who experience it. As well as the emotional impact of sight deterioration, those affected often lose their ability to maintain their independence, retain employment, and participate in society</w:t>
      </w:r>
      <w:r w:rsidR="007F01A5">
        <w:rPr>
          <w:rFonts w:ascii="Arial" w:eastAsia="Arial" w:hAnsi="Arial" w:cs="Arial"/>
        </w:rPr>
        <w:t>.</w:t>
      </w:r>
    </w:p>
    <w:p w14:paraId="67C2F737" w14:textId="39473578" w:rsidR="00C05A34" w:rsidRPr="00587DF1" w:rsidRDefault="00C05A34" w:rsidP="005E0D57">
      <w:pPr>
        <w:pStyle w:val="ListParagraph"/>
        <w:numPr>
          <w:ilvl w:val="0"/>
          <w:numId w:val="26"/>
        </w:numPr>
        <w:spacing w:after="0"/>
        <w:rPr>
          <w:rFonts w:ascii="Arial" w:eastAsia="Arial" w:hAnsi="Arial" w:cs="Arial"/>
        </w:rPr>
      </w:pPr>
      <w:r w:rsidRPr="00587DF1">
        <w:rPr>
          <w:rFonts w:ascii="Arial" w:eastAsia="Arial" w:hAnsi="Arial" w:cs="Arial"/>
        </w:rPr>
        <w:t>Many eye conditions are related to</w:t>
      </w:r>
      <w:r w:rsidR="004040D3">
        <w:rPr>
          <w:rFonts w:ascii="Arial" w:eastAsia="Arial" w:hAnsi="Arial" w:cs="Arial"/>
        </w:rPr>
        <w:t xml:space="preserve"> ageing</w:t>
      </w:r>
      <w:r w:rsidRPr="00587DF1">
        <w:rPr>
          <w:rFonts w:ascii="Arial" w:eastAsia="Arial" w:hAnsi="Arial" w:cs="Arial"/>
        </w:rPr>
        <w:t>, such as cataract, glaucoma and macular degeneration, and diabetes, e.g. diabetic retinopathy</w:t>
      </w:r>
      <w:r w:rsidR="005C539B" w:rsidRPr="00587DF1">
        <w:rPr>
          <w:rFonts w:ascii="Arial" w:eastAsia="Arial" w:hAnsi="Arial" w:cs="Arial"/>
        </w:rPr>
        <w:t>. The</w:t>
      </w:r>
      <w:r w:rsidR="004040D3">
        <w:rPr>
          <w:rFonts w:ascii="Arial" w:eastAsia="Arial" w:hAnsi="Arial" w:cs="Arial"/>
        </w:rPr>
        <w:t xml:space="preserve"> ageing</w:t>
      </w:r>
      <w:r w:rsidR="005C539B" w:rsidRPr="00587DF1">
        <w:rPr>
          <w:rFonts w:ascii="Arial" w:eastAsia="Arial" w:hAnsi="Arial" w:cs="Arial"/>
        </w:rPr>
        <w:t xml:space="preserve"> population therefore places an increased pressure on services</w:t>
      </w:r>
      <w:r w:rsidR="00E971DE" w:rsidRPr="00587DF1">
        <w:rPr>
          <w:rFonts w:ascii="Arial" w:eastAsia="Arial" w:hAnsi="Arial" w:cs="Arial"/>
        </w:rPr>
        <w:t>, and plans for Oriel need to be sensitive to the needs of this population</w:t>
      </w:r>
      <w:r w:rsidR="007F01A5">
        <w:rPr>
          <w:rFonts w:ascii="Arial" w:eastAsia="Arial" w:hAnsi="Arial" w:cs="Arial"/>
        </w:rPr>
        <w:t>.</w:t>
      </w:r>
    </w:p>
    <w:p w14:paraId="3D92F549" w14:textId="60E1F87A" w:rsidR="00AD325B" w:rsidRPr="00AD325B" w:rsidRDefault="00725971" w:rsidP="005E0D57">
      <w:pPr>
        <w:pStyle w:val="ListParagraph"/>
        <w:numPr>
          <w:ilvl w:val="0"/>
          <w:numId w:val="26"/>
        </w:numPr>
        <w:spacing w:after="0"/>
        <w:rPr>
          <w:rFonts w:ascii="Arial" w:eastAsia="Arial" w:hAnsi="Arial" w:cs="Arial"/>
        </w:rPr>
      </w:pPr>
      <w:r w:rsidRPr="00587DF1">
        <w:rPr>
          <w:rFonts w:ascii="Arial" w:eastAsia="Arial" w:hAnsi="Arial" w:cs="Arial"/>
        </w:rPr>
        <w:t>Ophthalmology</w:t>
      </w:r>
      <w:r w:rsidR="00C05A34" w:rsidRPr="00587DF1">
        <w:rPr>
          <w:rFonts w:ascii="Arial" w:eastAsia="Arial" w:hAnsi="Arial" w:cs="Arial"/>
        </w:rPr>
        <w:t xml:space="preserve"> patients are primarily ambulatory. Most patient attendances are in an outpatient (or similar) setting for screening, diagnosis and ongoing monitoring, or for a </w:t>
      </w:r>
      <w:r w:rsidRPr="00587DF1">
        <w:rPr>
          <w:rFonts w:ascii="Arial" w:eastAsia="Arial" w:hAnsi="Arial" w:cs="Arial"/>
        </w:rPr>
        <w:t>procedure</w:t>
      </w:r>
      <w:r w:rsidR="00C05A34" w:rsidRPr="00587DF1">
        <w:rPr>
          <w:rFonts w:ascii="Arial" w:eastAsia="Arial" w:hAnsi="Arial" w:cs="Arial"/>
        </w:rPr>
        <w:t xml:space="preserve"> such as surgery, injections or laser treatment after which patients can be discharged on the same day</w:t>
      </w:r>
      <w:r w:rsidR="00A5379E">
        <w:rPr>
          <w:rFonts w:ascii="Arial" w:eastAsia="Arial" w:hAnsi="Arial" w:cs="Arial"/>
        </w:rPr>
        <w:t>.</w:t>
      </w:r>
      <w:r w:rsidR="00AD325B">
        <w:rPr>
          <w:rFonts w:ascii="Arial" w:eastAsia="Arial" w:hAnsi="Arial" w:cs="Arial"/>
        </w:rPr>
        <w:t xml:space="preserve"> </w:t>
      </w:r>
      <w:r w:rsidR="00AD325B" w:rsidRPr="00AD325B">
        <w:rPr>
          <w:rFonts w:ascii="Arial" w:eastAsia="Arial" w:hAnsi="Arial" w:cs="Arial"/>
        </w:rPr>
        <w:t>87% of surgical patients at Moorfields undergo surgery under local anaesthesia</w:t>
      </w:r>
      <w:r w:rsidR="00AD325B" w:rsidRPr="00587DF1">
        <w:rPr>
          <w:rStyle w:val="FootnoteReference"/>
          <w:rFonts w:ascii="Arial" w:eastAsia="Arial" w:hAnsi="Arial" w:cs="Arial"/>
        </w:rPr>
        <w:footnoteReference w:id="2"/>
      </w:r>
      <w:r w:rsidR="00AD325B" w:rsidRPr="00AD325B">
        <w:rPr>
          <w:rFonts w:ascii="Arial" w:eastAsia="Arial" w:hAnsi="Arial" w:cs="Arial"/>
        </w:rPr>
        <w:t xml:space="preserve">, meaning post-operative complications requiring an overnight bed stay are rare. </w:t>
      </w:r>
      <w:r w:rsidR="00AD325B">
        <w:rPr>
          <w:rFonts w:ascii="Arial" w:eastAsia="Arial" w:hAnsi="Arial" w:cs="Arial"/>
        </w:rPr>
        <w:t>T</w:t>
      </w:r>
      <w:r w:rsidR="00AD325B" w:rsidRPr="00AD325B">
        <w:rPr>
          <w:rFonts w:ascii="Arial" w:eastAsia="Arial" w:hAnsi="Arial" w:cs="Arial"/>
        </w:rPr>
        <w:t xml:space="preserve">he City Road site has 6 inpatient beds that are used for </w:t>
      </w:r>
      <w:r w:rsidR="00AD325B" w:rsidRPr="00AD325B">
        <w:rPr>
          <w:rFonts w:ascii="Arial" w:eastAsia="Arial" w:hAnsi="Arial" w:cs="Arial"/>
        </w:rPr>
        <w:lastRenderedPageBreak/>
        <w:t>observation and extended recovery when required. Patients with complex needs requiring overnight care attend neighbouring trusts who partner with Moorfields.</w:t>
      </w:r>
    </w:p>
    <w:p w14:paraId="49D8D879" w14:textId="77777777" w:rsidR="00AD325B" w:rsidRPr="00587DF1" w:rsidRDefault="00AD325B" w:rsidP="005E0D57">
      <w:pPr>
        <w:pStyle w:val="ListParagraph"/>
        <w:numPr>
          <w:ilvl w:val="0"/>
          <w:numId w:val="26"/>
        </w:numPr>
        <w:spacing w:after="0"/>
        <w:rPr>
          <w:rFonts w:ascii="Arial" w:eastAsia="Arial" w:hAnsi="Arial" w:cs="Arial"/>
        </w:rPr>
      </w:pPr>
      <w:r w:rsidRPr="00587DF1">
        <w:rPr>
          <w:rFonts w:ascii="Arial" w:eastAsia="Arial" w:hAnsi="Arial" w:cs="Arial"/>
        </w:rPr>
        <w:t>Many</w:t>
      </w:r>
      <w:r>
        <w:rPr>
          <w:rFonts w:ascii="Arial" w:eastAsia="Arial" w:hAnsi="Arial" w:cs="Arial"/>
        </w:rPr>
        <w:t xml:space="preserve"> </w:t>
      </w:r>
      <w:r w:rsidRPr="00587DF1">
        <w:rPr>
          <w:rFonts w:ascii="Arial" w:eastAsia="Arial" w:hAnsi="Arial" w:cs="Arial"/>
        </w:rPr>
        <w:t xml:space="preserve">eye conditions need </w:t>
      </w:r>
      <w:r>
        <w:rPr>
          <w:rFonts w:ascii="Arial" w:eastAsia="Arial" w:hAnsi="Arial" w:cs="Arial"/>
        </w:rPr>
        <w:t xml:space="preserve">long-term </w:t>
      </w:r>
      <w:r w:rsidRPr="00587DF1">
        <w:rPr>
          <w:rFonts w:ascii="Arial" w:eastAsia="Arial" w:hAnsi="Arial" w:cs="Arial"/>
        </w:rPr>
        <w:t>ongoing management to prevent blindness. 77% of outpatient appointments are follow-ups rather than first attendances</w:t>
      </w:r>
      <w:r w:rsidRPr="00587DF1">
        <w:rPr>
          <w:rStyle w:val="FootnoteReference"/>
          <w:rFonts w:ascii="Arial" w:eastAsia="Arial" w:hAnsi="Arial" w:cs="Arial"/>
        </w:rPr>
        <w:footnoteReference w:id="3"/>
      </w:r>
      <w:r w:rsidRPr="00587DF1">
        <w:rPr>
          <w:rFonts w:ascii="Arial" w:eastAsia="Arial" w:hAnsi="Arial" w:cs="Arial"/>
        </w:rPr>
        <w:t>. Patients often have multiple contacts with services during a single visit, for example a patient may receive multiple diagnostic tests when they come to Moorfields as well as an appointment with a clinician.</w:t>
      </w:r>
    </w:p>
    <w:p w14:paraId="1EF56377" w14:textId="77777777" w:rsidR="00C05A34" w:rsidRPr="00587DF1" w:rsidRDefault="00C05A34" w:rsidP="005E0D57">
      <w:pPr>
        <w:pStyle w:val="ListParagraph"/>
        <w:numPr>
          <w:ilvl w:val="0"/>
          <w:numId w:val="26"/>
        </w:numPr>
        <w:spacing w:after="0"/>
        <w:rPr>
          <w:rFonts w:ascii="Arial" w:eastAsia="Arial" w:hAnsi="Arial" w:cs="Arial"/>
        </w:rPr>
      </w:pPr>
      <w:r w:rsidRPr="00587DF1">
        <w:rPr>
          <w:rFonts w:ascii="Arial" w:eastAsia="Arial" w:hAnsi="Arial" w:cs="Arial"/>
        </w:rPr>
        <w:t xml:space="preserve">The most common </w:t>
      </w:r>
      <w:r w:rsidR="00725971" w:rsidRPr="00587DF1">
        <w:rPr>
          <w:rFonts w:ascii="Arial" w:eastAsia="Arial" w:hAnsi="Arial" w:cs="Arial"/>
        </w:rPr>
        <w:t>procedure</w:t>
      </w:r>
      <w:r w:rsidRPr="00587DF1">
        <w:rPr>
          <w:rFonts w:ascii="Arial" w:eastAsia="Arial" w:hAnsi="Arial" w:cs="Arial"/>
        </w:rPr>
        <w:t xml:space="preserve"> is </w:t>
      </w:r>
      <w:r w:rsidR="00725971" w:rsidRPr="00587DF1">
        <w:rPr>
          <w:rFonts w:ascii="Arial" w:eastAsia="Arial" w:hAnsi="Arial" w:cs="Arial"/>
        </w:rPr>
        <w:t>cataract</w:t>
      </w:r>
      <w:r w:rsidRPr="00587DF1">
        <w:rPr>
          <w:rFonts w:ascii="Arial" w:eastAsia="Arial" w:hAnsi="Arial" w:cs="Arial"/>
        </w:rPr>
        <w:t xml:space="preserve"> surgery, which is usually a quick and straightforward </w:t>
      </w:r>
      <w:r w:rsidR="00725971" w:rsidRPr="00587DF1">
        <w:rPr>
          <w:rFonts w:ascii="Arial" w:eastAsia="Arial" w:hAnsi="Arial" w:cs="Arial"/>
        </w:rPr>
        <w:t>procedure</w:t>
      </w:r>
      <w:r w:rsidRPr="00587DF1">
        <w:rPr>
          <w:rFonts w:ascii="Arial" w:eastAsia="Arial" w:hAnsi="Arial" w:cs="Arial"/>
        </w:rPr>
        <w:t xml:space="preserve">, which takes place under local </w:t>
      </w:r>
      <w:r w:rsidR="00725971" w:rsidRPr="00587DF1">
        <w:rPr>
          <w:rFonts w:ascii="Arial" w:eastAsia="Arial" w:hAnsi="Arial" w:cs="Arial"/>
        </w:rPr>
        <w:t>anaesthetic</w:t>
      </w:r>
      <w:r w:rsidRPr="00587DF1">
        <w:rPr>
          <w:rFonts w:ascii="Arial" w:eastAsia="Arial" w:hAnsi="Arial" w:cs="Arial"/>
        </w:rPr>
        <w:t xml:space="preserve"> and which usually represents a cure of the condition.</w:t>
      </w:r>
    </w:p>
    <w:p w14:paraId="46F586F9" w14:textId="77777777" w:rsidR="00C05A34" w:rsidRPr="00587DF1" w:rsidRDefault="00C05A34" w:rsidP="005E0D57">
      <w:pPr>
        <w:pStyle w:val="ListParagraph"/>
        <w:numPr>
          <w:ilvl w:val="0"/>
          <w:numId w:val="26"/>
        </w:numPr>
        <w:spacing w:after="0"/>
        <w:rPr>
          <w:rFonts w:ascii="Arial" w:eastAsia="Arial" w:hAnsi="Arial" w:cs="Arial"/>
        </w:rPr>
      </w:pPr>
      <w:r w:rsidRPr="00587DF1">
        <w:rPr>
          <w:rFonts w:ascii="Arial" w:eastAsia="Arial" w:hAnsi="Arial" w:cs="Arial"/>
        </w:rPr>
        <w:t xml:space="preserve">Unlike </w:t>
      </w:r>
      <w:r w:rsidR="00725971" w:rsidRPr="00587DF1">
        <w:rPr>
          <w:rFonts w:ascii="Arial" w:eastAsia="Arial" w:hAnsi="Arial" w:cs="Arial"/>
        </w:rPr>
        <w:t>cataracts</w:t>
      </w:r>
      <w:r w:rsidRPr="00587DF1">
        <w:rPr>
          <w:rFonts w:ascii="Arial" w:eastAsia="Arial" w:hAnsi="Arial" w:cs="Arial"/>
        </w:rPr>
        <w:t>, most other conditions (such as Age-Related Macular Degeneration (AMD) and glaucoma) have no cure, and therefore require ongoing management. This often enables disease progression to be slowed, thereby maintaining patients’ ability to maintain quality of life.</w:t>
      </w:r>
    </w:p>
    <w:p w14:paraId="5447E7E1" w14:textId="2B2FB93C" w:rsidR="00C05A34" w:rsidRPr="00587DF1" w:rsidRDefault="00C05A34" w:rsidP="005E0D57">
      <w:pPr>
        <w:pStyle w:val="ListParagraph"/>
        <w:numPr>
          <w:ilvl w:val="0"/>
          <w:numId w:val="26"/>
        </w:numPr>
        <w:spacing w:after="0"/>
        <w:rPr>
          <w:rFonts w:ascii="Arial" w:eastAsia="Arial" w:hAnsi="Arial" w:cs="Arial"/>
        </w:rPr>
      </w:pPr>
      <w:r w:rsidRPr="00587DF1">
        <w:rPr>
          <w:rFonts w:ascii="Arial" w:eastAsia="Arial" w:hAnsi="Arial" w:cs="Arial"/>
        </w:rPr>
        <w:t>As well as high-volume special</w:t>
      </w:r>
      <w:r w:rsidR="00481D35">
        <w:rPr>
          <w:rFonts w:ascii="Arial" w:eastAsia="Arial" w:hAnsi="Arial" w:cs="Arial"/>
        </w:rPr>
        <w:t>ties</w:t>
      </w:r>
      <w:r w:rsidRPr="00587DF1">
        <w:rPr>
          <w:rFonts w:ascii="Arial" w:eastAsia="Arial" w:hAnsi="Arial" w:cs="Arial"/>
        </w:rPr>
        <w:t xml:space="preserve"> such as glaucoma, medical retina and </w:t>
      </w:r>
      <w:r w:rsidR="00725971" w:rsidRPr="00587DF1">
        <w:rPr>
          <w:rFonts w:ascii="Arial" w:eastAsia="Arial" w:hAnsi="Arial" w:cs="Arial"/>
        </w:rPr>
        <w:t>cataracts</w:t>
      </w:r>
      <w:r w:rsidRPr="00587DF1">
        <w:rPr>
          <w:rFonts w:ascii="Arial" w:eastAsia="Arial" w:hAnsi="Arial" w:cs="Arial"/>
        </w:rPr>
        <w:t xml:space="preserve">, </w:t>
      </w:r>
      <w:r w:rsidR="00725971" w:rsidRPr="00587DF1">
        <w:rPr>
          <w:rFonts w:ascii="Arial" w:eastAsia="Arial" w:hAnsi="Arial" w:cs="Arial"/>
        </w:rPr>
        <w:t>ophthalmology</w:t>
      </w:r>
      <w:r w:rsidRPr="00587DF1">
        <w:rPr>
          <w:rFonts w:ascii="Arial" w:eastAsia="Arial" w:hAnsi="Arial" w:cs="Arial"/>
        </w:rPr>
        <w:t xml:space="preserve"> is characterised by highly complex and specialised services such as ocular prosthetics, ocular oncology and corneal grafting.</w:t>
      </w:r>
    </w:p>
    <w:p w14:paraId="65979261" w14:textId="77777777" w:rsidR="00A1175B" w:rsidRPr="00A1175B" w:rsidRDefault="00AD325B" w:rsidP="005E0D57">
      <w:pPr>
        <w:pStyle w:val="ListParagraph"/>
        <w:numPr>
          <w:ilvl w:val="0"/>
          <w:numId w:val="26"/>
        </w:numPr>
        <w:spacing w:after="0"/>
        <w:rPr>
          <w:rFonts w:ascii="Arial" w:eastAsia="Arial" w:hAnsi="Arial" w:cs="Arial"/>
        </w:rPr>
      </w:pPr>
      <w:r w:rsidRPr="00A1175B">
        <w:rPr>
          <w:rFonts w:ascii="Arial" w:eastAsia="Arial" w:hAnsi="Arial" w:cs="Arial"/>
        </w:rPr>
        <w:t>Ophthalmology is a field which experiences rapid service change. Research into new treatments, if successful, can radically change both a patients’ chances of maintaining their sight, and the way that care providers need to operate</w:t>
      </w:r>
      <w:r w:rsidR="00A1175B" w:rsidRPr="00A1175B">
        <w:rPr>
          <w:rFonts w:ascii="Arial" w:eastAsia="Arial" w:hAnsi="Arial" w:cs="Arial"/>
        </w:rPr>
        <w:t>. An example is shown below.</w:t>
      </w:r>
    </w:p>
    <w:p w14:paraId="02D785CF" w14:textId="77777777" w:rsidR="00A1175B" w:rsidRPr="00587DF1" w:rsidRDefault="00A1175B" w:rsidP="00A1175B">
      <w:pPr>
        <w:rPr>
          <w:rFonts w:ascii="Arial" w:hAnsi="Arial" w:cs="Arial"/>
          <w:i/>
          <w:iCs/>
          <w:color w:val="FF0000"/>
        </w:rPr>
      </w:pPr>
    </w:p>
    <w:tbl>
      <w:tblPr>
        <w:tblW w:w="0" w:type="auto"/>
        <w:tblLook w:val="04A0" w:firstRow="1" w:lastRow="0" w:firstColumn="1" w:lastColumn="0" w:noHBand="0" w:noVBand="1"/>
      </w:tblPr>
      <w:tblGrid>
        <w:gridCol w:w="9016"/>
      </w:tblGrid>
      <w:tr w:rsidR="00A1175B" w:rsidRPr="00587DF1" w14:paraId="1CB34F87" w14:textId="77777777" w:rsidTr="009E5516">
        <w:tc>
          <w:tcPr>
            <w:tcW w:w="9016" w:type="dxa"/>
            <w:tcBorders>
              <w:top w:val="single" w:sz="4" w:space="0" w:color="00A09D"/>
              <w:left w:val="single" w:sz="4" w:space="0" w:color="00A09D"/>
              <w:bottom w:val="single" w:sz="4" w:space="0" w:color="00A09D"/>
              <w:right w:val="single" w:sz="4" w:space="0" w:color="00A09D"/>
            </w:tcBorders>
            <w:shd w:val="clear" w:color="auto" w:fill="DEECEF"/>
          </w:tcPr>
          <w:p w14:paraId="2134FF43" w14:textId="77777777" w:rsidR="00A1175B" w:rsidRPr="00587DF1" w:rsidRDefault="00A1175B" w:rsidP="009E5516">
            <w:pPr>
              <w:rPr>
                <w:rFonts w:ascii="Arial" w:hAnsi="Arial" w:cs="Arial"/>
                <w:b/>
                <w:bCs/>
                <w:color w:val="00A09D"/>
              </w:rPr>
            </w:pPr>
            <w:r>
              <w:rPr>
                <w:rFonts w:ascii="Arial" w:hAnsi="Arial" w:cs="Arial"/>
                <w:b/>
                <w:bCs/>
                <w:color w:val="00A09D"/>
              </w:rPr>
              <w:t xml:space="preserve">Case study – Research in wet </w:t>
            </w:r>
            <w:r w:rsidRPr="00A1175B">
              <w:rPr>
                <w:rFonts w:ascii="Arial" w:hAnsi="Arial" w:cs="Arial"/>
                <w:b/>
                <w:bCs/>
                <w:color w:val="00A09D"/>
              </w:rPr>
              <w:t>Age-Related Macular Degeneration (AMD</w:t>
            </w:r>
            <w:r>
              <w:rPr>
                <w:rFonts w:ascii="Arial" w:hAnsi="Arial" w:cs="Arial"/>
                <w:b/>
                <w:bCs/>
                <w:color w:val="00A09D"/>
              </w:rPr>
              <w:t>)</w:t>
            </w:r>
          </w:p>
          <w:p w14:paraId="09317580" w14:textId="77777777" w:rsidR="00A1175B" w:rsidRDefault="00A1175B" w:rsidP="00A1175B">
            <w:pPr>
              <w:spacing w:after="0"/>
              <w:rPr>
                <w:rFonts w:ascii="Arial" w:eastAsia="Arial" w:hAnsi="Arial" w:cs="Arial"/>
              </w:rPr>
            </w:pPr>
            <w:r>
              <w:rPr>
                <w:rFonts w:ascii="Arial" w:eastAsia="Arial" w:hAnsi="Arial" w:cs="Arial"/>
              </w:rPr>
              <w:t>W</w:t>
            </w:r>
            <w:r w:rsidRPr="00A1175B">
              <w:rPr>
                <w:rFonts w:ascii="Arial" w:eastAsia="Arial" w:hAnsi="Arial" w:cs="Arial"/>
              </w:rPr>
              <w:t>et AMD is a rapid-onset disease which causes irreversible sight loss. Until recently there was no treatment for this, and following diagnosis, patients were referred to counselling and support services.</w:t>
            </w:r>
          </w:p>
          <w:p w14:paraId="497576E8" w14:textId="77777777" w:rsidR="00A1175B" w:rsidRDefault="00A1175B" w:rsidP="00A1175B">
            <w:pPr>
              <w:spacing w:after="0"/>
              <w:rPr>
                <w:rFonts w:ascii="Arial" w:eastAsia="Arial" w:hAnsi="Arial" w:cs="Arial"/>
              </w:rPr>
            </w:pPr>
          </w:p>
          <w:p w14:paraId="3A5F8018" w14:textId="77777777" w:rsidR="00A1175B" w:rsidRDefault="00A1175B" w:rsidP="00A1175B">
            <w:pPr>
              <w:spacing w:after="0"/>
              <w:rPr>
                <w:rFonts w:ascii="Arial" w:eastAsia="Arial" w:hAnsi="Arial" w:cs="Arial"/>
              </w:rPr>
            </w:pPr>
            <w:r>
              <w:rPr>
                <w:rFonts w:ascii="Arial" w:eastAsia="Arial" w:hAnsi="Arial" w:cs="Arial"/>
              </w:rPr>
              <w:t>I</w:t>
            </w:r>
            <w:r w:rsidRPr="00A1175B">
              <w:rPr>
                <w:rFonts w:ascii="Arial" w:eastAsia="Arial" w:hAnsi="Arial" w:cs="Arial"/>
              </w:rPr>
              <w:t>n the past decade, treatment involving injections into the eye every 6 months have been shown to halt the progression of this disease. This treatment is now widely offered by Moorfields, significantly improving patient outcomes and quality of life, as well as increasing activity within this patient group.</w:t>
            </w:r>
          </w:p>
          <w:p w14:paraId="7CC1DC13" w14:textId="77777777" w:rsidR="00A1175B" w:rsidRDefault="00A1175B" w:rsidP="00A1175B">
            <w:pPr>
              <w:spacing w:after="0"/>
              <w:rPr>
                <w:rFonts w:ascii="Arial" w:eastAsia="Arial" w:hAnsi="Arial" w:cs="Arial"/>
              </w:rPr>
            </w:pPr>
          </w:p>
          <w:p w14:paraId="3424D06B" w14:textId="77777777" w:rsidR="00A1175B" w:rsidRDefault="00A1175B" w:rsidP="00A1175B">
            <w:pPr>
              <w:spacing w:after="0"/>
              <w:rPr>
                <w:rFonts w:ascii="Arial" w:eastAsia="Arial" w:hAnsi="Arial" w:cs="Arial"/>
              </w:rPr>
            </w:pPr>
            <w:r w:rsidRPr="00A1175B">
              <w:rPr>
                <w:rFonts w:ascii="Arial" w:eastAsia="Arial" w:hAnsi="Arial" w:cs="Arial"/>
              </w:rPr>
              <w:t>Clinical trials in the last year have shown early signs of success with an injectable with improved efficacy in the treatment of wet-AMD, which would reduce the frequency with which patients need to attend hospital. This treatment did not pass clinical trial, so is undergoing further development. Research is also underway into injections to treat other eye conditions, as well as laser treatment and other new techniques.</w:t>
            </w:r>
          </w:p>
          <w:p w14:paraId="035C7B1B" w14:textId="77777777" w:rsidR="00A1175B" w:rsidRDefault="00A1175B" w:rsidP="00A1175B">
            <w:pPr>
              <w:spacing w:after="0"/>
              <w:rPr>
                <w:rFonts w:ascii="Arial" w:eastAsia="Arial" w:hAnsi="Arial" w:cs="Arial"/>
              </w:rPr>
            </w:pPr>
          </w:p>
          <w:p w14:paraId="0DEB734F" w14:textId="58065DAD" w:rsidR="00A1175B" w:rsidRPr="00A1175B" w:rsidRDefault="007036FC" w:rsidP="00A1175B">
            <w:pPr>
              <w:spacing w:after="0"/>
              <w:rPr>
                <w:rFonts w:ascii="Arial" w:eastAsia="Arial" w:hAnsi="Arial" w:cs="Arial"/>
              </w:rPr>
            </w:pPr>
            <w:r w:rsidRPr="007036FC">
              <w:rPr>
                <w:rFonts w:ascii="Arial" w:eastAsia="Arial" w:hAnsi="Arial" w:cs="Arial"/>
              </w:rPr>
              <w:t>The trust’s</w:t>
            </w:r>
            <w:r>
              <w:rPr>
                <w:rFonts w:ascii="Arial" w:eastAsia="Arial" w:hAnsi="Arial" w:cs="Arial"/>
              </w:rPr>
              <w:t xml:space="preserve"> current</w:t>
            </w:r>
            <w:r w:rsidRPr="007036FC">
              <w:rPr>
                <w:rFonts w:ascii="Arial" w:eastAsia="Arial" w:hAnsi="Arial" w:cs="Arial"/>
              </w:rPr>
              <w:t xml:space="preserve"> position is based on </w:t>
            </w:r>
            <w:r>
              <w:rPr>
                <w:rFonts w:ascii="Arial" w:eastAsia="Arial" w:hAnsi="Arial" w:cs="Arial"/>
              </w:rPr>
              <w:t xml:space="preserve">its </w:t>
            </w:r>
            <w:r w:rsidRPr="007036FC">
              <w:rPr>
                <w:rFonts w:ascii="Arial" w:eastAsia="Arial" w:hAnsi="Arial" w:cs="Arial"/>
              </w:rPr>
              <w:t>world leading experts</w:t>
            </w:r>
            <w:r>
              <w:rPr>
                <w:rFonts w:ascii="Arial" w:eastAsia="Arial" w:hAnsi="Arial" w:cs="Arial"/>
              </w:rPr>
              <w:t xml:space="preserve">, </w:t>
            </w:r>
            <w:r w:rsidRPr="007036FC">
              <w:rPr>
                <w:rFonts w:ascii="Arial" w:eastAsia="Arial" w:hAnsi="Arial" w:cs="Arial"/>
              </w:rPr>
              <w:t xml:space="preserve">many of </w:t>
            </w:r>
            <w:r>
              <w:rPr>
                <w:rFonts w:ascii="Arial" w:eastAsia="Arial" w:hAnsi="Arial" w:cs="Arial"/>
              </w:rPr>
              <w:t xml:space="preserve">whom </w:t>
            </w:r>
            <w:r w:rsidRPr="007036FC">
              <w:rPr>
                <w:rFonts w:ascii="Arial" w:eastAsia="Arial" w:hAnsi="Arial" w:cs="Arial"/>
              </w:rPr>
              <w:t xml:space="preserve">are undertaking pioneering research for the benefit of Moorfields patients and </w:t>
            </w:r>
            <w:r w:rsidR="00B8080B">
              <w:rPr>
                <w:rFonts w:ascii="Arial" w:eastAsia="Arial" w:hAnsi="Arial" w:cs="Arial"/>
              </w:rPr>
              <w:t xml:space="preserve">the </w:t>
            </w:r>
            <w:r w:rsidRPr="007036FC">
              <w:rPr>
                <w:rFonts w:ascii="Arial" w:eastAsia="Arial" w:hAnsi="Arial" w:cs="Arial"/>
              </w:rPr>
              <w:t xml:space="preserve">population </w:t>
            </w:r>
            <w:r w:rsidRPr="007036FC">
              <w:rPr>
                <w:rFonts w:ascii="Arial" w:eastAsia="Arial" w:hAnsi="Arial" w:cs="Arial"/>
              </w:rPr>
              <w:lastRenderedPageBreak/>
              <w:t xml:space="preserve">worldwide. </w:t>
            </w:r>
            <w:r w:rsidR="00B8080B" w:rsidRPr="00A1175B">
              <w:rPr>
                <w:rFonts w:ascii="Arial" w:eastAsia="Arial" w:hAnsi="Arial" w:cs="Arial"/>
              </w:rPr>
              <w:t>While the trust does not foresee new treatment options which would significantly change how services are delivered in the next five years, Oriel must be flexible in order to continue to offer patients the best care available.</w:t>
            </w:r>
            <w:r w:rsidR="00B8080B">
              <w:rPr>
                <w:rFonts w:ascii="Arial" w:eastAsia="Arial" w:hAnsi="Arial" w:cs="Arial"/>
              </w:rPr>
              <w:t xml:space="preserve"> T</w:t>
            </w:r>
            <w:r w:rsidRPr="007036FC">
              <w:rPr>
                <w:rFonts w:ascii="Arial" w:eastAsia="Arial" w:hAnsi="Arial" w:cs="Arial"/>
              </w:rPr>
              <w:t xml:space="preserve">he trust’s ambition </w:t>
            </w:r>
            <w:r w:rsidR="00B8080B">
              <w:rPr>
                <w:rFonts w:ascii="Arial" w:eastAsia="Arial" w:hAnsi="Arial" w:cs="Arial"/>
              </w:rPr>
              <w:t xml:space="preserve">that </w:t>
            </w:r>
            <w:r w:rsidRPr="007036FC">
              <w:rPr>
                <w:rFonts w:ascii="Arial" w:eastAsia="Arial" w:hAnsi="Arial" w:cs="Arial"/>
              </w:rPr>
              <w:t xml:space="preserve">Oriel </w:t>
            </w:r>
            <w:r w:rsidR="00B8080B">
              <w:rPr>
                <w:rFonts w:ascii="Arial" w:eastAsia="Arial" w:hAnsi="Arial" w:cs="Arial"/>
              </w:rPr>
              <w:t xml:space="preserve">must be </w:t>
            </w:r>
            <w:r w:rsidRPr="007036FC">
              <w:rPr>
                <w:rFonts w:ascii="Arial" w:eastAsia="Arial" w:hAnsi="Arial" w:cs="Arial"/>
              </w:rPr>
              <w:t xml:space="preserve">flexible for future treatment options </w:t>
            </w:r>
            <w:r w:rsidR="00B8080B">
              <w:rPr>
                <w:rFonts w:ascii="Arial" w:eastAsia="Arial" w:hAnsi="Arial" w:cs="Arial"/>
              </w:rPr>
              <w:t xml:space="preserve">is </w:t>
            </w:r>
            <w:r w:rsidRPr="007036FC">
              <w:rPr>
                <w:rFonts w:ascii="Arial" w:eastAsia="Arial" w:hAnsi="Arial" w:cs="Arial"/>
              </w:rPr>
              <w:t>wholly supported by clinicians.</w:t>
            </w:r>
          </w:p>
        </w:tc>
      </w:tr>
    </w:tbl>
    <w:p w14:paraId="25FEBFDE" w14:textId="77777777" w:rsidR="00AD325B" w:rsidRPr="00587DF1" w:rsidRDefault="00AD325B" w:rsidP="00E47761">
      <w:pPr>
        <w:spacing w:after="0" w:line="240" w:lineRule="auto"/>
        <w:rPr>
          <w:rFonts w:ascii="Arial" w:eastAsia="Arial" w:hAnsi="Arial" w:cs="Arial"/>
        </w:rPr>
      </w:pPr>
    </w:p>
    <w:p w14:paraId="3913689D" w14:textId="77777777" w:rsidR="00E47761" w:rsidRPr="00587DF1" w:rsidRDefault="00E47761" w:rsidP="00E47761">
      <w:pPr>
        <w:spacing w:after="0"/>
        <w:rPr>
          <w:rFonts w:ascii="Arial" w:hAnsi="Arial" w:cs="Arial"/>
        </w:rPr>
      </w:pPr>
    </w:p>
    <w:p w14:paraId="38A11505" w14:textId="77777777" w:rsidR="005278C1" w:rsidRPr="00587DF1" w:rsidRDefault="005278C1" w:rsidP="005E0D57">
      <w:pPr>
        <w:numPr>
          <w:ilvl w:val="2"/>
          <w:numId w:val="1"/>
        </w:numPr>
        <w:pBdr>
          <w:top w:val="nil"/>
          <w:left w:val="nil"/>
          <w:bottom w:val="nil"/>
          <w:right w:val="nil"/>
          <w:between w:val="nil"/>
        </w:pBdr>
        <w:spacing w:after="0"/>
        <w:ind w:left="567" w:hanging="567"/>
        <w:jc w:val="both"/>
        <w:rPr>
          <w:rFonts w:ascii="Arial" w:eastAsia="Arial" w:hAnsi="Arial" w:cs="Arial"/>
          <w:b/>
          <w:color w:val="000000"/>
        </w:rPr>
      </w:pPr>
      <w:bookmarkStart w:id="48" w:name="_Ref24984529"/>
      <w:bookmarkStart w:id="49" w:name="_Hlk18598577"/>
      <w:r w:rsidRPr="00587DF1">
        <w:rPr>
          <w:rFonts w:ascii="Arial" w:eastAsia="Arial" w:hAnsi="Arial" w:cs="Arial"/>
          <w:b/>
          <w:color w:val="000000"/>
        </w:rPr>
        <w:t>Overview of Moorfields</w:t>
      </w:r>
      <w:r w:rsidR="00AD325B">
        <w:rPr>
          <w:rFonts w:ascii="Arial" w:eastAsia="Arial" w:hAnsi="Arial" w:cs="Arial"/>
          <w:b/>
          <w:color w:val="000000"/>
        </w:rPr>
        <w:t>’</w:t>
      </w:r>
      <w:r w:rsidRPr="00587DF1">
        <w:rPr>
          <w:rFonts w:ascii="Arial" w:eastAsia="Arial" w:hAnsi="Arial" w:cs="Arial"/>
          <w:b/>
          <w:color w:val="000000"/>
        </w:rPr>
        <w:t xml:space="preserve"> clinical services</w:t>
      </w:r>
      <w:bookmarkEnd w:id="48"/>
    </w:p>
    <w:p w14:paraId="16B02D52" w14:textId="77777777" w:rsidR="00C3758F" w:rsidRPr="00587DF1" w:rsidRDefault="00C3758F" w:rsidP="00C3758F">
      <w:pPr>
        <w:spacing w:after="0"/>
        <w:rPr>
          <w:rFonts w:ascii="Arial" w:eastAsia="Arial" w:hAnsi="Arial" w:cs="Arial"/>
        </w:rPr>
      </w:pPr>
    </w:p>
    <w:p w14:paraId="7FC767B8" w14:textId="6B6D2B0E" w:rsidR="00AD325B" w:rsidRPr="00587DF1" w:rsidRDefault="00AD325B" w:rsidP="00AD325B">
      <w:pPr>
        <w:rPr>
          <w:rFonts w:ascii="Arial" w:eastAsia="Arial" w:hAnsi="Arial" w:cs="Arial"/>
        </w:rPr>
      </w:pPr>
      <w:r w:rsidRPr="00587DF1">
        <w:rPr>
          <w:rFonts w:ascii="Arial" w:eastAsia="Arial" w:hAnsi="Arial" w:cs="Arial"/>
        </w:rPr>
        <w:t>This section provides an overview of Moorfields and its services.</w:t>
      </w:r>
    </w:p>
    <w:p w14:paraId="1FE3023F" w14:textId="78987C4B" w:rsidR="00AD325B" w:rsidRPr="00587DF1" w:rsidRDefault="00AD325B" w:rsidP="00AD325B">
      <w:pPr>
        <w:rPr>
          <w:rFonts w:ascii="Arial" w:eastAsia="Arial" w:hAnsi="Arial" w:cs="Arial"/>
        </w:rPr>
      </w:pPr>
      <w:r w:rsidRPr="00587DF1">
        <w:rPr>
          <w:rFonts w:ascii="Arial" w:eastAsia="Arial" w:hAnsi="Arial" w:cs="Arial"/>
        </w:rPr>
        <w:t xml:space="preserve">Moorfields Eye Hospital NHS Foundation </w:t>
      </w:r>
      <w:r w:rsidR="00481D35">
        <w:rPr>
          <w:rFonts w:ascii="Arial" w:eastAsia="Arial" w:hAnsi="Arial" w:cs="Arial"/>
        </w:rPr>
        <w:t>T</w:t>
      </w:r>
      <w:r w:rsidRPr="00587DF1">
        <w:rPr>
          <w:rFonts w:ascii="Arial" w:eastAsia="Arial" w:hAnsi="Arial" w:cs="Arial"/>
        </w:rPr>
        <w:t xml:space="preserve">rust is the leading provider of eye health services in the UK and a world-class centre of excellence for ophthalmic research and education. </w:t>
      </w:r>
      <w:r w:rsidR="00481D35" w:rsidRPr="00587DF1">
        <w:rPr>
          <w:rFonts w:ascii="Arial" w:eastAsia="Arial" w:hAnsi="Arial" w:cs="Arial"/>
        </w:rPr>
        <w:t xml:space="preserve">In 2007 Moorfields developed the world’s largest children’s eye centre, the Richard Desmond Children’s Eye Centre, on its City Road site. </w:t>
      </w:r>
      <w:r w:rsidRPr="00587DF1">
        <w:rPr>
          <w:rFonts w:ascii="Arial" w:eastAsia="Arial" w:hAnsi="Arial" w:cs="Arial"/>
        </w:rPr>
        <w:t xml:space="preserve">More than half of UK-based ophthalmologists, and many overseas experts, have received their specialist training </w:t>
      </w:r>
      <w:r w:rsidR="00481D35">
        <w:rPr>
          <w:rFonts w:ascii="Arial" w:eastAsia="Arial" w:hAnsi="Arial" w:cs="Arial"/>
        </w:rPr>
        <w:t>at</w:t>
      </w:r>
      <w:r w:rsidRPr="00587DF1">
        <w:rPr>
          <w:rFonts w:ascii="Arial" w:eastAsia="Arial" w:hAnsi="Arial" w:cs="Arial"/>
        </w:rPr>
        <w:t xml:space="preserve"> Moorfields. The partnership also has one of the largest ophthalmic research programmes in the world.</w:t>
      </w:r>
    </w:p>
    <w:p w14:paraId="62D9DCDD" w14:textId="0956B5EA" w:rsidR="00AD325B" w:rsidRPr="00587DF1" w:rsidRDefault="00AD325B" w:rsidP="00AD325B">
      <w:pPr>
        <w:rPr>
          <w:rFonts w:ascii="Arial" w:eastAsia="Arial" w:hAnsi="Arial" w:cs="Arial"/>
        </w:rPr>
      </w:pPr>
      <w:r w:rsidRPr="00587DF1">
        <w:rPr>
          <w:rFonts w:ascii="Arial" w:eastAsia="Arial" w:hAnsi="Arial" w:cs="Arial"/>
        </w:rPr>
        <w:t xml:space="preserve">Moorfields was given Vanguard status in 2014 </w:t>
      </w:r>
      <w:r w:rsidR="00481D35">
        <w:rPr>
          <w:rFonts w:ascii="Arial" w:eastAsia="Arial" w:hAnsi="Arial" w:cs="Arial"/>
        </w:rPr>
        <w:t xml:space="preserve">as </w:t>
      </w:r>
      <w:r w:rsidRPr="00587DF1">
        <w:rPr>
          <w:rFonts w:ascii="Arial" w:eastAsia="Arial" w:hAnsi="Arial" w:cs="Arial"/>
        </w:rPr>
        <w:t>an acute care collaboration site, which has enabled it to share its experience of networked care. The trust has also led the establishment of the UK Ophthalmology Alliance, which brings together eye care professionals, patient groups and national ophthalmic bodies across the UK to improve efficiency and pathways, create quality standards and benchmark performance.</w:t>
      </w:r>
    </w:p>
    <w:p w14:paraId="5AFAEA0B" w14:textId="19FBCED0" w:rsidR="00AD325B" w:rsidRPr="00587DF1" w:rsidRDefault="00AD325B" w:rsidP="00AD325B">
      <w:pPr>
        <w:rPr>
          <w:rFonts w:ascii="Arial" w:eastAsia="Arial" w:hAnsi="Arial" w:cs="Arial"/>
        </w:rPr>
      </w:pPr>
      <w:bookmarkStart w:id="50" w:name="_Hlk10469352"/>
      <w:r w:rsidRPr="00587DF1">
        <w:rPr>
          <w:rFonts w:ascii="Arial" w:eastAsia="Arial" w:hAnsi="Arial" w:cs="Arial"/>
        </w:rPr>
        <w:t>Moorfields</w:t>
      </w:r>
      <w:bookmarkEnd w:id="50"/>
      <w:r w:rsidRPr="00587DF1">
        <w:rPr>
          <w:rFonts w:ascii="Arial" w:eastAsia="Arial" w:hAnsi="Arial" w:cs="Arial"/>
        </w:rPr>
        <w:t xml:space="preserve"> services are commissioned by 109 CCGs across the UK, 14 of which commission over £2m of services from the City Road site annually. The largest commissioner of services at City Road </w:t>
      </w:r>
      <w:r w:rsidR="00481D35">
        <w:rPr>
          <w:rFonts w:ascii="Arial" w:eastAsia="Arial" w:hAnsi="Arial" w:cs="Arial"/>
        </w:rPr>
        <w:t>is</w:t>
      </w:r>
      <w:r w:rsidRPr="00587DF1">
        <w:rPr>
          <w:rFonts w:ascii="Arial" w:eastAsia="Arial" w:hAnsi="Arial" w:cs="Arial"/>
        </w:rPr>
        <w:t xml:space="preserve"> NHS England Specialist Commissioning.</w:t>
      </w:r>
    </w:p>
    <w:p w14:paraId="66F18714" w14:textId="7E7C211A" w:rsidR="008B5ACF" w:rsidRPr="00587DF1" w:rsidRDefault="0051747D" w:rsidP="009A276F">
      <w:pPr>
        <w:rPr>
          <w:rFonts w:ascii="Arial" w:eastAsia="Arial" w:hAnsi="Arial" w:cs="Arial"/>
        </w:rPr>
      </w:pPr>
      <w:r w:rsidRPr="00587DF1">
        <w:rPr>
          <w:rFonts w:ascii="Arial" w:eastAsia="Arial" w:hAnsi="Arial" w:cs="Arial"/>
        </w:rPr>
        <w:t>Moorfields provides a</w:t>
      </w:r>
      <w:r w:rsidR="00C3758F" w:rsidRPr="00587DF1">
        <w:rPr>
          <w:rFonts w:ascii="Arial" w:eastAsia="Arial" w:hAnsi="Arial" w:cs="Arial"/>
        </w:rPr>
        <w:t xml:space="preserve">n expansive </w:t>
      </w:r>
      <w:r w:rsidRPr="00587DF1">
        <w:rPr>
          <w:rFonts w:ascii="Arial" w:eastAsia="Arial" w:hAnsi="Arial" w:cs="Arial"/>
        </w:rPr>
        <w:t>range of ophthalmic services</w:t>
      </w:r>
      <w:r w:rsidR="00AD325B">
        <w:rPr>
          <w:rFonts w:ascii="Arial" w:eastAsia="Arial" w:hAnsi="Arial" w:cs="Arial"/>
        </w:rPr>
        <w:t xml:space="preserve"> from a network of </w:t>
      </w:r>
      <w:r w:rsidR="00C9177D">
        <w:rPr>
          <w:rFonts w:ascii="Arial" w:eastAsia="Arial" w:hAnsi="Arial" w:cs="Arial"/>
        </w:rPr>
        <w:t>around</w:t>
      </w:r>
      <w:r w:rsidR="00AD325B">
        <w:rPr>
          <w:rFonts w:ascii="Arial" w:eastAsia="Arial" w:hAnsi="Arial" w:cs="Arial"/>
        </w:rPr>
        <w:t xml:space="preserve"> 30 sites</w:t>
      </w:r>
      <w:r w:rsidRPr="00587DF1">
        <w:rPr>
          <w:rFonts w:ascii="Arial" w:eastAsia="Arial" w:hAnsi="Arial" w:cs="Arial"/>
        </w:rPr>
        <w:t xml:space="preserve">, caring for </w:t>
      </w:r>
      <w:r w:rsidR="00721330" w:rsidRPr="00587DF1">
        <w:rPr>
          <w:rFonts w:ascii="Arial" w:eastAsia="Arial" w:hAnsi="Arial" w:cs="Arial"/>
        </w:rPr>
        <w:t xml:space="preserve">high-volume </w:t>
      </w:r>
      <w:r w:rsidRPr="00587DF1">
        <w:rPr>
          <w:rFonts w:ascii="Arial" w:eastAsia="Arial" w:hAnsi="Arial" w:cs="Arial"/>
        </w:rPr>
        <w:t>patient</w:t>
      </w:r>
      <w:r w:rsidR="00721330" w:rsidRPr="00587DF1">
        <w:rPr>
          <w:rFonts w:ascii="Arial" w:eastAsia="Arial" w:hAnsi="Arial" w:cs="Arial"/>
        </w:rPr>
        <w:t xml:space="preserve"> groups</w:t>
      </w:r>
      <w:r w:rsidRPr="00587DF1">
        <w:rPr>
          <w:rFonts w:ascii="Arial" w:eastAsia="Arial" w:hAnsi="Arial" w:cs="Arial"/>
        </w:rPr>
        <w:t xml:space="preserve"> with routine medical needs as well as those with rare and complex conditions</w:t>
      </w:r>
      <w:r w:rsidR="00C3758F" w:rsidRPr="00587DF1">
        <w:rPr>
          <w:rFonts w:ascii="Arial" w:eastAsia="Arial" w:hAnsi="Arial" w:cs="Arial"/>
        </w:rPr>
        <w:t xml:space="preserve"> requiring highly specialised care.</w:t>
      </w:r>
    </w:p>
    <w:p w14:paraId="5AD7F75C" w14:textId="6B0234A7" w:rsidR="008B5ACF" w:rsidRPr="00587DF1" w:rsidRDefault="008B5ACF" w:rsidP="008B5ACF">
      <w:pPr>
        <w:rPr>
          <w:rFonts w:ascii="Arial" w:eastAsia="Arial" w:hAnsi="Arial" w:cs="Arial"/>
        </w:rPr>
      </w:pPr>
      <w:r w:rsidRPr="00587DF1">
        <w:rPr>
          <w:rFonts w:ascii="Arial" w:eastAsia="Arial" w:hAnsi="Arial" w:cs="Arial"/>
        </w:rPr>
        <w:t xml:space="preserve">Moorfields is by far the largest provider of inpatient and outpatient </w:t>
      </w:r>
      <w:r w:rsidR="00D76672">
        <w:rPr>
          <w:rFonts w:ascii="Arial" w:eastAsia="Arial" w:hAnsi="Arial" w:cs="Arial"/>
        </w:rPr>
        <w:t>acute</w:t>
      </w:r>
      <w:r w:rsidRPr="00587DF1">
        <w:rPr>
          <w:rFonts w:ascii="Arial" w:eastAsia="Arial" w:hAnsi="Arial" w:cs="Arial"/>
        </w:rPr>
        <w:t xml:space="preserve"> ophthalmology services in England, over double the size of the second largest ophthalmic provider. In London, Moorfields has a c</w:t>
      </w:r>
      <w:r w:rsidR="00657038" w:rsidRPr="00587DF1">
        <w:rPr>
          <w:rFonts w:ascii="Arial" w:eastAsia="Arial" w:hAnsi="Arial" w:cs="Arial"/>
        </w:rPr>
        <w:t>.</w:t>
      </w:r>
      <w:r w:rsidRPr="00587DF1">
        <w:rPr>
          <w:rFonts w:ascii="Arial" w:eastAsia="Arial" w:hAnsi="Arial" w:cs="Arial"/>
        </w:rPr>
        <w:t xml:space="preserve"> 40% market share overall, and delivers 50% of the specialist ophthalmic care for the capital.</w:t>
      </w:r>
    </w:p>
    <w:bookmarkEnd w:id="49"/>
    <w:p w14:paraId="78609077" w14:textId="62EDE25F" w:rsidR="00444EE9" w:rsidRPr="00587DF1" w:rsidRDefault="00AD3E2C" w:rsidP="00E47761">
      <w:pPr>
        <w:rPr>
          <w:rFonts w:ascii="Arial" w:eastAsia="Arial" w:hAnsi="Arial" w:cs="Arial"/>
        </w:rPr>
      </w:pPr>
      <w:r w:rsidRPr="00587DF1">
        <w:rPr>
          <w:rFonts w:ascii="Arial" w:eastAsia="Arial" w:hAnsi="Arial" w:cs="Arial"/>
        </w:rPr>
        <w:t>Moorfields</w:t>
      </w:r>
      <w:r w:rsidR="00E47761" w:rsidRPr="00587DF1">
        <w:rPr>
          <w:rFonts w:ascii="Arial" w:eastAsia="Arial" w:hAnsi="Arial" w:cs="Arial"/>
        </w:rPr>
        <w:t xml:space="preserve"> </w:t>
      </w:r>
      <w:bookmarkStart w:id="51" w:name="_Hlk27132443"/>
      <w:r w:rsidR="00E47761" w:rsidRPr="00587DF1">
        <w:rPr>
          <w:rFonts w:ascii="Arial" w:eastAsia="Arial" w:hAnsi="Arial" w:cs="Arial"/>
        </w:rPr>
        <w:t>demonstrates consistently strong clinical outcomes</w:t>
      </w:r>
      <w:bookmarkEnd w:id="51"/>
      <w:r w:rsidR="00E47761" w:rsidRPr="00587DF1">
        <w:rPr>
          <w:rFonts w:ascii="Arial" w:eastAsia="Arial" w:hAnsi="Arial" w:cs="Arial"/>
        </w:rPr>
        <w:t xml:space="preserve">. Recent clinical audits confirm that clinical outcomes match the best published outcomes, for both high-volume as well as highly specialised procedures. In addition, the </w:t>
      </w:r>
      <w:r w:rsidRPr="00587DF1">
        <w:rPr>
          <w:rFonts w:ascii="Arial" w:eastAsia="Arial" w:hAnsi="Arial" w:cs="Arial"/>
        </w:rPr>
        <w:t>Moorfields</w:t>
      </w:r>
      <w:r w:rsidR="00E47761" w:rsidRPr="00587DF1">
        <w:rPr>
          <w:rFonts w:ascii="Arial" w:eastAsia="Arial" w:hAnsi="Arial" w:cs="Arial"/>
        </w:rPr>
        <w:t xml:space="preserve"> A&amp;E department has been achieving one of the best performances in England for years against the national 4 hour waiting time standard. The </w:t>
      </w:r>
      <w:r w:rsidR="00FA2D12" w:rsidRPr="00587DF1">
        <w:rPr>
          <w:rFonts w:ascii="Arial" w:eastAsia="Arial" w:hAnsi="Arial" w:cs="Arial"/>
        </w:rPr>
        <w:t>trust</w:t>
      </w:r>
      <w:r w:rsidR="00E47761" w:rsidRPr="00587DF1">
        <w:rPr>
          <w:rFonts w:ascii="Arial" w:eastAsia="Arial" w:hAnsi="Arial" w:cs="Arial"/>
        </w:rPr>
        <w:t xml:space="preserve">’s performance in the referral to treatment (RTT) </w:t>
      </w:r>
      <w:r w:rsidR="002D66A7">
        <w:rPr>
          <w:rFonts w:ascii="Arial" w:eastAsia="Arial" w:hAnsi="Arial" w:cs="Arial"/>
        </w:rPr>
        <w:t>standard</w:t>
      </w:r>
      <w:r w:rsidR="00E47761" w:rsidRPr="00587DF1">
        <w:rPr>
          <w:rFonts w:ascii="Arial" w:eastAsia="Arial" w:hAnsi="Arial" w:cs="Arial"/>
        </w:rPr>
        <w:t xml:space="preserve"> for incomplete waits in all pathways has continued to exceed the nationally set annual target of 92%. Cancer waiting times have improved year on year, with</w:t>
      </w:r>
      <w:r w:rsidR="001D702B" w:rsidRPr="00587DF1">
        <w:rPr>
          <w:rFonts w:ascii="Arial" w:eastAsia="Arial" w:hAnsi="Arial" w:cs="Arial"/>
        </w:rPr>
        <w:t xml:space="preserve"> 96% receiving a first appointment within 2 weeks of an urgent GP referral.</w:t>
      </w:r>
      <w:r w:rsidR="001D702B" w:rsidRPr="00587DF1" w:rsidDel="001D702B">
        <w:rPr>
          <w:rFonts w:ascii="Arial" w:eastAsia="Arial" w:hAnsi="Arial" w:cs="Arial"/>
        </w:rPr>
        <w:t xml:space="preserve"> </w:t>
      </w:r>
      <w:r w:rsidR="008B5ACF" w:rsidRPr="00587DF1">
        <w:rPr>
          <w:rFonts w:ascii="Arial" w:eastAsia="Arial" w:hAnsi="Arial" w:cs="Arial"/>
        </w:rPr>
        <w:t>The Moorfields</w:t>
      </w:r>
      <w:r w:rsidR="00725971" w:rsidRPr="00587DF1">
        <w:rPr>
          <w:rFonts w:ascii="Arial" w:eastAsia="Arial" w:hAnsi="Arial" w:cs="Arial"/>
        </w:rPr>
        <w:t>’ City</w:t>
      </w:r>
      <w:r w:rsidR="008B5ACF" w:rsidRPr="00587DF1">
        <w:rPr>
          <w:rFonts w:ascii="Arial" w:eastAsia="Arial" w:hAnsi="Arial" w:cs="Arial"/>
        </w:rPr>
        <w:t xml:space="preserve"> Road site was rated Outstanding in the last CQC inspection</w:t>
      </w:r>
      <w:r w:rsidR="00B8080B">
        <w:rPr>
          <w:rFonts w:ascii="Arial" w:eastAsia="Arial" w:hAnsi="Arial" w:cs="Arial"/>
        </w:rPr>
        <w:t>.</w:t>
      </w:r>
    </w:p>
    <w:p w14:paraId="2B932210" w14:textId="77777777" w:rsidR="00E06D69" w:rsidRPr="00587DF1" w:rsidRDefault="00E06D69" w:rsidP="005E0D57">
      <w:pPr>
        <w:numPr>
          <w:ilvl w:val="2"/>
          <w:numId w:val="1"/>
        </w:numPr>
        <w:pBdr>
          <w:top w:val="nil"/>
          <w:left w:val="nil"/>
          <w:bottom w:val="nil"/>
          <w:right w:val="nil"/>
          <w:between w:val="nil"/>
        </w:pBdr>
        <w:spacing w:after="0" w:line="240" w:lineRule="auto"/>
        <w:ind w:left="567" w:hanging="567"/>
        <w:jc w:val="both"/>
        <w:rPr>
          <w:rFonts w:ascii="Arial" w:eastAsia="Arial" w:hAnsi="Arial" w:cs="Arial"/>
          <w:b/>
          <w:color w:val="000000"/>
        </w:rPr>
      </w:pPr>
      <w:r w:rsidRPr="00587DF1">
        <w:rPr>
          <w:rFonts w:ascii="Arial" w:eastAsia="Arial" w:hAnsi="Arial" w:cs="Arial"/>
          <w:b/>
          <w:color w:val="000000"/>
        </w:rPr>
        <w:t>The Moorfields patient profile</w:t>
      </w:r>
    </w:p>
    <w:p w14:paraId="468E8AF7" w14:textId="77777777" w:rsidR="00E06D69" w:rsidRPr="00587DF1" w:rsidRDefault="00E06D69" w:rsidP="00E06D69">
      <w:pPr>
        <w:spacing w:after="0" w:line="240" w:lineRule="auto"/>
        <w:rPr>
          <w:rFonts w:ascii="Arial" w:eastAsia="Arial" w:hAnsi="Arial" w:cs="Arial"/>
          <w:b/>
        </w:rPr>
      </w:pPr>
    </w:p>
    <w:p w14:paraId="657606B0" w14:textId="0922F9A0" w:rsidR="00E06D69" w:rsidRPr="00587DF1" w:rsidRDefault="00E06D69" w:rsidP="00E06D69">
      <w:pPr>
        <w:autoSpaceDE w:val="0"/>
        <w:autoSpaceDN w:val="0"/>
        <w:adjustRightInd w:val="0"/>
        <w:spacing w:after="0" w:line="240" w:lineRule="auto"/>
        <w:rPr>
          <w:rFonts w:ascii="Arial" w:eastAsiaTheme="minorHAnsi" w:hAnsi="Arial" w:cs="Arial"/>
          <w:bCs/>
          <w:color w:val="000000"/>
          <w:lang w:eastAsia="en-US"/>
        </w:rPr>
      </w:pPr>
      <w:r w:rsidRPr="00587DF1">
        <w:rPr>
          <w:rFonts w:ascii="Arial" w:eastAsiaTheme="minorHAnsi" w:hAnsi="Arial" w:cs="Arial"/>
          <w:bCs/>
          <w:color w:val="000000"/>
          <w:lang w:eastAsia="en-US"/>
        </w:rPr>
        <w:lastRenderedPageBreak/>
        <w:t>In 201</w:t>
      </w:r>
      <w:r w:rsidR="00F12664" w:rsidRPr="00587DF1">
        <w:rPr>
          <w:rFonts w:ascii="Arial" w:eastAsiaTheme="minorHAnsi" w:hAnsi="Arial" w:cs="Arial"/>
          <w:bCs/>
          <w:color w:val="000000"/>
          <w:lang w:eastAsia="en-US"/>
        </w:rPr>
        <w:t>8</w:t>
      </w:r>
      <w:r w:rsidRPr="00587DF1">
        <w:rPr>
          <w:rFonts w:ascii="Arial" w:eastAsiaTheme="minorHAnsi" w:hAnsi="Arial" w:cs="Arial"/>
          <w:bCs/>
          <w:color w:val="000000"/>
          <w:lang w:eastAsia="en-US"/>
        </w:rPr>
        <w:t>/1</w:t>
      </w:r>
      <w:r w:rsidR="00F12664" w:rsidRPr="00587DF1">
        <w:rPr>
          <w:rFonts w:ascii="Arial" w:eastAsiaTheme="minorHAnsi" w:hAnsi="Arial" w:cs="Arial"/>
          <w:bCs/>
          <w:color w:val="000000"/>
          <w:lang w:eastAsia="en-US"/>
        </w:rPr>
        <w:t>9</w:t>
      </w:r>
      <w:r w:rsidRPr="00587DF1">
        <w:rPr>
          <w:rFonts w:ascii="Arial" w:eastAsiaTheme="minorHAnsi" w:hAnsi="Arial" w:cs="Arial"/>
          <w:bCs/>
          <w:color w:val="000000"/>
          <w:lang w:eastAsia="en-US"/>
        </w:rPr>
        <w:t xml:space="preserve"> Moorfields saw </w:t>
      </w:r>
      <w:r w:rsidR="00F12664" w:rsidRPr="00587DF1">
        <w:rPr>
          <w:rFonts w:ascii="Arial" w:eastAsiaTheme="minorHAnsi" w:hAnsi="Arial" w:cs="Arial"/>
          <w:bCs/>
          <w:color w:val="000000"/>
          <w:lang w:eastAsia="en-US"/>
        </w:rPr>
        <w:t xml:space="preserve">nearly </w:t>
      </w:r>
      <w:r w:rsidRPr="00587DF1">
        <w:rPr>
          <w:rFonts w:ascii="Arial" w:eastAsiaTheme="minorHAnsi" w:hAnsi="Arial" w:cs="Arial"/>
          <w:bCs/>
          <w:color w:val="000000"/>
          <w:lang w:eastAsia="en-US"/>
        </w:rPr>
        <w:t>600,000 Outpatient attendances, c.350,000 of which were held at City Road. They saw almost 100,000 patients in A&amp;E and undertook over 40,000 procedures</w:t>
      </w:r>
      <w:r w:rsidRPr="00587DF1">
        <w:rPr>
          <w:rStyle w:val="FootnoteReference"/>
          <w:rFonts w:ascii="Arial" w:eastAsiaTheme="minorHAnsi" w:hAnsi="Arial" w:cs="Arial"/>
          <w:bCs/>
          <w:color w:val="000000"/>
          <w:lang w:eastAsia="en-US"/>
        </w:rPr>
        <w:footnoteReference w:id="4"/>
      </w:r>
      <w:r w:rsidRPr="00587DF1">
        <w:rPr>
          <w:rFonts w:ascii="Arial" w:eastAsiaTheme="minorHAnsi" w:hAnsi="Arial" w:cs="Arial"/>
          <w:bCs/>
          <w:color w:val="000000"/>
          <w:lang w:eastAsia="en-US"/>
        </w:rPr>
        <w:t>.</w:t>
      </w:r>
    </w:p>
    <w:p w14:paraId="7BEB696C" w14:textId="77777777" w:rsidR="00E06D69" w:rsidRPr="00587DF1" w:rsidRDefault="00E06D69" w:rsidP="00E06D69">
      <w:pPr>
        <w:autoSpaceDE w:val="0"/>
        <w:autoSpaceDN w:val="0"/>
        <w:adjustRightInd w:val="0"/>
        <w:spacing w:after="0" w:line="240" w:lineRule="auto"/>
        <w:rPr>
          <w:rFonts w:ascii="Arial" w:eastAsiaTheme="minorHAnsi" w:hAnsi="Arial" w:cs="Arial"/>
          <w:bCs/>
          <w:color w:val="000000"/>
          <w:lang w:eastAsia="en-US"/>
        </w:rPr>
      </w:pPr>
    </w:p>
    <w:p w14:paraId="11384C1F" w14:textId="5C353F55" w:rsidR="00A1175B" w:rsidRDefault="00E06D69" w:rsidP="00A1175B">
      <w:pPr>
        <w:spacing w:after="0"/>
        <w:rPr>
          <w:rFonts w:ascii="Arial" w:eastAsiaTheme="minorHAnsi" w:hAnsi="Arial" w:cs="Arial"/>
          <w:lang w:eastAsia="en-US"/>
        </w:rPr>
      </w:pPr>
      <w:r w:rsidRPr="00587DF1">
        <w:rPr>
          <w:rFonts w:ascii="Arial" w:eastAsiaTheme="minorHAnsi" w:hAnsi="Arial" w:cs="Arial"/>
          <w:lang w:eastAsia="en-US"/>
        </w:rPr>
        <w:t xml:space="preserve">36% of </w:t>
      </w:r>
      <w:r w:rsidRPr="00587DF1">
        <w:rPr>
          <w:rFonts w:ascii="Arial" w:eastAsia="Arial" w:hAnsi="Arial" w:cs="Arial"/>
        </w:rPr>
        <w:t xml:space="preserve">Moorfields </w:t>
      </w:r>
      <w:r w:rsidRPr="00587DF1">
        <w:rPr>
          <w:rFonts w:ascii="Arial" w:eastAsiaTheme="minorHAnsi" w:hAnsi="Arial" w:cs="Arial"/>
          <w:lang w:eastAsia="en-US"/>
        </w:rPr>
        <w:t xml:space="preserve">patients are aged over 65. This is significantly higher than the UK population, of whom 18% are aged over 65. City Road </w:t>
      </w:r>
      <w:r w:rsidR="00481D35">
        <w:rPr>
          <w:rFonts w:ascii="Arial" w:eastAsiaTheme="minorHAnsi" w:hAnsi="Arial" w:cs="Arial"/>
          <w:lang w:eastAsia="en-US"/>
        </w:rPr>
        <w:t xml:space="preserve">also </w:t>
      </w:r>
      <w:r w:rsidRPr="00587DF1">
        <w:rPr>
          <w:rFonts w:ascii="Arial" w:eastAsiaTheme="minorHAnsi" w:hAnsi="Arial" w:cs="Arial"/>
          <w:lang w:eastAsia="en-US"/>
        </w:rPr>
        <w:t xml:space="preserve">sees a higher proportion of the younger patient base, due to </w:t>
      </w:r>
      <w:r w:rsidR="00A1175B">
        <w:rPr>
          <w:rFonts w:ascii="Arial" w:eastAsiaTheme="minorHAnsi" w:hAnsi="Arial" w:cs="Arial"/>
          <w:lang w:eastAsia="en-US"/>
        </w:rPr>
        <w:t>its</w:t>
      </w:r>
      <w:r w:rsidRPr="00587DF1">
        <w:rPr>
          <w:rFonts w:ascii="Arial" w:eastAsiaTheme="minorHAnsi" w:hAnsi="Arial" w:cs="Arial"/>
          <w:lang w:eastAsia="en-US"/>
        </w:rPr>
        <w:t xml:space="preserve"> paediatrics </w:t>
      </w:r>
      <w:r w:rsidR="00A1175B">
        <w:rPr>
          <w:rFonts w:ascii="Arial" w:eastAsiaTheme="minorHAnsi" w:hAnsi="Arial" w:cs="Arial"/>
          <w:lang w:eastAsia="en-US"/>
        </w:rPr>
        <w:t xml:space="preserve">centre and services for the most complex and rare </w:t>
      </w:r>
      <w:r w:rsidRPr="00587DF1">
        <w:rPr>
          <w:rFonts w:ascii="Arial" w:eastAsiaTheme="minorHAnsi" w:hAnsi="Arial" w:cs="Arial"/>
          <w:lang w:eastAsia="en-US"/>
        </w:rPr>
        <w:t xml:space="preserve">eye conditions. </w:t>
      </w:r>
    </w:p>
    <w:p w14:paraId="37CD0CB7" w14:textId="77777777" w:rsidR="00A1175B" w:rsidRDefault="00A1175B" w:rsidP="00A1175B">
      <w:pPr>
        <w:spacing w:after="0"/>
        <w:rPr>
          <w:rFonts w:ascii="Arial" w:eastAsiaTheme="minorHAnsi" w:hAnsi="Arial" w:cs="Arial"/>
          <w:lang w:eastAsia="en-US"/>
        </w:rPr>
      </w:pPr>
    </w:p>
    <w:p w14:paraId="506D9EF2" w14:textId="6C39BCD4" w:rsidR="00E06D69" w:rsidRDefault="00E06D69" w:rsidP="00A1175B">
      <w:pPr>
        <w:spacing w:after="0"/>
        <w:rPr>
          <w:rFonts w:ascii="Arial" w:hAnsi="Arial" w:cs="Arial"/>
        </w:rPr>
      </w:pPr>
      <w:r w:rsidRPr="00587DF1">
        <w:rPr>
          <w:rFonts w:ascii="Arial" w:eastAsiaTheme="minorHAnsi" w:hAnsi="Arial" w:cs="Arial"/>
          <w:bCs/>
          <w:color w:val="000000"/>
          <w:lang w:eastAsia="en-US"/>
        </w:rPr>
        <w:t xml:space="preserve">The </w:t>
      </w:r>
      <w:r w:rsidRPr="00587DF1">
        <w:rPr>
          <w:rFonts w:ascii="Arial" w:hAnsi="Arial" w:cs="Arial"/>
        </w:rPr>
        <w:t xml:space="preserve">City Road site offers a local service to the population of NCL and NEL, </w:t>
      </w:r>
      <w:r w:rsidR="00A1175B">
        <w:rPr>
          <w:rFonts w:ascii="Arial" w:hAnsi="Arial" w:cs="Arial"/>
        </w:rPr>
        <w:t>and</w:t>
      </w:r>
      <w:r w:rsidRPr="00587DF1">
        <w:rPr>
          <w:rFonts w:ascii="Arial" w:hAnsi="Arial" w:cs="Arial"/>
        </w:rPr>
        <w:t xml:space="preserve"> specialist services to patients across London and the UK.</w:t>
      </w:r>
    </w:p>
    <w:p w14:paraId="7E0E04DA" w14:textId="77777777" w:rsidR="00481D35" w:rsidRPr="00587DF1" w:rsidRDefault="00481D35" w:rsidP="00A1175B">
      <w:pPr>
        <w:spacing w:after="0"/>
        <w:rPr>
          <w:rFonts w:ascii="Arial" w:hAnsi="Arial" w:cs="Arial"/>
        </w:rPr>
      </w:pPr>
    </w:p>
    <w:p w14:paraId="18779B49" w14:textId="77777777" w:rsidR="00E06D69" w:rsidRPr="00587DF1" w:rsidRDefault="00E06D69" w:rsidP="00E06D69">
      <w:pPr>
        <w:rPr>
          <w:rFonts w:ascii="Arial" w:hAnsi="Arial" w:cs="Arial"/>
        </w:rPr>
      </w:pPr>
      <w:r w:rsidRPr="00587DF1">
        <w:rPr>
          <w:rFonts w:ascii="Arial" w:hAnsi="Arial" w:cs="Arial"/>
        </w:rPr>
        <w:t xml:space="preserve">75% of patients seen at City Road travel from across London, with the remaining coming from elsewhere in England, as shown in the graph below. </w:t>
      </w:r>
      <w:r w:rsidRPr="00587DF1">
        <w:rPr>
          <w:rFonts w:ascii="Arial" w:eastAsiaTheme="minorHAnsi" w:hAnsi="Arial" w:cs="Arial"/>
          <w:lang w:eastAsia="en-US"/>
        </w:rPr>
        <w:t>This is significantly higher than the patients seen elsewhere in the network, 90% of whom are based in London.</w:t>
      </w:r>
    </w:p>
    <w:p w14:paraId="3F8CEC2D" w14:textId="61CD1DD0" w:rsidR="00B37104" w:rsidRDefault="00B37104" w:rsidP="00B37104">
      <w:pPr>
        <w:pStyle w:val="Caption"/>
      </w:pPr>
      <w:r>
        <w:t xml:space="preserve">Figure </w:t>
      </w:r>
      <w:r w:rsidR="00320059">
        <w:fldChar w:fldCharType="begin"/>
      </w:r>
      <w:r w:rsidR="00320059">
        <w:instrText xml:space="preserve"> SEQ Figure \* ARABIC </w:instrText>
      </w:r>
      <w:r w:rsidR="00320059">
        <w:fldChar w:fldCharType="separate"/>
      </w:r>
      <w:r w:rsidR="00A936CD">
        <w:rPr>
          <w:noProof/>
        </w:rPr>
        <w:t>6</w:t>
      </w:r>
      <w:r w:rsidR="00320059">
        <w:fldChar w:fldCharType="end"/>
      </w:r>
      <w:r>
        <w:t xml:space="preserve">: </w:t>
      </w:r>
      <w:r w:rsidRPr="00B37104">
        <w:rPr>
          <w:b w:val="0"/>
          <w:bCs w:val="0"/>
        </w:rPr>
        <w:t>City Road patient home addresses</w:t>
      </w:r>
    </w:p>
    <w:p w14:paraId="1C4D5E14" w14:textId="77777777" w:rsidR="00E06D69" w:rsidRPr="00587DF1" w:rsidRDefault="00E06D69" w:rsidP="00E06D69">
      <w:pPr>
        <w:autoSpaceDE w:val="0"/>
        <w:autoSpaceDN w:val="0"/>
        <w:adjustRightInd w:val="0"/>
        <w:spacing w:after="0" w:line="240" w:lineRule="auto"/>
        <w:rPr>
          <w:rFonts w:ascii="Arial" w:eastAsiaTheme="minorHAnsi" w:hAnsi="Arial" w:cs="Arial"/>
          <w:lang w:eastAsia="en-US"/>
        </w:rPr>
      </w:pPr>
      <w:r w:rsidRPr="00587DF1">
        <w:rPr>
          <w:rFonts w:ascii="Arial" w:hAnsi="Arial" w:cs="Arial"/>
          <w:noProof/>
        </w:rPr>
        <w:drawing>
          <wp:inline distT="0" distB="0" distL="0" distR="0" wp14:anchorId="1ECEE0B6" wp14:editId="4C71841E">
            <wp:extent cx="4572000" cy="2743200"/>
            <wp:effectExtent l="0" t="0" r="0" b="0"/>
            <wp:docPr id="9" name="Chart 9">
              <a:extLst xmlns:a="http://schemas.openxmlformats.org/drawingml/2006/main">
                <a:ext uri="{FF2B5EF4-FFF2-40B4-BE49-F238E27FC236}">
                  <a16:creationId xmlns:a16="http://schemas.microsoft.com/office/drawing/2014/main" id="{5874C293-D9BF-49A1-906C-89B748F4F4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1D1B021" w14:textId="3C2B1BFD" w:rsidR="00E47761" w:rsidRPr="00587DF1" w:rsidRDefault="00E47761" w:rsidP="00E47761">
      <w:pPr>
        <w:spacing w:after="0"/>
        <w:rPr>
          <w:rFonts w:ascii="Arial" w:eastAsia="Arial" w:hAnsi="Arial" w:cs="Arial"/>
        </w:rPr>
      </w:pPr>
    </w:p>
    <w:p w14:paraId="245EBB4E" w14:textId="77777777" w:rsidR="00E47761" w:rsidRPr="00587DF1" w:rsidRDefault="00E47761" w:rsidP="005E0D57">
      <w:pPr>
        <w:numPr>
          <w:ilvl w:val="2"/>
          <w:numId w:val="1"/>
        </w:numPr>
        <w:pBdr>
          <w:top w:val="nil"/>
          <w:left w:val="nil"/>
          <w:bottom w:val="nil"/>
          <w:right w:val="nil"/>
          <w:between w:val="nil"/>
        </w:pBdr>
        <w:spacing w:after="0"/>
        <w:ind w:left="567" w:hanging="567"/>
        <w:jc w:val="both"/>
        <w:rPr>
          <w:rFonts w:ascii="Arial" w:eastAsia="Arial" w:hAnsi="Arial" w:cs="Arial"/>
          <w:color w:val="000000"/>
        </w:rPr>
      </w:pPr>
      <w:r w:rsidRPr="00587DF1">
        <w:rPr>
          <w:rFonts w:ascii="Arial" w:eastAsia="Arial" w:hAnsi="Arial" w:cs="Arial"/>
          <w:b/>
          <w:color w:val="000000"/>
        </w:rPr>
        <w:t>Research</w:t>
      </w:r>
    </w:p>
    <w:p w14:paraId="61446697" w14:textId="77777777" w:rsidR="00E47761" w:rsidRPr="00587DF1" w:rsidRDefault="00E47761" w:rsidP="00E47761">
      <w:pPr>
        <w:spacing w:after="0"/>
        <w:rPr>
          <w:rFonts w:ascii="Arial" w:eastAsia="Arial" w:hAnsi="Arial" w:cs="Arial"/>
        </w:rPr>
      </w:pPr>
    </w:p>
    <w:p w14:paraId="1820A518" w14:textId="01CB9871" w:rsidR="00E47761" w:rsidRPr="00587DF1" w:rsidRDefault="00E47761" w:rsidP="00E47761">
      <w:pPr>
        <w:rPr>
          <w:rFonts w:ascii="Arial" w:eastAsia="Arial" w:hAnsi="Arial" w:cs="Arial"/>
        </w:rPr>
      </w:pPr>
      <w:r w:rsidRPr="00587DF1">
        <w:rPr>
          <w:rFonts w:ascii="Arial" w:eastAsia="Arial" w:hAnsi="Arial" w:cs="Arial"/>
        </w:rPr>
        <w:t xml:space="preserve">Research is a core activity for </w:t>
      </w:r>
      <w:r w:rsidR="00AD3E2C" w:rsidRPr="00587DF1">
        <w:rPr>
          <w:rFonts w:ascii="Arial" w:eastAsia="Arial" w:hAnsi="Arial" w:cs="Arial"/>
        </w:rPr>
        <w:t>Moorfields</w:t>
      </w:r>
      <w:r w:rsidRPr="00587DF1">
        <w:rPr>
          <w:rFonts w:ascii="Arial" w:eastAsia="Arial" w:hAnsi="Arial" w:cs="Arial"/>
        </w:rPr>
        <w:t xml:space="preserve">. The </w:t>
      </w:r>
      <w:r w:rsidR="00FA2D12" w:rsidRPr="00587DF1">
        <w:rPr>
          <w:rFonts w:ascii="Arial" w:eastAsia="Arial" w:hAnsi="Arial" w:cs="Arial"/>
        </w:rPr>
        <w:t>trust</w:t>
      </w:r>
      <w:r w:rsidRPr="00587DF1">
        <w:rPr>
          <w:rFonts w:ascii="Arial" w:eastAsia="Arial" w:hAnsi="Arial" w:cs="Arial"/>
        </w:rPr>
        <w:t xml:space="preserve"> is recognised as a world-class centre of excellence in eye research and, together with its academic partner UCL IoO, form</w:t>
      </w:r>
      <w:r w:rsidR="00481D35">
        <w:rPr>
          <w:rFonts w:ascii="Arial" w:eastAsia="Arial" w:hAnsi="Arial" w:cs="Arial"/>
        </w:rPr>
        <w:t>s</w:t>
      </w:r>
      <w:r w:rsidRPr="00587DF1">
        <w:rPr>
          <w:rFonts w:ascii="Arial" w:eastAsia="Arial" w:hAnsi="Arial" w:cs="Arial"/>
        </w:rPr>
        <w:t xml:space="preserve"> one of the largest and the most productive ophthalmic partnerships in the world. </w:t>
      </w:r>
    </w:p>
    <w:p w14:paraId="376A5552" w14:textId="1969C84C" w:rsidR="008B5ACF" w:rsidRPr="00587DF1" w:rsidRDefault="00B8080B" w:rsidP="00E47761">
      <w:pPr>
        <w:rPr>
          <w:rFonts w:ascii="Arial" w:eastAsia="Arial" w:hAnsi="Arial" w:cs="Arial"/>
        </w:rPr>
      </w:pPr>
      <w:r>
        <w:rPr>
          <w:rFonts w:ascii="Arial" w:eastAsia="Arial" w:hAnsi="Arial" w:cs="Arial"/>
        </w:rPr>
        <w:t>Moorfields’ Clinical Research Facility (CRF) is based at City Road</w:t>
      </w:r>
      <w:r w:rsidR="00E47761" w:rsidRPr="00587DF1">
        <w:rPr>
          <w:rFonts w:ascii="Arial" w:eastAsia="Arial" w:hAnsi="Arial" w:cs="Arial"/>
        </w:rPr>
        <w:t xml:space="preserve">, which is where a significant proportion of Moorfields’ research occurs. The </w:t>
      </w:r>
      <w:r w:rsidR="00F634E8" w:rsidRPr="00587DF1">
        <w:rPr>
          <w:rFonts w:ascii="Arial" w:eastAsia="Arial" w:hAnsi="Arial" w:cs="Arial"/>
        </w:rPr>
        <w:t xml:space="preserve">network </w:t>
      </w:r>
      <w:r w:rsidR="00E47761" w:rsidRPr="00587DF1">
        <w:rPr>
          <w:rFonts w:ascii="Arial" w:eastAsia="Arial" w:hAnsi="Arial" w:cs="Arial"/>
        </w:rPr>
        <w:t>sites across London and the South East contribute significantly to the research activities</w:t>
      </w:r>
      <w:r w:rsidR="008B5ACF" w:rsidRPr="00587DF1">
        <w:rPr>
          <w:rFonts w:ascii="Arial" w:eastAsia="Arial" w:hAnsi="Arial" w:cs="Arial"/>
        </w:rPr>
        <w:t>, enabling researchers to access a broad patient base</w:t>
      </w:r>
      <w:r w:rsidR="00E47761" w:rsidRPr="00587DF1">
        <w:rPr>
          <w:rFonts w:ascii="Arial" w:eastAsia="Arial" w:hAnsi="Arial" w:cs="Arial"/>
        </w:rPr>
        <w:t xml:space="preserve">. </w:t>
      </w:r>
      <w:r w:rsidR="00481D35">
        <w:rPr>
          <w:rFonts w:ascii="Arial" w:eastAsia="Arial" w:hAnsi="Arial" w:cs="Arial"/>
        </w:rPr>
        <w:t>P</w:t>
      </w:r>
      <w:r w:rsidR="00E47761" w:rsidRPr="00587DF1">
        <w:rPr>
          <w:rFonts w:ascii="Arial" w:eastAsia="Arial" w:hAnsi="Arial" w:cs="Arial"/>
        </w:rPr>
        <w:t>atients are offered the opportunity</w:t>
      </w:r>
      <w:r w:rsidR="00481D35">
        <w:rPr>
          <w:rFonts w:ascii="Arial" w:eastAsia="Arial" w:hAnsi="Arial" w:cs="Arial"/>
        </w:rPr>
        <w:t>,</w:t>
      </w:r>
      <w:r w:rsidR="00E47761" w:rsidRPr="00587DF1">
        <w:rPr>
          <w:rFonts w:ascii="Arial" w:eastAsia="Arial" w:hAnsi="Arial" w:cs="Arial"/>
        </w:rPr>
        <w:t xml:space="preserve"> where appropriate</w:t>
      </w:r>
      <w:r w:rsidR="00481D35">
        <w:rPr>
          <w:rFonts w:ascii="Arial" w:eastAsia="Arial" w:hAnsi="Arial" w:cs="Arial"/>
        </w:rPr>
        <w:t>,</w:t>
      </w:r>
      <w:r w:rsidR="00E47761" w:rsidRPr="00587DF1">
        <w:rPr>
          <w:rFonts w:ascii="Arial" w:eastAsia="Arial" w:hAnsi="Arial" w:cs="Arial"/>
        </w:rPr>
        <w:t xml:space="preserve"> to participate in clinical studies led by the </w:t>
      </w:r>
      <w:r w:rsidR="00FA2D12" w:rsidRPr="00587DF1">
        <w:rPr>
          <w:rFonts w:ascii="Arial" w:eastAsia="Arial" w:hAnsi="Arial" w:cs="Arial"/>
        </w:rPr>
        <w:t>trust</w:t>
      </w:r>
      <w:r w:rsidR="00E47761" w:rsidRPr="00587DF1">
        <w:rPr>
          <w:rFonts w:ascii="Arial" w:eastAsia="Arial" w:hAnsi="Arial" w:cs="Arial"/>
        </w:rPr>
        <w:t xml:space="preserve">. </w:t>
      </w:r>
      <w:r w:rsidR="008B5ACF" w:rsidRPr="00587DF1">
        <w:rPr>
          <w:rFonts w:ascii="Arial" w:eastAsia="Arial" w:hAnsi="Arial" w:cs="Arial"/>
        </w:rPr>
        <w:t xml:space="preserve">The partners’ aspiration is to place clinical </w:t>
      </w:r>
      <w:r w:rsidR="008B5ACF" w:rsidRPr="00587DF1">
        <w:rPr>
          <w:rFonts w:ascii="Arial" w:eastAsia="Arial" w:hAnsi="Arial" w:cs="Arial"/>
        </w:rPr>
        <w:lastRenderedPageBreak/>
        <w:t xml:space="preserve">research at the heart of Oriel, expanding the number of patients offered the opportunity to participate in clinical trials. The </w:t>
      </w:r>
      <w:r w:rsidR="00FA2D12" w:rsidRPr="00587DF1">
        <w:rPr>
          <w:rFonts w:ascii="Arial" w:eastAsia="Arial" w:hAnsi="Arial" w:cs="Arial"/>
        </w:rPr>
        <w:t>trust</w:t>
      </w:r>
      <w:r w:rsidR="008B5ACF" w:rsidRPr="00587DF1">
        <w:rPr>
          <w:rFonts w:ascii="Arial" w:eastAsia="Arial" w:hAnsi="Arial" w:cs="Arial"/>
        </w:rPr>
        <w:t xml:space="preserve"> also wishes to explore opportunities to partner with pharmaceutical companies looking to roll out later stage clinical trials to a large and diverse patient base. This would be an excellent opportunity to contribute further to national efforts to address the causes of blindness. The City Road site currently does not have the capacity to accommodate </w:t>
      </w:r>
      <w:r>
        <w:rPr>
          <w:rFonts w:ascii="Arial" w:eastAsia="Arial" w:hAnsi="Arial" w:cs="Arial"/>
        </w:rPr>
        <w:t>Moorfields and UCL’s research aspirations</w:t>
      </w:r>
      <w:r w:rsidR="008B5ACF" w:rsidRPr="00587DF1">
        <w:rPr>
          <w:rFonts w:ascii="Arial" w:eastAsia="Arial" w:hAnsi="Arial" w:cs="Arial"/>
        </w:rPr>
        <w:t>.</w:t>
      </w:r>
    </w:p>
    <w:p w14:paraId="05580F32" w14:textId="3A93F5FE" w:rsidR="00E47761" w:rsidRPr="00587DF1" w:rsidRDefault="00E47761" w:rsidP="00E47761">
      <w:pPr>
        <w:rPr>
          <w:rFonts w:ascii="Arial" w:eastAsia="Arial" w:hAnsi="Arial" w:cs="Arial"/>
        </w:rPr>
      </w:pPr>
      <w:r w:rsidRPr="00587DF1">
        <w:rPr>
          <w:rFonts w:ascii="Arial" w:eastAsia="Arial" w:hAnsi="Arial" w:cs="Arial"/>
        </w:rPr>
        <w:t xml:space="preserve">In 2013, Moorfields and UCL IoO published their ‘Joint Research and Development Strategy 2013-2020’. Section </w:t>
      </w:r>
      <w:r w:rsidR="00B8080B">
        <w:rPr>
          <w:rFonts w:ascii="Arial" w:eastAsia="Arial" w:hAnsi="Arial" w:cs="Arial"/>
        </w:rPr>
        <w:fldChar w:fldCharType="begin"/>
      </w:r>
      <w:r w:rsidR="00B8080B">
        <w:rPr>
          <w:rFonts w:ascii="Arial" w:eastAsia="Arial" w:hAnsi="Arial" w:cs="Arial"/>
        </w:rPr>
        <w:instrText xml:space="preserve"> REF _Ref27744484 \r \h </w:instrText>
      </w:r>
      <w:r w:rsidR="00B8080B">
        <w:rPr>
          <w:rFonts w:ascii="Arial" w:eastAsia="Arial" w:hAnsi="Arial" w:cs="Arial"/>
        </w:rPr>
      </w:r>
      <w:r w:rsidR="00B8080B">
        <w:rPr>
          <w:rFonts w:ascii="Arial" w:eastAsia="Arial" w:hAnsi="Arial" w:cs="Arial"/>
        </w:rPr>
        <w:fldChar w:fldCharType="separate"/>
      </w:r>
      <w:r w:rsidR="00A936CD">
        <w:rPr>
          <w:rFonts w:ascii="Arial" w:eastAsia="Arial" w:hAnsi="Arial" w:cs="Arial"/>
        </w:rPr>
        <w:t>3.7</w:t>
      </w:r>
      <w:r w:rsidR="00B8080B">
        <w:rPr>
          <w:rFonts w:ascii="Arial" w:eastAsia="Arial" w:hAnsi="Arial" w:cs="Arial"/>
        </w:rPr>
        <w:fldChar w:fldCharType="end"/>
      </w:r>
      <w:r w:rsidRPr="00587DF1">
        <w:rPr>
          <w:rFonts w:ascii="Arial" w:eastAsia="Arial" w:hAnsi="Arial" w:cs="Arial"/>
        </w:rPr>
        <w:t xml:space="preserve"> gives additional background to the partnership between </w:t>
      </w:r>
      <w:r w:rsidR="00AD3E2C" w:rsidRPr="00587DF1">
        <w:rPr>
          <w:rFonts w:ascii="Arial" w:eastAsia="Arial" w:hAnsi="Arial" w:cs="Arial"/>
        </w:rPr>
        <w:t>Moorfields</w:t>
      </w:r>
      <w:r w:rsidRPr="00587DF1">
        <w:rPr>
          <w:rFonts w:ascii="Arial" w:eastAsia="Arial" w:hAnsi="Arial" w:cs="Arial"/>
        </w:rPr>
        <w:t xml:space="preserve"> and UCL. </w:t>
      </w:r>
      <w:r w:rsidR="008B5ACF" w:rsidRPr="00587DF1">
        <w:rPr>
          <w:rFonts w:ascii="Arial" w:eastAsia="Arial" w:hAnsi="Arial" w:cs="Arial"/>
        </w:rPr>
        <w:t xml:space="preserve">The opportunity to improve research at Moorfields is detailed in the case for change, section </w:t>
      </w:r>
      <w:r w:rsidR="00B8080B">
        <w:rPr>
          <w:rFonts w:ascii="Arial" w:eastAsia="Arial" w:hAnsi="Arial" w:cs="Arial"/>
        </w:rPr>
        <w:fldChar w:fldCharType="begin"/>
      </w:r>
      <w:r w:rsidR="00B8080B">
        <w:rPr>
          <w:rFonts w:ascii="Arial" w:eastAsia="Arial" w:hAnsi="Arial" w:cs="Arial"/>
        </w:rPr>
        <w:instrText xml:space="preserve"> REF _Ref24692797 \r \h </w:instrText>
      </w:r>
      <w:r w:rsidR="00B8080B">
        <w:rPr>
          <w:rFonts w:ascii="Arial" w:eastAsia="Arial" w:hAnsi="Arial" w:cs="Arial"/>
        </w:rPr>
      </w:r>
      <w:r w:rsidR="00B8080B">
        <w:rPr>
          <w:rFonts w:ascii="Arial" w:eastAsia="Arial" w:hAnsi="Arial" w:cs="Arial"/>
        </w:rPr>
        <w:fldChar w:fldCharType="separate"/>
      </w:r>
      <w:r w:rsidR="00A936CD">
        <w:rPr>
          <w:rFonts w:ascii="Arial" w:eastAsia="Arial" w:hAnsi="Arial" w:cs="Arial"/>
        </w:rPr>
        <w:t>3.10.6</w:t>
      </w:r>
      <w:r w:rsidR="00B8080B">
        <w:rPr>
          <w:rFonts w:ascii="Arial" w:eastAsia="Arial" w:hAnsi="Arial" w:cs="Arial"/>
        </w:rPr>
        <w:fldChar w:fldCharType="end"/>
      </w:r>
      <w:r w:rsidR="008B5ACF" w:rsidRPr="00587DF1">
        <w:rPr>
          <w:rFonts w:ascii="Arial" w:eastAsia="Arial" w:hAnsi="Arial" w:cs="Arial"/>
        </w:rPr>
        <w:t>.</w:t>
      </w:r>
    </w:p>
    <w:p w14:paraId="1E4BB3ED" w14:textId="77777777" w:rsidR="00E47761" w:rsidRPr="00587DF1" w:rsidRDefault="00E47761" w:rsidP="00E47761">
      <w:pPr>
        <w:spacing w:after="0"/>
        <w:rPr>
          <w:rFonts w:ascii="Arial" w:hAnsi="Arial" w:cs="Arial"/>
        </w:rPr>
      </w:pPr>
    </w:p>
    <w:p w14:paraId="59425EDE" w14:textId="77777777" w:rsidR="00E47761" w:rsidRPr="00587DF1" w:rsidRDefault="00E47761" w:rsidP="005E0D57">
      <w:pPr>
        <w:numPr>
          <w:ilvl w:val="2"/>
          <w:numId w:val="1"/>
        </w:numPr>
        <w:pBdr>
          <w:top w:val="nil"/>
          <w:left w:val="nil"/>
          <w:bottom w:val="nil"/>
          <w:right w:val="nil"/>
          <w:between w:val="nil"/>
        </w:pBdr>
        <w:spacing w:after="0"/>
        <w:ind w:left="567" w:hanging="567"/>
        <w:jc w:val="both"/>
        <w:rPr>
          <w:rFonts w:ascii="Arial" w:eastAsia="Arial" w:hAnsi="Arial" w:cs="Arial"/>
          <w:color w:val="000000"/>
        </w:rPr>
      </w:pPr>
      <w:r w:rsidRPr="00587DF1">
        <w:rPr>
          <w:rFonts w:ascii="Arial" w:eastAsia="Arial" w:hAnsi="Arial" w:cs="Arial"/>
          <w:b/>
          <w:color w:val="000000"/>
        </w:rPr>
        <w:t>Training and education</w:t>
      </w:r>
    </w:p>
    <w:p w14:paraId="623E4755" w14:textId="77777777" w:rsidR="00E47761" w:rsidRPr="00587DF1" w:rsidRDefault="00E47761" w:rsidP="00E47761">
      <w:pPr>
        <w:spacing w:after="0"/>
        <w:rPr>
          <w:rFonts w:ascii="Arial" w:eastAsia="Arial" w:hAnsi="Arial" w:cs="Arial"/>
        </w:rPr>
      </w:pPr>
    </w:p>
    <w:p w14:paraId="0A437C2C" w14:textId="0A35C2AF" w:rsidR="00E47761" w:rsidRPr="00587DF1" w:rsidRDefault="008B5ACF" w:rsidP="00E47761">
      <w:pPr>
        <w:rPr>
          <w:rFonts w:ascii="Arial" w:eastAsia="Arial" w:hAnsi="Arial" w:cs="Arial"/>
        </w:rPr>
      </w:pPr>
      <w:r w:rsidRPr="00587DF1">
        <w:rPr>
          <w:rFonts w:ascii="Arial" w:eastAsia="Arial" w:hAnsi="Arial" w:cs="Arial"/>
        </w:rPr>
        <w:t xml:space="preserve">The </w:t>
      </w:r>
      <w:r w:rsidR="00AD3E2C" w:rsidRPr="00587DF1">
        <w:rPr>
          <w:rFonts w:ascii="Arial" w:eastAsia="Arial" w:hAnsi="Arial" w:cs="Arial"/>
        </w:rPr>
        <w:t>Moorfields</w:t>
      </w:r>
      <w:r w:rsidRPr="00587DF1">
        <w:rPr>
          <w:rFonts w:ascii="Arial" w:eastAsia="Arial" w:hAnsi="Arial" w:cs="Arial"/>
        </w:rPr>
        <w:t xml:space="preserve"> / </w:t>
      </w:r>
      <w:r w:rsidR="00E47761" w:rsidRPr="00587DF1">
        <w:rPr>
          <w:rFonts w:ascii="Arial" w:eastAsia="Arial" w:hAnsi="Arial" w:cs="Arial"/>
        </w:rPr>
        <w:t xml:space="preserve">UCL </w:t>
      </w:r>
      <w:r w:rsidRPr="00587DF1">
        <w:rPr>
          <w:rFonts w:ascii="Arial" w:eastAsia="Arial" w:hAnsi="Arial" w:cs="Arial"/>
        </w:rPr>
        <w:t>partnership</w:t>
      </w:r>
      <w:r w:rsidR="00E47761" w:rsidRPr="00587DF1">
        <w:rPr>
          <w:rFonts w:ascii="Arial" w:eastAsia="Arial" w:hAnsi="Arial" w:cs="Arial"/>
        </w:rPr>
        <w:t xml:space="preserve"> provides ophthalmic training and education to undergraduate medical students, post-graduate specialty registrars and fellows, and academic clinical fellows and lecturers. Undergraduate teaching in ophthalmology is provided to c.1,250 medical students from Barts and the London School of Medicine and Dentistry, UCL and St. George’s University of London. UCL Partners, of which Moorfields is a founding partner, is the lead provider responsible for organising post-graduate ophthalmic training across North London. </w:t>
      </w:r>
    </w:p>
    <w:p w14:paraId="59FF53DD" w14:textId="244C989D" w:rsidR="00E47761" w:rsidRPr="00587DF1" w:rsidRDefault="00E47761" w:rsidP="00E47761">
      <w:pPr>
        <w:rPr>
          <w:rFonts w:ascii="Arial" w:eastAsia="Arial" w:hAnsi="Arial" w:cs="Arial"/>
        </w:rPr>
      </w:pPr>
      <w:r w:rsidRPr="00587DF1">
        <w:rPr>
          <w:rFonts w:ascii="Arial" w:eastAsia="Arial" w:hAnsi="Arial" w:cs="Arial"/>
        </w:rPr>
        <w:t>Moorfields is the largest provider of NHS-funded ophthalmology education and training. Moorfields</w:t>
      </w:r>
      <w:r w:rsidR="00BF6626" w:rsidRPr="00587DF1">
        <w:rPr>
          <w:rFonts w:ascii="Arial" w:eastAsia="Arial" w:hAnsi="Arial" w:cs="Arial"/>
        </w:rPr>
        <w:t xml:space="preserve"> and UCL IoO have jointly</w:t>
      </w:r>
      <w:r w:rsidRPr="00587DF1">
        <w:rPr>
          <w:rFonts w:ascii="Arial" w:eastAsia="Arial" w:hAnsi="Arial" w:cs="Arial"/>
        </w:rPr>
        <w:t xml:space="preserve"> developed an Education Strategy </w:t>
      </w:r>
      <w:r w:rsidR="00BF6626" w:rsidRPr="00587DF1">
        <w:rPr>
          <w:rFonts w:ascii="Arial" w:eastAsia="Arial" w:hAnsi="Arial" w:cs="Arial"/>
        </w:rPr>
        <w:t>for 2018- 2023</w:t>
      </w:r>
      <w:r w:rsidR="00B74DC1" w:rsidRPr="00587DF1">
        <w:rPr>
          <w:rFonts w:ascii="Arial" w:eastAsia="Arial" w:hAnsi="Arial" w:cs="Arial"/>
        </w:rPr>
        <w:t xml:space="preserve">, </w:t>
      </w:r>
      <w:r w:rsidRPr="00587DF1">
        <w:rPr>
          <w:rFonts w:ascii="Arial" w:eastAsia="Arial" w:hAnsi="Arial" w:cs="Arial"/>
        </w:rPr>
        <w:t xml:space="preserve">the vision of which is </w:t>
      </w:r>
      <w:r w:rsidR="00BF6626" w:rsidRPr="00587DF1">
        <w:rPr>
          <w:rFonts w:ascii="Arial" w:eastAsia="Arial" w:hAnsi="Arial" w:cs="Arial"/>
        </w:rPr>
        <w:t>‘</w:t>
      </w:r>
      <w:r w:rsidRPr="00587DF1">
        <w:rPr>
          <w:rFonts w:ascii="Arial" w:eastAsia="Arial" w:hAnsi="Arial" w:cs="Arial"/>
        </w:rPr>
        <w:t>to</w:t>
      </w:r>
      <w:r w:rsidR="00BF6626" w:rsidRPr="00587DF1">
        <w:rPr>
          <w:rFonts w:ascii="Arial" w:eastAsia="Arial" w:hAnsi="Arial" w:cs="Arial"/>
        </w:rPr>
        <w:t xml:space="preserve"> be the global leader in the integration of research and education, underpinning an inspirational student experience, in vision and eye health education’</w:t>
      </w:r>
      <w:r w:rsidR="00B74DC1" w:rsidRPr="00587DF1">
        <w:rPr>
          <w:rFonts w:ascii="Arial" w:eastAsia="Arial" w:hAnsi="Arial" w:cs="Arial"/>
        </w:rPr>
        <w:t>.</w:t>
      </w:r>
      <w:r w:rsidR="00BF6626" w:rsidRPr="00587DF1">
        <w:rPr>
          <w:rFonts w:ascii="Arial" w:hAnsi="Arial" w:cs="Arial"/>
          <w:color w:val="000000"/>
          <w:sz w:val="28"/>
          <w:szCs w:val="28"/>
        </w:rPr>
        <w:t xml:space="preserve"> </w:t>
      </w:r>
      <w:r w:rsidRPr="00587DF1">
        <w:rPr>
          <w:rFonts w:ascii="Arial" w:eastAsia="Arial" w:hAnsi="Arial" w:cs="Arial"/>
        </w:rPr>
        <w:t xml:space="preserve">The </w:t>
      </w:r>
      <w:r w:rsidR="00FA2D12" w:rsidRPr="00587DF1">
        <w:rPr>
          <w:rFonts w:ascii="Arial" w:eastAsia="Arial" w:hAnsi="Arial" w:cs="Arial"/>
        </w:rPr>
        <w:t>trust</w:t>
      </w:r>
      <w:r w:rsidR="000D6864">
        <w:rPr>
          <w:rFonts w:ascii="Arial" w:eastAsia="Arial" w:hAnsi="Arial" w:cs="Arial"/>
        </w:rPr>
        <w:t xml:space="preserve"> and the </w:t>
      </w:r>
      <w:r w:rsidR="004040D3">
        <w:rPr>
          <w:rFonts w:ascii="Arial" w:eastAsia="Arial" w:hAnsi="Arial" w:cs="Arial"/>
        </w:rPr>
        <w:t>IoO</w:t>
      </w:r>
      <w:r w:rsidRPr="00587DF1">
        <w:rPr>
          <w:rFonts w:ascii="Arial" w:eastAsia="Arial" w:hAnsi="Arial" w:cs="Arial"/>
        </w:rPr>
        <w:t xml:space="preserve"> appointed a </w:t>
      </w:r>
      <w:r w:rsidR="004040D3">
        <w:rPr>
          <w:rFonts w:ascii="Arial" w:eastAsia="Arial" w:hAnsi="Arial" w:cs="Arial"/>
        </w:rPr>
        <w:t xml:space="preserve">joint </w:t>
      </w:r>
      <w:r w:rsidRPr="00587DF1">
        <w:rPr>
          <w:rFonts w:ascii="Arial" w:eastAsia="Arial" w:hAnsi="Arial" w:cs="Arial"/>
        </w:rPr>
        <w:t>Director of Education in April 2018 to lead the implementation of this ambitious strategy to remain centre stage in developing tomorrow’s clinical and research experts in support of world class eye care.</w:t>
      </w:r>
    </w:p>
    <w:p w14:paraId="334121BF" w14:textId="0D2B0DCF" w:rsidR="008B5ACF" w:rsidRPr="00587DF1" w:rsidRDefault="008B5ACF" w:rsidP="00E47761">
      <w:pPr>
        <w:rPr>
          <w:rFonts w:ascii="Arial" w:eastAsia="Arial" w:hAnsi="Arial" w:cs="Arial"/>
        </w:rPr>
      </w:pPr>
      <w:r w:rsidRPr="00587DF1">
        <w:rPr>
          <w:rFonts w:ascii="Arial" w:eastAsia="Arial" w:hAnsi="Arial" w:cs="Arial"/>
        </w:rPr>
        <w:t xml:space="preserve">The challenges faced by the partners in delivering high quality education, and the opportunities for improvement, are detailed in the case for change, section </w:t>
      </w:r>
      <w:r w:rsidR="00B8080B">
        <w:rPr>
          <w:rFonts w:ascii="Arial" w:eastAsia="Arial" w:hAnsi="Arial" w:cs="Arial"/>
        </w:rPr>
        <w:fldChar w:fldCharType="begin"/>
      </w:r>
      <w:r w:rsidR="00B8080B">
        <w:rPr>
          <w:rFonts w:ascii="Arial" w:eastAsia="Arial" w:hAnsi="Arial" w:cs="Arial"/>
        </w:rPr>
        <w:instrText xml:space="preserve"> REF _Ref27743496 \r \h </w:instrText>
      </w:r>
      <w:r w:rsidR="00B8080B">
        <w:rPr>
          <w:rFonts w:ascii="Arial" w:eastAsia="Arial" w:hAnsi="Arial" w:cs="Arial"/>
        </w:rPr>
      </w:r>
      <w:r w:rsidR="00B8080B">
        <w:rPr>
          <w:rFonts w:ascii="Arial" w:eastAsia="Arial" w:hAnsi="Arial" w:cs="Arial"/>
        </w:rPr>
        <w:fldChar w:fldCharType="separate"/>
      </w:r>
      <w:r w:rsidR="00A936CD">
        <w:rPr>
          <w:rFonts w:ascii="Arial" w:eastAsia="Arial" w:hAnsi="Arial" w:cs="Arial"/>
        </w:rPr>
        <w:t>3.10.7</w:t>
      </w:r>
      <w:r w:rsidR="00B8080B">
        <w:rPr>
          <w:rFonts w:ascii="Arial" w:eastAsia="Arial" w:hAnsi="Arial" w:cs="Arial"/>
        </w:rPr>
        <w:fldChar w:fldCharType="end"/>
      </w:r>
      <w:r w:rsidRPr="00587DF1">
        <w:rPr>
          <w:rFonts w:ascii="Arial" w:eastAsia="Arial" w:hAnsi="Arial" w:cs="Arial"/>
        </w:rPr>
        <w:t>.</w:t>
      </w:r>
    </w:p>
    <w:p w14:paraId="64B87BC5" w14:textId="77777777" w:rsidR="00E47761" w:rsidRPr="00587DF1" w:rsidRDefault="00E47761" w:rsidP="00E47761">
      <w:pPr>
        <w:spacing w:after="0"/>
        <w:rPr>
          <w:rFonts w:ascii="Arial" w:eastAsia="Arial" w:hAnsi="Arial" w:cs="Arial"/>
        </w:rPr>
      </w:pPr>
    </w:p>
    <w:p w14:paraId="1471172D" w14:textId="77777777" w:rsidR="00E47761" w:rsidRPr="00587DF1" w:rsidRDefault="00E47761" w:rsidP="005E0D57">
      <w:pPr>
        <w:numPr>
          <w:ilvl w:val="2"/>
          <w:numId w:val="1"/>
        </w:numPr>
        <w:pBdr>
          <w:top w:val="nil"/>
          <w:left w:val="nil"/>
          <w:bottom w:val="nil"/>
          <w:right w:val="nil"/>
          <w:between w:val="nil"/>
        </w:pBdr>
        <w:spacing w:after="0"/>
        <w:ind w:left="567" w:hanging="567"/>
        <w:jc w:val="both"/>
        <w:rPr>
          <w:rFonts w:ascii="Arial" w:eastAsia="Arial" w:hAnsi="Arial" w:cs="Arial"/>
          <w:color w:val="000000"/>
        </w:rPr>
      </w:pPr>
      <w:r w:rsidRPr="00587DF1">
        <w:rPr>
          <w:rFonts w:ascii="Arial" w:eastAsia="Arial" w:hAnsi="Arial" w:cs="Arial"/>
          <w:b/>
          <w:color w:val="000000"/>
        </w:rPr>
        <w:t>Moorfield’s Private</w:t>
      </w:r>
    </w:p>
    <w:p w14:paraId="5192CE52" w14:textId="77777777" w:rsidR="00E47761" w:rsidRPr="00587DF1" w:rsidRDefault="00E47761" w:rsidP="00E47761">
      <w:pPr>
        <w:spacing w:after="0" w:line="240" w:lineRule="auto"/>
        <w:rPr>
          <w:rFonts w:ascii="Arial" w:eastAsia="Arial" w:hAnsi="Arial" w:cs="Arial"/>
          <w:highlight w:val="yellow"/>
        </w:rPr>
      </w:pPr>
    </w:p>
    <w:p w14:paraId="080209BE" w14:textId="039C7AFB" w:rsidR="005C5B7A" w:rsidRPr="00587DF1" w:rsidRDefault="00E47761" w:rsidP="00F655AE">
      <w:pPr>
        <w:rPr>
          <w:rFonts w:ascii="Arial" w:eastAsia="Arial" w:hAnsi="Arial" w:cs="Arial"/>
        </w:rPr>
      </w:pPr>
      <w:bookmarkStart w:id="52" w:name="_Hlk25667124"/>
      <w:r w:rsidRPr="00587DF1">
        <w:rPr>
          <w:rFonts w:ascii="Arial" w:eastAsia="Arial" w:hAnsi="Arial" w:cs="Arial"/>
        </w:rPr>
        <w:t>Moorfields Private (MP) is the established private patient division of Moorfields,</w:t>
      </w:r>
      <w:r w:rsidR="00481D35">
        <w:rPr>
          <w:rFonts w:ascii="Arial" w:eastAsia="Arial" w:hAnsi="Arial" w:cs="Arial"/>
        </w:rPr>
        <w:t xml:space="preserve"> which operates from </w:t>
      </w:r>
      <w:r w:rsidR="00481D35" w:rsidRPr="00481D35">
        <w:rPr>
          <w:rFonts w:ascii="Arial" w:eastAsia="Arial" w:hAnsi="Arial" w:cs="Arial"/>
        </w:rPr>
        <w:t>London and the UAE (Dubai and Abu Dhabi</w:t>
      </w:r>
      <w:r w:rsidR="00481D35">
        <w:rPr>
          <w:rFonts w:ascii="Arial" w:eastAsia="Arial" w:hAnsi="Arial" w:cs="Arial"/>
        </w:rPr>
        <w:t>). MP</w:t>
      </w:r>
      <w:r w:rsidRPr="00587DF1">
        <w:rPr>
          <w:rFonts w:ascii="Arial" w:eastAsia="Arial" w:hAnsi="Arial" w:cs="Arial"/>
        </w:rPr>
        <w:t xml:space="preserve"> makes a significant financial contribution to the </w:t>
      </w:r>
      <w:r w:rsidR="00FA2D12" w:rsidRPr="00587DF1">
        <w:rPr>
          <w:rFonts w:ascii="Arial" w:eastAsia="Arial" w:hAnsi="Arial" w:cs="Arial"/>
        </w:rPr>
        <w:t>trust</w:t>
      </w:r>
      <w:r w:rsidRPr="00587DF1">
        <w:rPr>
          <w:rFonts w:ascii="Arial" w:eastAsia="Arial" w:hAnsi="Arial" w:cs="Arial"/>
        </w:rPr>
        <w:t xml:space="preserve">’s overall revenue (detailed in the </w:t>
      </w:r>
      <w:r w:rsidR="00236908">
        <w:rPr>
          <w:rFonts w:ascii="Arial" w:eastAsia="Arial" w:hAnsi="Arial" w:cs="Arial"/>
          <w:bCs/>
          <w:color w:val="000000"/>
        </w:rPr>
        <w:t>Finance Case</w:t>
      </w:r>
      <w:r w:rsidRPr="00587DF1">
        <w:rPr>
          <w:rFonts w:ascii="Arial" w:eastAsia="Arial" w:hAnsi="Arial" w:cs="Arial"/>
        </w:rPr>
        <w:t xml:space="preserve">). </w:t>
      </w:r>
      <w:bookmarkStart w:id="53" w:name="_Hlk30769613"/>
      <w:r w:rsidR="005C5B7A" w:rsidRPr="00587DF1">
        <w:rPr>
          <w:rFonts w:ascii="Arial" w:eastAsia="Arial" w:hAnsi="Arial" w:cs="Arial"/>
        </w:rPr>
        <w:t xml:space="preserve">All profits from </w:t>
      </w:r>
      <w:r w:rsidR="00481D35">
        <w:rPr>
          <w:rFonts w:ascii="Arial" w:eastAsia="Arial" w:hAnsi="Arial" w:cs="Arial"/>
        </w:rPr>
        <w:t xml:space="preserve">MP </w:t>
      </w:r>
      <w:r w:rsidR="005C5B7A" w:rsidRPr="00587DF1">
        <w:rPr>
          <w:rFonts w:ascii="Arial" w:eastAsia="Arial" w:hAnsi="Arial" w:cs="Arial"/>
        </w:rPr>
        <w:t xml:space="preserve">are re-invested into the </w:t>
      </w:r>
      <w:r w:rsidR="00FA2D12" w:rsidRPr="00587DF1">
        <w:rPr>
          <w:rFonts w:ascii="Arial" w:eastAsia="Arial" w:hAnsi="Arial" w:cs="Arial"/>
        </w:rPr>
        <w:t>trust</w:t>
      </w:r>
      <w:r w:rsidR="005C5B7A" w:rsidRPr="00587DF1">
        <w:rPr>
          <w:rFonts w:ascii="Arial" w:eastAsia="Arial" w:hAnsi="Arial" w:cs="Arial"/>
        </w:rPr>
        <w:t xml:space="preserve">. </w:t>
      </w:r>
      <w:bookmarkEnd w:id="53"/>
      <w:r w:rsidRPr="00587DF1">
        <w:rPr>
          <w:rFonts w:ascii="Arial" w:eastAsia="Arial" w:hAnsi="Arial" w:cs="Arial"/>
        </w:rPr>
        <w:t>MP draws its revenues from insurance companies, embassies, corporate sponsors and patients paying directly for their own treatment.</w:t>
      </w:r>
      <w:r w:rsidR="005C5B7A" w:rsidRPr="00587DF1">
        <w:rPr>
          <w:rFonts w:ascii="Arial" w:eastAsia="Arial" w:hAnsi="Arial" w:cs="Arial"/>
        </w:rPr>
        <w:t xml:space="preserve"> It is a key recruitment tool to attract the best consultants to work at the </w:t>
      </w:r>
      <w:r w:rsidR="00FA2D12" w:rsidRPr="00587DF1">
        <w:rPr>
          <w:rFonts w:ascii="Arial" w:eastAsia="Arial" w:hAnsi="Arial" w:cs="Arial"/>
        </w:rPr>
        <w:t>trust</w:t>
      </w:r>
      <w:r w:rsidR="005C5B7A" w:rsidRPr="00587DF1">
        <w:rPr>
          <w:rFonts w:ascii="Arial" w:eastAsia="Arial" w:hAnsi="Arial" w:cs="Arial"/>
        </w:rPr>
        <w:t>, and contributes to Moorfields’ reputation as an internationally recognised centre of excellence.</w:t>
      </w:r>
    </w:p>
    <w:bookmarkEnd w:id="52"/>
    <w:p w14:paraId="513C6B5B" w14:textId="77777777" w:rsidR="00E47761" w:rsidRPr="00587DF1" w:rsidRDefault="00E47761" w:rsidP="00E47761">
      <w:pPr>
        <w:spacing w:after="0" w:line="240" w:lineRule="auto"/>
        <w:rPr>
          <w:rFonts w:ascii="Arial" w:eastAsia="Arial" w:hAnsi="Arial" w:cs="Arial"/>
          <w:b/>
        </w:rPr>
      </w:pPr>
    </w:p>
    <w:p w14:paraId="15EF57C8" w14:textId="77777777" w:rsidR="00E47761" w:rsidRPr="00587DF1" w:rsidRDefault="001249D5" w:rsidP="005E0D57">
      <w:pPr>
        <w:numPr>
          <w:ilvl w:val="2"/>
          <w:numId w:val="1"/>
        </w:numPr>
        <w:pBdr>
          <w:top w:val="nil"/>
          <w:left w:val="nil"/>
          <w:bottom w:val="nil"/>
          <w:right w:val="nil"/>
          <w:between w:val="nil"/>
        </w:pBdr>
        <w:spacing w:after="0"/>
        <w:ind w:left="567" w:hanging="567"/>
        <w:jc w:val="both"/>
        <w:rPr>
          <w:rFonts w:ascii="Arial" w:eastAsia="Arial" w:hAnsi="Arial" w:cs="Arial"/>
          <w:color w:val="000000"/>
        </w:rPr>
      </w:pPr>
      <w:r w:rsidRPr="00587DF1">
        <w:rPr>
          <w:rFonts w:ascii="Arial" w:eastAsia="Arial" w:hAnsi="Arial" w:cs="Arial"/>
          <w:b/>
          <w:color w:val="000000"/>
        </w:rPr>
        <w:t>T</w:t>
      </w:r>
      <w:r w:rsidR="00FA2D12" w:rsidRPr="00587DF1">
        <w:rPr>
          <w:rFonts w:ascii="Arial" w:eastAsia="Arial" w:hAnsi="Arial" w:cs="Arial"/>
          <w:b/>
          <w:color w:val="000000"/>
        </w:rPr>
        <w:t>rust</w:t>
      </w:r>
      <w:r w:rsidR="00E47761" w:rsidRPr="00587DF1">
        <w:rPr>
          <w:rFonts w:ascii="Arial" w:eastAsia="Arial" w:hAnsi="Arial" w:cs="Arial"/>
          <w:b/>
          <w:color w:val="000000"/>
        </w:rPr>
        <w:t xml:space="preserve"> income and financial position</w:t>
      </w:r>
    </w:p>
    <w:p w14:paraId="1A073F58" w14:textId="77777777" w:rsidR="00E47761" w:rsidRPr="00587DF1" w:rsidRDefault="00E47761" w:rsidP="00E47761">
      <w:pPr>
        <w:spacing w:after="0"/>
        <w:rPr>
          <w:rFonts w:ascii="Arial" w:eastAsia="Arial" w:hAnsi="Arial" w:cs="Arial"/>
        </w:rPr>
      </w:pPr>
    </w:p>
    <w:p w14:paraId="2315C27A" w14:textId="4BFAD1C9" w:rsidR="00E47761" w:rsidRPr="00587DF1" w:rsidRDefault="00B72F95" w:rsidP="00E47761">
      <w:pPr>
        <w:spacing w:after="0"/>
        <w:rPr>
          <w:rFonts w:ascii="Arial" w:eastAsia="Arial" w:hAnsi="Arial" w:cs="Arial"/>
        </w:rPr>
      </w:pPr>
      <w:r>
        <w:rPr>
          <w:rFonts w:ascii="Arial" w:eastAsia="Arial" w:hAnsi="Arial" w:cs="Arial"/>
        </w:rPr>
        <w:lastRenderedPageBreak/>
        <w:t xml:space="preserve">The trust’s historic performance is shown in the Finance Case (section </w:t>
      </w:r>
      <w:r w:rsidR="006E1B58">
        <w:rPr>
          <w:rFonts w:ascii="Arial" w:eastAsia="Arial" w:hAnsi="Arial" w:cs="Arial"/>
        </w:rPr>
        <w:fldChar w:fldCharType="begin"/>
      </w:r>
      <w:r w:rsidR="006E1B58">
        <w:rPr>
          <w:rFonts w:ascii="Arial" w:eastAsia="Arial" w:hAnsi="Arial" w:cs="Arial"/>
        </w:rPr>
        <w:instrText xml:space="preserve"> REF _Ref30429589 \r \h </w:instrText>
      </w:r>
      <w:r w:rsidR="006E1B58">
        <w:rPr>
          <w:rFonts w:ascii="Arial" w:eastAsia="Arial" w:hAnsi="Arial" w:cs="Arial"/>
        </w:rPr>
      </w:r>
      <w:r w:rsidR="006E1B58">
        <w:rPr>
          <w:rFonts w:ascii="Arial" w:eastAsia="Arial" w:hAnsi="Arial" w:cs="Arial"/>
        </w:rPr>
        <w:fldChar w:fldCharType="separate"/>
      </w:r>
      <w:r w:rsidR="00A936CD">
        <w:rPr>
          <w:rFonts w:ascii="Arial" w:eastAsia="Arial" w:hAnsi="Arial" w:cs="Arial"/>
        </w:rPr>
        <w:t>6.2</w:t>
      </w:r>
      <w:r w:rsidR="006E1B58">
        <w:rPr>
          <w:rFonts w:ascii="Arial" w:eastAsia="Arial" w:hAnsi="Arial" w:cs="Arial"/>
        </w:rPr>
        <w:fldChar w:fldCharType="end"/>
      </w:r>
      <w:r>
        <w:rPr>
          <w:rFonts w:ascii="Arial" w:eastAsia="Arial" w:hAnsi="Arial" w:cs="Arial"/>
        </w:rPr>
        <w:t>).</w:t>
      </w:r>
    </w:p>
    <w:p w14:paraId="14D27BF1" w14:textId="77777777" w:rsidR="00E47761" w:rsidRPr="00587DF1" w:rsidRDefault="00E47761" w:rsidP="00E47761">
      <w:pPr>
        <w:rPr>
          <w:rFonts w:ascii="Arial" w:eastAsia="Arial" w:hAnsi="Arial" w:cs="Arial"/>
          <w:highlight w:val="yellow"/>
        </w:rPr>
      </w:pPr>
    </w:p>
    <w:p w14:paraId="69E99A2D" w14:textId="77777777" w:rsidR="00E47761" w:rsidRPr="00587DF1" w:rsidRDefault="00F655AE" w:rsidP="005E0D57">
      <w:pPr>
        <w:numPr>
          <w:ilvl w:val="2"/>
          <w:numId w:val="1"/>
        </w:numPr>
        <w:pBdr>
          <w:top w:val="nil"/>
          <w:left w:val="nil"/>
          <w:bottom w:val="nil"/>
          <w:right w:val="nil"/>
          <w:between w:val="nil"/>
        </w:pBdr>
        <w:spacing w:after="0"/>
        <w:ind w:left="567" w:hanging="567"/>
        <w:jc w:val="both"/>
        <w:rPr>
          <w:rFonts w:ascii="Arial" w:eastAsia="Arial" w:hAnsi="Arial" w:cs="Arial"/>
          <w:color w:val="000000"/>
        </w:rPr>
      </w:pPr>
      <w:bookmarkStart w:id="54" w:name="_Ref25593082"/>
      <w:r w:rsidRPr="00587DF1">
        <w:rPr>
          <w:rFonts w:ascii="Arial" w:eastAsia="Arial" w:hAnsi="Arial" w:cs="Arial"/>
          <w:b/>
          <w:color w:val="000000"/>
        </w:rPr>
        <w:t>T</w:t>
      </w:r>
      <w:r w:rsidR="00FA2D12" w:rsidRPr="00587DF1">
        <w:rPr>
          <w:rFonts w:ascii="Arial" w:eastAsia="Arial" w:hAnsi="Arial" w:cs="Arial"/>
          <w:b/>
          <w:color w:val="000000"/>
        </w:rPr>
        <w:t>rust</w:t>
      </w:r>
      <w:r w:rsidR="00E47761" w:rsidRPr="00587DF1">
        <w:rPr>
          <w:rFonts w:ascii="Arial" w:eastAsia="Arial" w:hAnsi="Arial" w:cs="Arial"/>
          <w:b/>
          <w:color w:val="000000"/>
        </w:rPr>
        <w:t xml:space="preserve"> clinical strategy</w:t>
      </w:r>
      <w:bookmarkEnd w:id="54"/>
    </w:p>
    <w:p w14:paraId="41CC9115" w14:textId="77777777" w:rsidR="00E47761" w:rsidRPr="00587DF1" w:rsidRDefault="00E47761" w:rsidP="00E47761">
      <w:pPr>
        <w:spacing w:after="0" w:line="240" w:lineRule="auto"/>
        <w:rPr>
          <w:rFonts w:ascii="Arial" w:eastAsia="Arial" w:hAnsi="Arial" w:cs="Arial"/>
        </w:rPr>
      </w:pPr>
    </w:p>
    <w:p w14:paraId="5FE69936" w14:textId="1B98F455" w:rsidR="00E47761" w:rsidRPr="00587DF1" w:rsidRDefault="00AD3E2C" w:rsidP="00E47761">
      <w:pPr>
        <w:rPr>
          <w:rFonts w:ascii="Arial" w:eastAsia="Arial" w:hAnsi="Arial" w:cs="Arial"/>
        </w:rPr>
      </w:pPr>
      <w:r w:rsidRPr="00587DF1">
        <w:rPr>
          <w:rFonts w:ascii="Arial" w:eastAsia="Arial" w:hAnsi="Arial" w:cs="Arial"/>
        </w:rPr>
        <w:t>Moorfields</w:t>
      </w:r>
      <w:r w:rsidR="00E47761" w:rsidRPr="00587DF1">
        <w:rPr>
          <w:rFonts w:ascii="Arial" w:eastAsia="Arial" w:hAnsi="Arial" w:cs="Arial"/>
        </w:rPr>
        <w:t xml:space="preserve"> has developed a clinical strategy for each of its four main sub-specialties (defined according to </w:t>
      </w:r>
      <w:r w:rsidR="00481D35">
        <w:rPr>
          <w:rFonts w:ascii="Arial" w:eastAsia="Arial" w:hAnsi="Arial" w:cs="Arial"/>
        </w:rPr>
        <w:t>activity volume</w:t>
      </w:r>
      <w:r w:rsidR="00E47761" w:rsidRPr="00587DF1">
        <w:rPr>
          <w:rFonts w:ascii="Arial" w:eastAsia="Arial" w:hAnsi="Arial" w:cs="Arial"/>
        </w:rPr>
        <w:t xml:space="preserve">). </w:t>
      </w:r>
      <w:r w:rsidR="00481D35">
        <w:rPr>
          <w:rFonts w:ascii="Arial" w:eastAsia="Arial" w:hAnsi="Arial" w:cs="Arial"/>
        </w:rPr>
        <w:t xml:space="preserve">These have been used as the basis for the clinical models, described in section </w:t>
      </w:r>
      <w:r w:rsidR="00481D35">
        <w:rPr>
          <w:rFonts w:ascii="Arial" w:eastAsia="Arial" w:hAnsi="Arial" w:cs="Arial"/>
        </w:rPr>
        <w:fldChar w:fldCharType="begin"/>
      </w:r>
      <w:r w:rsidR="00481D35">
        <w:rPr>
          <w:rFonts w:ascii="Arial" w:eastAsia="Arial" w:hAnsi="Arial" w:cs="Arial"/>
        </w:rPr>
        <w:instrText xml:space="preserve"> REF _Ref27729515 \r \h </w:instrText>
      </w:r>
      <w:r w:rsidR="00481D35">
        <w:rPr>
          <w:rFonts w:ascii="Arial" w:eastAsia="Arial" w:hAnsi="Arial" w:cs="Arial"/>
        </w:rPr>
      </w:r>
      <w:r w:rsidR="00481D35">
        <w:rPr>
          <w:rFonts w:ascii="Arial" w:eastAsia="Arial" w:hAnsi="Arial" w:cs="Arial"/>
        </w:rPr>
        <w:fldChar w:fldCharType="separate"/>
      </w:r>
      <w:r w:rsidR="00A936CD">
        <w:rPr>
          <w:rFonts w:ascii="Arial" w:eastAsia="Arial" w:hAnsi="Arial" w:cs="Arial"/>
        </w:rPr>
        <w:t>5.3</w:t>
      </w:r>
      <w:r w:rsidR="00481D35">
        <w:rPr>
          <w:rFonts w:ascii="Arial" w:eastAsia="Arial" w:hAnsi="Arial" w:cs="Arial"/>
        </w:rPr>
        <w:fldChar w:fldCharType="end"/>
      </w:r>
      <w:r w:rsidR="00E47761" w:rsidRPr="00587DF1">
        <w:rPr>
          <w:rFonts w:ascii="Arial" w:eastAsia="Arial" w:hAnsi="Arial" w:cs="Arial"/>
        </w:rPr>
        <w:t>. The sub-specialty strategies all identify the following drivers for change:</w:t>
      </w:r>
    </w:p>
    <w:p w14:paraId="2C908A81" w14:textId="77777777" w:rsidR="00E47761" w:rsidRPr="00587DF1" w:rsidRDefault="00E47761" w:rsidP="005E0D57">
      <w:pPr>
        <w:pStyle w:val="ListParagraph"/>
        <w:numPr>
          <w:ilvl w:val="0"/>
          <w:numId w:val="18"/>
        </w:numPr>
        <w:spacing w:before="180" w:after="60" w:line="264" w:lineRule="auto"/>
        <w:rPr>
          <w:rFonts w:ascii="Arial" w:eastAsia="Times New Roman" w:hAnsi="Arial" w:cs="Arial"/>
          <w:b/>
          <w:lang w:eastAsia="en-US"/>
        </w:rPr>
      </w:pPr>
      <w:r w:rsidRPr="00587DF1">
        <w:rPr>
          <w:rFonts w:ascii="Arial" w:eastAsia="Times New Roman" w:hAnsi="Arial" w:cs="Arial"/>
          <w:b/>
          <w:lang w:eastAsia="en-US"/>
        </w:rPr>
        <w:t>UK healthcare trends</w:t>
      </w:r>
      <w:r w:rsidR="00F655AE" w:rsidRPr="00587DF1">
        <w:rPr>
          <w:rFonts w:ascii="Arial" w:eastAsia="Times New Roman" w:hAnsi="Arial" w:cs="Arial"/>
          <w:bCs/>
          <w:lang w:eastAsia="en-US"/>
        </w:rPr>
        <w:t xml:space="preserve"> including:</w:t>
      </w:r>
    </w:p>
    <w:p w14:paraId="401E4131" w14:textId="7507E644" w:rsidR="00E47761" w:rsidRPr="00587DF1" w:rsidRDefault="00E47761" w:rsidP="005E0D57">
      <w:pPr>
        <w:pStyle w:val="ListParagraph"/>
        <w:numPr>
          <w:ilvl w:val="0"/>
          <w:numId w:val="16"/>
        </w:numPr>
        <w:tabs>
          <w:tab w:val="num" w:pos="357"/>
        </w:tabs>
        <w:spacing w:before="120" w:after="60" w:line="264" w:lineRule="auto"/>
        <w:ind w:left="1134" w:right="142"/>
        <w:jc w:val="both"/>
        <w:rPr>
          <w:rFonts w:ascii="Arial" w:hAnsi="Arial" w:cs="Arial"/>
          <w:lang w:eastAsia="en-US"/>
        </w:rPr>
      </w:pPr>
      <w:r w:rsidRPr="00587DF1">
        <w:rPr>
          <w:rFonts w:ascii="Arial" w:eastAsiaTheme="minorHAnsi" w:hAnsi="Arial" w:cs="Arial"/>
          <w:lang w:eastAsia="en-US"/>
        </w:rPr>
        <w:t>Shift of care to out-of-hospital settings</w:t>
      </w:r>
      <w:r w:rsidR="00D76672">
        <w:rPr>
          <w:rFonts w:ascii="Arial" w:hAnsi="Arial" w:cs="Arial"/>
          <w:lang w:eastAsia="en-US"/>
        </w:rPr>
        <w:t>.</w:t>
      </w:r>
    </w:p>
    <w:p w14:paraId="63B7D5D5" w14:textId="32930080" w:rsidR="00E47761" w:rsidRPr="00587DF1" w:rsidRDefault="00E47761" w:rsidP="005E0D57">
      <w:pPr>
        <w:pStyle w:val="ListParagraph"/>
        <w:numPr>
          <w:ilvl w:val="0"/>
          <w:numId w:val="16"/>
        </w:numPr>
        <w:tabs>
          <w:tab w:val="num" w:pos="357"/>
        </w:tabs>
        <w:spacing w:before="120" w:after="60" w:line="264" w:lineRule="auto"/>
        <w:ind w:left="1134" w:right="142"/>
        <w:jc w:val="both"/>
        <w:rPr>
          <w:rFonts w:ascii="Arial" w:hAnsi="Arial" w:cs="Arial"/>
          <w:lang w:eastAsia="en-US"/>
        </w:rPr>
      </w:pPr>
      <w:r w:rsidRPr="00587DF1">
        <w:rPr>
          <w:rFonts w:ascii="Arial" w:eastAsiaTheme="minorHAnsi" w:hAnsi="Arial" w:cs="Arial"/>
          <w:lang w:eastAsia="en-US"/>
        </w:rPr>
        <w:t>Concentration of specialist services in centres of excellence</w:t>
      </w:r>
      <w:r w:rsidR="00D76672">
        <w:rPr>
          <w:rFonts w:ascii="Arial" w:hAnsi="Arial" w:cs="Arial"/>
          <w:lang w:eastAsia="en-US"/>
        </w:rPr>
        <w:t>.</w:t>
      </w:r>
    </w:p>
    <w:p w14:paraId="1E932ED6" w14:textId="704146D7" w:rsidR="00E47761" w:rsidRPr="00587DF1" w:rsidRDefault="00E47761" w:rsidP="005E0D57">
      <w:pPr>
        <w:pStyle w:val="ListParagraph"/>
        <w:numPr>
          <w:ilvl w:val="0"/>
          <w:numId w:val="16"/>
        </w:numPr>
        <w:tabs>
          <w:tab w:val="num" w:pos="357"/>
        </w:tabs>
        <w:spacing w:before="120" w:after="60" w:line="264" w:lineRule="auto"/>
        <w:ind w:left="1134" w:right="142"/>
        <w:jc w:val="both"/>
        <w:rPr>
          <w:rFonts w:ascii="Arial" w:hAnsi="Arial" w:cs="Arial"/>
          <w:lang w:eastAsia="en-US"/>
        </w:rPr>
      </w:pPr>
      <w:r w:rsidRPr="00587DF1">
        <w:rPr>
          <w:rFonts w:ascii="Arial" w:eastAsiaTheme="minorHAnsi" w:hAnsi="Arial" w:cs="Arial"/>
          <w:lang w:eastAsia="en-US"/>
        </w:rPr>
        <w:t>Patient empowerment</w:t>
      </w:r>
      <w:r w:rsidR="00D76672">
        <w:rPr>
          <w:rFonts w:ascii="Arial" w:hAnsi="Arial" w:cs="Arial"/>
          <w:lang w:eastAsia="en-US"/>
        </w:rPr>
        <w:t>.</w:t>
      </w:r>
    </w:p>
    <w:p w14:paraId="0F789525" w14:textId="13479441" w:rsidR="00E47761" w:rsidRPr="00587DF1" w:rsidRDefault="00E47761" w:rsidP="005E0D57">
      <w:pPr>
        <w:pStyle w:val="ListParagraph"/>
        <w:numPr>
          <w:ilvl w:val="0"/>
          <w:numId w:val="16"/>
        </w:numPr>
        <w:tabs>
          <w:tab w:val="num" w:pos="357"/>
        </w:tabs>
        <w:spacing w:before="120" w:after="60" w:line="264" w:lineRule="auto"/>
        <w:ind w:left="1134" w:right="142"/>
        <w:jc w:val="both"/>
        <w:rPr>
          <w:rFonts w:ascii="Arial" w:hAnsi="Arial" w:cs="Arial"/>
          <w:lang w:eastAsia="en-US"/>
        </w:rPr>
      </w:pPr>
      <w:r w:rsidRPr="00587DF1">
        <w:rPr>
          <w:rFonts w:ascii="Arial" w:eastAsiaTheme="minorHAnsi" w:hAnsi="Arial" w:cs="Arial"/>
          <w:lang w:eastAsia="en-US"/>
        </w:rPr>
        <w:t>Clinical innovation</w:t>
      </w:r>
      <w:r w:rsidR="00D76672">
        <w:rPr>
          <w:rFonts w:ascii="Arial" w:eastAsiaTheme="minorHAnsi" w:hAnsi="Arial" w:cs="Arial"/>
          <w:lang w:eastAsia="en-US"/>
        </w:rPr>
        <w:t>.</w:t>
      </w:r>
    </w:p>
    <w:p w14:paraId="1FFE7845" w14:textId="544ABEAC" w:rsidR="00E47761" w:rsidRPr="00587DF1" w:rsidRDefault="00F655AE" w:rsidP="005E0D57">
      <w:pPr>
        <w:pStyle w:val="ListParagraph"/>
        <w:numPr>
          <w:ilvl w:val="0"/>
          <w:numId w:val="18"/>
        </w:numPr>
        <w:spacing w:before="180" w:after="60" w:line="264" w:lineRule="auto"/>
        <w:rPr>
          <w:rFonts w:ascii="Arial" w:eastAsia="Times New Roman" w:hAnsi="Arial" w:cs="Arial"/>
          <w:b/>
          <w:lang w:eastAsia="en-US"/>
        </w:rPr>
      </w:pPr>
      <w:r w:rsidRPr="00587DF1">
        <w:rPr>
          <w:rFonts w:ascii="Arial" w:eastAsia="Times New Roman" w:hAnsi="Arial" w:cs="Arial"/>
          <w:b/>
          <w:lang w:eastAsia="en-US"/>
        </w:rPr>
        <w:t>Increasing d</w:t>
      </w:r>
      <w:r w:rsidR="00E47761" w:rsidRPr="00587DF1">
        <w:rPr>
          <w:rFonts w:ascii="Arial" w:eastAsia="Times New Roman" w:hAnsi="Arial" w:cs="Arial"/>
          <w:b/>
          <w:lang w:eastAsia="en-US"/>
        </w:rPr>
        <w:t>emand</w:t>
      </w:r>
      <w:r w:rsidR="00D76672">
        <w:rPr>
          <w:rFonts w:ascii="Arial" w:eastAsia="Times New Roman" w:hAnsi="Arial" w:cs="Arial"/>
          <w:b/>
          <w:lang w:eastAsia="en-US"/>
        </w:rPr>
        <w:t>.</w:t>
      </w:r>
    </w:p>
    <w:p w14:paraId="0058C204" w14:textId="5281A26D" w:rsidR="00E47761" w:rsidRPr="00587DF1" w:rsidRDefault="00E47761" w:rsidP="005E0D57">
      <w:pPr>
        <w:pStyle w:val="ListParagraph"/>
        <w:numPr>
          <w:ilvl w:val="0"/>
          <w:numId w:val="18"/>
        </w:numPr>
        <w:spacing w:before="180" w:after="60" w:line="264" w:lineRule="auto"/>
        <w:rPr>
          <w:rFonts w:ascii="Arial" w:eastAsia="Times New Roman" w:hAnsi="Arial" w:cs="Arial"/>
          <w:b/>
          <w:lang w:eastAsia="en-US"/>
        </w:rPr>
      </w:pPr>
      <w:bookmarkStart w:id="55" w:name="_Toc530495881"/>
      <w:r w:rsidRPr="00587DF1">
        <w:rPr>
          <w:rFonts w:ascii="Arial" w:eastAsia="Times New Roman" w:hAnsi="Arial" w:cs="Arial"/>
          <w:b/>
          <w:lang w:eastAsia="en-US"/>
        </w:rPr>
        <w:t>Common challenges within the NHS</w:t>
      </w:r>
      <w:r w:rsidR="00F655AE" w:rsidRPr="00587DF1">
        <w:rPr>
          <w:rFonts w:ascii="Arial" w:eastAsia="Times New Roman" w:hAnsi="Arial" w:cs="Arial"/>
          <w:bCs/>
          <w:lang w:eastAsia="en-US"/>
        </w:rPr>
        <w:t xml:space="preserve"> including workforce challenges and financial pressures</w:t>
      </w:r>
      <w:r w:rsidR="00D76672">
        <w:rPr>
          <w:rFonts w:ascii="Arial" w:eastAsia="Times New Roman" w:hAnsi="Arial" w:cs="Arial"/>
          <w:bCs/>
          <w:lang w:eastAsia="en-US"/>
        </w:rPr>
        <w:t>.</w:t>
      </w:r>
    </w:p>
    <w:p w14:paraId="6817C9D9" w14:textId="77777777" w:rsidR="00E47761" w:rsidRPr="00587DF1" w:rsidRDefault="00E47761" w:rsidP="00E47761">
      <w:pPr>
        <w:spacing w:before="180" w:after="60" w:line="264" w:lineRule="auto"/>
        <w:rPr>
          <w:rFonts w:ascii="Arial" w:eastAsia="Arial" w:hAnsi="Arial" w:cs="Arial"/>
        </w:rPr>
      </w:pPr>
      <w:r w:rsidRPr="00587DF1">
        <w:rPr>
          <w:rFonts w:ascii="Arial" w:eastAsia="Times New Roman" w:hAnsi="Arial" w:cs="Arial"/>
          <w:lang w:eastAsia="en-US"/>
        </w:rPr>
        <w:t xml:space="preserve">The strategies identify the following </w:t>
      </w:r>
      <w:bookmarkEnd w:id="55"/>
      <w:r w:rsidR="00FA2D12" w:rsidRPr="00587DF1">
        <w:rPr>
          <w:rFonts w:ascii="Arial" w:eastAsia="Arial" w:hAnsi="Arial" w:cs="Arial"/>
          <w:b/>
        </w:rPr>
        <w:t>trust</w:t>
      </w:r>
      <w:r w:rsidRPr="00587DF1">
        <w:rPr>
          <w:rFonts w:ascii="Arial" w:eastAsia="Arial" w:hAnsi="Arial" w:cs="Arial"/>
          <w:b/>
        </w:rPr>
        <w:t>-level strengths</w:t>
      </w:r>
      <w:r w:rsidRPr="00587DF1">
        <w:rPr>
          <w:rFonts w:ascii="Arial" w:eastAsia="Arial" w:hAnsi="Arial" w:cs="Arial"/>
        </w:rPr>
        <w:t xml:space="preserve"> that relate to all the services assessed:</w:t>
      </w:r>
    </w:p>
    <w:p w14:paraId="73A78516" w14:textId="5241168C" w:rsidR="00E47761" w:rsidRPr="00587DF1" w:rsidRDefault="00E47761" w:rsidP="005E0D57">
      <w:pPr>
        <w:pStyle w:val="ListParagraph"/>
        <w:numPr>
          <w:ilvl w:val="0"/>
          <w:numId w:val="16"/>
        </w:numPr>
        <w:tabs>
          <w:tab w:val="num" w:pos="357"/>
        </w:tabs>
        <w:spacing w:before="120" w:after="60" w:line="264" w:lineRule="auto"/>
        <w:ind w:left="1134" w:right="142"/>
        <w:jc w:val="both"/>
        <w:rPr>
          <w:rFonts w:ascii="Arial" w:eastAsiaTheme="minorHAnsi" w:hAnsi="Arial" w:cs="Arial"/>
          <w:lang w:eastAsia="en-US"/>
        </w:rPr>
      </w:pPr>
      <w:r w:rsidRPr="00587DF1">
        <w:rPr>
          <w:rFonts w:ascii="Arial" w:eastAsiaTheme="minorHAnsi" w:hAnsi="Arial" w:cs="Arial"/>
          <w:lang w:eastAsia="en-US"/>
        </w:rPr>
        <w:t>Consistently high quality of care</w:t>
      </w:r>
      <w:r w:rsidR="00D76672">
        <w:rPr>
          <w:rFonts w:ascii="Arial" w:eastAsiaTheme="minorHAnsi" w:hAnsi="Arial" w:cs="Arial"/>
          <w:lang w:eastAsia="en-US"/>
        </w:rPr>
        <w:t>.</w:t>
      </w:r>
    </w:p>
    <w:p w14:paraId="7CA9A3DC" w14:textId="602C4CB5" w:rsidR="00E47761" w:rsidRPr="00587DF1" w:rsidRDefault="00E47761" w:rsidP="005E0D57">
      <w:pPr>
        <w:pStyle w:val="ListParagraph"/>
        <w:numPr>
          <w:ilvl w:val="0"/>
          <w:numId w:val="16"/>
        </w:numPr>
        <w:tabs>
          <w:tab w:val="num" w:pos="357"/>
        </w:tabs>
        <w:spacing w:before="120" w:after="60" w:line="264" w:lineRule="auto"/>
        <w:ind w:left="1134" w:right="142"/>
        <w:jc w:val="both"/>
        <w:rPr>
          <w:rFonts w:ascii="Arial" w:eastAsiaTheme="minorHAnsi" w:hAnsi="Arial" w:cs="Arial"/>
          <w:lang w:eastAsia="en-US"/>
        </w:rPr>
      </w:pPr>
      <w:r w:rsidRPr="00587DF1">
        <w:rPr>
          <w:rFonts w:ascii="Arial" w:eastAsiaTheme="minorHAnsi" w:hAnsi="Arial" w:cs="Arial"/>
          <w:lang w:eastAsia="en-US"/>
        </w:rPr>
        <w:t>High patient satisfaction</w:t>
      </w:r>
      <w:r w:rsidR="00D76672">
        <w:rPr>
          <w:rFonts w:ascii="Arial" w:eastAsiaTheme="minorHAnsi" w:hAnsi="Arial" w:cs="Arial"/>
          <w:lang w:eastAsia="en-US"/>
        </w:rPr>
        <w:t>.</w:t>
      </w:r>
    </w:p>
    <w:p w14:paraId="13002D54" w14:textId="56374F36" w:rsidR="00E47761" w:rsidRPr="00587DF1" w:rsidRDefault="00E47761" w:rsidP="005E0D57">
      <w:pPr>
        <w:pStyle w:val="ListParagraph"/>
        <w:numPr>
          <w:ilvl w:val="0"/>
          <w:numId w:val="16"/>
        </w:numPr>
        <w:tabs>
          <w:tab w:val="num" w:pos="357"/>
        </w:tabs>
        <w:spacing w:before="120" w:after="60" w:line="264" w:lineRule="auto"/>
        <w:ind w:left="1134" w:right="142"/>
        <w:jc w:val="both"/>
        <w:rPr>
          <w:rFonts w:ascii="Arial" w:eastAsiaTheme="minorHAnsi" w:hAnsi="Arial" w:cs="Arial"/>
          <w:lang w:eastAsia="en-US"/>
        </w:rPr>
      </w:pPr>
      <w:r w:rsidRPr="00587DF1">
        <w:rPr>
          <w:rFonts w:ascii="Arial" w:eastAsiaTheme="minorHAnsi" w:hAnsi="Arial" w:cs="Arial"/>
          <w:lang w:eastAsia="en-US"/>
        </w:rPr>
        <w:t>Recognised leader in training workforce</w:t>
      </w:r>
      <w:r w:rsidR="00D76672">
        <w:rPr>
          <w:rFonts w:ascii="Arial" w:eastAsiaTheme="minorHAnsi" w:hAnsi="Arial" w:cs="Arial"/>
          <w:lang w:eastAsia="en-US"/>
        </w:rPr>
        <w:t>.</w:t>
      </w:r>
    </w:p>
    <w:p w14:paraId="08D7B37B" w14:textId="4BDF51D9" w:rsidR="00E47761" w:rsidRPr="00587DF1" w:rsidRDefault="00E47761" w:rsidP="005E0D57">
      <w:pPr>
        <w:pStyle w:val="ListParagraph"/>
        <w:numPr>
          <w:ilvl w:val="0"/>
          <w:numId w:val="16"/>
        </w:numPr>
        <w:tabs>
          <w:tab w:val="num" w:pos="357"/>
        </w:tabs>
        <w:spacing w:before="120" w:after="60" w:line="264" w:lineRule="auto"/>
        <w:ind w:left="1134" w:right="142"/>
        <w:jc w:val="both"/>
        <w:rPr>
          <w:rFonts w:ascii="Arial" w:eastAsiaTheme="minorHAnsi" w:hAnsi="Arial" w:cs="Arial"/>
          <w:lang w:eastAsia="en-US"/>
        </w:rPr>
      </w:pPr>
      <w:r w:rsidRPr="00587DF1">
        <w:rPr>
          <w:rFonts w:ascii="Arial" w:eastAsiaTheme="minorHAnsi" w:hAnsi="Arial" w:cs="Arial"/>
          <w:lang w:eastAsia="en-US"/>
        </w:rPr>
        <w:t>Largest ophthalmology provider in London</w:t>
      </w:r>
      <w:r w:rsidR="00D76672">
        <w:rPr>
          <w:rFonts w:ascii="Arial" w:eastAsiaTheme="minorHAnsi" w:hAnsi="Arial" w:cs="Arial"/>
          <w:lang w:eastAsia="en-US"/>
        </w:rPr>
        <w:t>.</w:t>
      </w:r>
    </w:p>
    <w:p w14:paraId="560D1F7E" w14:textId="0D74652C" w:rsidR="00E47761" w:rsidRPr="00587DF1" w:rsidRDefault="00E47761" w:rsidP="00E47761">
      <w:pPr>
        <w:spacing w:before="180" w:after="60" w:line="264" w:lineRule="auto"/>
        <w:rPr>
          <w:rFonts w:ascii="Arial" w:eastAsia="Times New Roman" w:hAnsi="Arial" w:cs="Arial"/>
          <w:lang w:eastAsia="en-US"/>
        </w:rPr>
      </w:pPr>
      <w:r w:rsidRPr="00587DF1">
        <w:rPr>
          <w:rFonts w:ascii="Arial" w:eastAsia="Times New Roman" w:hAnsi="Arial" w:cs="Arial"/>
          <w:lang w:eastAsia="en-US"/>
        </w:rPr>
        <w:t xml:space="preserve">The clinical strategies support the view that there are clear advantages in the London region </w:t>
      </w:r>
      <w:r w:rsidR="00594680" w:rsidRPr="00587DF1">
        <w:rPr>
          <w:rFonts w:ascii="Arial" w:eastAsia="Times New Roman" w:hAnsi="Arial" w:cs="Arial"/>
          <w:lang w:eastAsia="en-US"/>
        </w:rPr>
        <w:t xml:space="preserve">to </w:t>
      </w:r>
      <w:r w:rsidRPr="00587DF1">
        <w:rPr>
          <w:rFonts w:ascii="Arial" w:eastAsia="Times New Roman" w:hAnsi="Arial" w:cs="Arial"/>
          <w:lang w:eastAsia="en-US"/>
        </w:rPr>
        <w:t xml:space="preserve">having a dedicated eye hospital which is co-located with a clinical research function (i.e. UCL IoO). This enables the </w:t>
      </w:r>
      <w:r w:rsidR="00FA2D12" w:rsidRPr="00587DF1">
        <w:rPr>
          <w:rFonts w:ascii="Arial" w:eastAsia="Times New Roman" w:hAnsi="Arial" w:cs="Arial"/>
          <w:lang w:eastAsia="en-US"/>
        </w:rPr>
        <w:t>trust</w:t>
      </w:r>
      <w:r w:rsidRPr="00587DF1">
        <w:rPr>
          <w:rFonts w:ascii="Arial" w:eastAsia="Times New Roman" w:hAnsi="Arial" w:cs="Arial"/>
          <w:lang w:eastAsia="en-US"/>
        </w:rPr>
        <w:t xml:space="preserve"> to take full advantage of clinical and technological advancements and innovation, as well as shaping the research of the future. The key overarching recommendations are</w:t>
      </w:r>
      <w:r w:rsidR="00D76672">
        <w:rPr>
          <w:rFonts w:ascii="Arial" w:eastAsia="Times New Roman" w:hAnsi="Arial" w:cs="Arial"/>
          <w:lang w:eastAsia="en-US"/>
        </w:rPr>
        <w:t>:</w:t>
      </w:r>
    </w:p>
    <w:p w14:paraId="507E0C40" w14:textId="455A1410" w:rsidR="00E47761" w:rsidRPr="00587DF1" w:rsidRDefault="00E47761" w:rsidP="005E0D57">
      <w:pPr>
        <w:pStyle w:val="ListParagraph"/>
        <w:numPr>
          <w:ilvl w:val="0"/>
          <w:numId w:val="16"/>
        </w:numPr>
        <w:tabs>
          <w:tab w:val="num" w:pos="357"/>
        </w:tabs>
        <w:spacing w:before="120" w:after="60" w:line="264" w:lineRule="auto"/>
        <w:ind w:left="1134" w:right="142"/>
        <w:jc w:val="both"/>
        <w:rPr>
          <w:rFonts w:ascii="Arial" w:eastAsiaTheme="minorHAnsi" w:hAnsi="Arial" w:cs="Arial"/>
          <w:lang w:eastAsia="en-US"/>
        </w:rPr>
      </w:pPr>
      <w:r w:rsidRPr="00587DF1">
        <w:rPr>
          <w:rFonts w:ascii="Arial" w:eastAsiaTheme="minorHAnsi" w:hAnsi="Arial" w:cs="Arial"/>
          <w:lang w:eastAsia="en-US"/>
        </w:rPr>
        <w:t>Developing new, standardised models of care</w:t>
      </w:r>
      <w:r w:rsidR="00D76672">
        <w:rPr>
          <w:rFonts w:ascii="Arial" w:eastAsiaTheme="minorHAnsi" w:hAnsi="Arial" w:cs="Arial"/>
          <w:lang w:eastAsia="en-US"/>
        </w:rPr>
        <w:t>.</w:t>
      </w:r>
    </w:p>
    <w:p w14:paraId="0EA8C72C" w14:textId="2BC083CE" w:rsidR="00E47761" w:rsidRPr="00587DF1" w:rsidRDefault="00E47761" w:rsidP="005E0D57">
      <w:pPr>
        <w:pStyle w:val="ListParagraph"/>
        <w:numPr>
          <w:ilvl w:val="0"/>
          <w:numId w:val="16"/>
        </w:numPr>
        <w:tabs>
          <w:tab w:val="num" w:pos="357"/>
        </w:tabs>
        <w:spacing w:before="120" w:after="0" w:line="264" w:lineRule="auto"/>
        <w:ind w:left="1134" w:right="142"/>
        <w:jc w:val="both"/>
        <w:rPr>
          <w:rFonts w:ascii="Arial" w:eastAsiaTheme="minorHAnsi" w:hAnsi="Arial" w:cs="Arial"/>
          <w:lang w:eastAsia="en-US"/>
        </w:rPr>
      </w:pPr>
      <w:r w:rsidRPr="00587DF1">
        <w:rPr>
          <w:rFonts w:ascii="Arial" w:eastAsiaTheme="minorHAnsi" w:hAnsi="Arial" w:cs="Arial"/>
          <w:lang w:eastAsia="en-US"/>
        </w:rPr>
        <w:t>Implementing patient stratification to ensure patients are always seen by the most appropriate clinicians</w:t>
      </w:r>
      <w:r w:rsidR="00D76672">
        <w:rPr>
          <w:rFonts w:ascii="Arial" w:eastAsiaTheme="minorHAnsi" w:hAnsi="Arial" w:cs="Arial"/>
          <w:lang w:eastAsia="en-US"/>
        </w:rPr>
        <w:t>.</w:t>
      </w:r>
    </w:p>
    <w:p w14:paraId="7BEDA73E" w14:textId="138D2F16" w:rsidR="00E47761" w:rsidRPr="00587DF1" w:rsidRDefault="00E47761" w:rsidP="005E0D57">
      <w:pPr>
        <w:pStyle w:val="ListParagraph"/>
        <w:numPr>
          <w:ilvl w:val="0"/>
          <w:numId w:val="16"/>
        </w:numPr>
        <w:tabs>
          <w:tab w:val="num" w:pos="357"/>
        </w:tabs>
        <w:spacing w:before="120" w:after="0" w:line="264" w:lineRule="auto"/>
        <w:ind w:left="1134" w:right="142"/>
        <w:jc w:val="both"/>
        <w:rPr>
          <w:rFonts w:ascii="Arial" w:eastAsiaTheme="minorHAnsi" w:hAnsi="Arial" w:cs="Arial"/>
          <w:lang w:eastAsia="en-US"/>
        </w:rPr>
      </w:pPr>
      <w:r w:rsidRPr="00587DF1">
        <w:rPr>
          <w:rFonts w:ascii="Arial" w:eastAsiaTheme="minorHAnsi" w:hAnsi="Arial" w:cs="Arial"/>
          <w:lang w:eastAsia="en-US"/>
        </w:rPr>
        <w:t>Investing in digital solutions and artificial intelligence (AI)</w:t>
      </w:r>
      <w:r w:rsidR="00D76672">
        <w:rPr>
          <w:rFonts w:ascii="Arial" w:eastAsiaTheme="minorHAnsi" w:hAnsi="Arial" w:cs="Arial"/>
          <w:lang w:eastAsia="en-US"/>
        </w:rPr>
        <w:t>.</w:t>
      </w:r>
    </w:p>
    <w:p w14:paraId="6735E191" w14:textId="77777777" w:rsidR="00E47761" w:rsidRPr="00587DF1" w:rsidRDefault="00E47761" w:rsidP="00AF7894">
      <w:pPr>
        <w:spacing w:after="0"/>
        <w:rPr>
          <w:rFonts w:ascii="Arial" w:eastAsia="Arial" w:hAnsi="Arial" w:cs="Arial"/>
        </w:rPr>
      </w:pPr>
    </w:p>
    <w:p w14:paraId="191B752F" w14:textId="5EDCAD6E" w:rsidR="00F219E0" w:rsidRPr="00587DF1" w:rsidRDefault="00F219E0" w:rsidP="004F4B79">
      <w:pPr>
        <w:spacing w:after="0"/>
        <w:rPr>
          <w:rFonts w:ascii="Arial" w:eastAsia="Arial" w:hAnsi="Arial" w:cs="Arial"/>
        </w:rPr>
      </w:pPr>
    </w:p>
    <w:p w14:paraId="4D6B4911" w14:textId="77777777" w:rsidR="00C3758F" w:rsidRPr="00A1175B" w:rsidRDefault="00F655AE" w:rsidP="005E0D57">
      <w:pPr>
        <w:pStyle w:val="Heading2"/>
        <w:numPr>
          <w:ilvl w:val="1"/>
          <w:numId w:val="1"/>
        </w:numPr>
        <w:rPr>
          <w:rFonts w:ascii="Arial" w:eastAsia="Arial" w:hAnsi="Arial" w:cs="Arial"/>
        </w:rPr>
      </w:pPr>
      <w:bookmarkStart w:id="56" w:name="_Toc32842679"/>
      <w:r w:rsidRPr="00A1175B">
        <w:rPr>
          <w:rFonts w:ascii="Arial" w:eastAsia="Arial" w:hAnsi="Arial" w:cs="Arial"/>
        </w:rPr>
        <w:t>The</w:t>
      </w:r>
      <w:r w:rsidR="00C3758F" w:rsidRPr="00A1175B">
        <w:rPr>
          <w:rFonts w:ascii="Arial" w:eastAsia="Arial" w:hAnsi="Arial" w:cs="Arial"/>
        </w:rPr>
        <w:t xml:space="preserve"> Moorfields estate</w:t>
      </w:r>
      <w:bookmarkEnd w:id="56"/>
    </w:p>
    <w:p w14:paraId="27DEE579" w14:textId="77777777" w:rsidR="00A1175B" w:rsidRDefault="00A1175B" w:rsidP="00A1175B">
      <w:pPr>
        <w:spacing w:after="0"/>
        <w:rPr>
          <w:rFonts w:ascii="Arial" w:eastAsia="Times New Roman" w:hAnsi="Arial" w:cs="Arial"/>
          <w:lang w:eastAsia="en-US"/>
        </w:rPr>
      </w:pPr>
    </w:p>
    <w:p w14:paraId="2D1613B2" w14:textId="2D5E7958" w:rsidR="00C3758F" w:rsidRPr="00587DF1" w:rsidRDefault="00C3758F" w:rsidP="00C3758F">
      <w:pPr>
        <w:rPr>
          <w:rFonts w:ascii="Arial" w:eastAsia="Times New Roman" w:hAnsi="Arial" w:cs="Arial"/>
          <w:lang w:eastAsia="en-US"/>
        </w:rPr>
      </w:pPr>
      <w:r w:rsidRPr="00587DF1">
        <w:rPr>
          <w:rFonts w:ascii="Arial" w:eastAsia="Times New Roman" w:hAnsi="Arial" w:cs="Arial"/>
          <w:lang w:eastAsia="en-US"/>
        </w:rPr>
        <w:t xml:space="preserve">Moorfields operates a network of </w:t>
      </w:r>
      <w:r w:rsidR="00C9177D">
        <w:rPr>
          <w:rFonts w:ascii="Arial" w:eastAsia="Times New Roman" w:hAnsi="Arial" w:cs="Arial"/>
          <w:lang w:eastAsia="en-US"/>
        </w:rPr>
        <w:t>around</w:t>
      </w:r>
      <w:r w:rsidR="00AE0FD0" w:rsidRPr="00587DF1">
        <w:rPr>
          <w:rFonts w:ascii="Arial" w:eastAsia="Times New Roman" w:hAnsi="Arial" w:cs="Arial"/>
          <w:lang w:eastAsia="en-US"/>
        </w:rPr>
        <w:t xml:space="preserve"> </w:t>
      </w:r>
      <w:r w:rsidRPr="00587DF1">
        <w:rPr>
          <w:rFonts w:ascii="Arial" w:eastAsia="Times New Roman" w:hAnsi="Arial" w:cs="Arial"/>
          <w:lang w:eastAsia="en-US"/>
        </w:rPr>
        <w:t>30 sites (including City Road)</w:t>
      </w:r>
      <w:r w:rsidR="00F655AE" w:rsidRPr="00587DF1">
        <w:rPr>
          <w:rFonts w:ascii="Arial" w:eastAsia="Times New Roman" w:hAnsi="Arial" w:cs="Arial"/>
          <w:lang w:eastAsia="en-US"/>
        </w:rPr>
        <w:t xml:space="preserve">. </w:t>
      </w:r>
      <w:r w:rsidRPr="00587DF1">
        <w:rPr>
          <w:rFonts w:ascii="Arial" w:eastAsia="Times New Roman" w:hAnsi="Arial" w:cs="Arial"/>
          <w:lang w:eastAsia="en-US"/>
        </w:rPr>
        <w:t>The viability of this network is dependent on the success of the City Road site and its collaboration with the UCL IoO.  City Road provides a hub for ophthalmology expertise, providing highly specialised services for patients with the most complex conditions across the country. The wider London and UK population also benefit from the partners’ ability to continue discovering and developing better ways to prevent, diagnose and treat eye disease.</w:t>
      </w:r>
    </w:p>
    <w:p w14:paraId="42FE6B1B" w14:textId="77777777" w:rsidR="00C3758F" w:rsidRPr="00587DF1" w:rsidRDefault="00C3758F" w:rsidP="00C3758F">
      <w:pPr>
        <w:rPr>
          <w:rFonts w:ascii="Arial" w:eastAsia="Arial" w:hAnsi="Arial" w:cs="Arial"/>
          <w:b/>
        </w:rPr>
      </w:pPr>
      <w:r w:rsidRPr="00587DF1">
        <w:rPr>
          <w:rFonts w:ascii="Arial" w:eastAsia="Arial" w:hAnsi="Arial" w:cs="Arial"/>
          <w:b/>
        </w:rPr>
        <w:t>The City Road Campus</w:t>
      </w:r>
    </w:p>
    <w:p w14:paraId="355FC3AD" w14:textId="2F4232A7" w:rsidR="00C3758F" w:rsidRPr="00AF7894" w:rsidRDefault="00C3758F" w:rsidP="00C3758F">
      <w:pPr>
        <w:rPr>
          <w:rFonts w:ascii="Arial" w:eastAsia="Arial" w:hAnsi="Arial" w:cs="Arial"/>
        </w:rPr>
      </w:pPr>
      <w:r w:rsidRPr="00587DF1">
        <w:rPr>
          <w:rFonts w:ascii="Arial" w:eastAsia="Arial" w:hAnsi="Arial" w:cs="Arial"/>
        </w:rPr>
        <w:lastRenderedPageBreak/>
        <w:t>The City Road site is the central site</w:t>
      </w:r>
      <w:r w:rsidR="00AF7894">
        <w:rPr>
          <w:rFonts w:ascii="Arial" w:eastAsia="Arial" w:hAnsi="Arial" w:cs="Arial"/>
        </w:rPr>
        <w:t xml:space="preserve">, delivering local services to its catchment population, and the trust’s most </w:t>
      </w:r>
      <w:r w:rsidRPr="00587DF1">
        <w:rPr>
          <w:rFonts w:ascii="Arial" w:eastAsia="Arial" w:hAnsi="Arial" w:cs="Arial"/>
        </w:rPr>
        <w:t xml:space="preserve">specialist and complex clinical services. City Road is served by Old Street London Underground station and bus links. Disabled access from the nearest tube station, Old Street, is poor as it is not possible to exit the station </w:t>
      </w:r>
      <w:r w:rsidR="00594680" w:rsidRPr="00587DF1">
        <w:rPr>
          <w:rFonts w:ascii="Arial" w:eastAsia="Arial" w:hAnsi="Arial" w:cs="Arial"/>
        </w:rPr>
        <w:t xml:space="preserve">step-free </w:t>
      </w:r>
      <w:r w:rsidRPr="00587DF1">
        <w:rPr>
          <w:rFonts w:ascii="Arial" w:eastAsia="Arial" w:hAnsi="Arial" w:cs="Arial"/>
        </w:rPr>
        <w:t xml:space="preserve">directly to street </w:t>
      </w:r>
      <w:r w:rsidRPr="00AF7894">
        <w:rPr>
          <w:rFonts w:ascii="Arial" w:eastAsia="Arial" w:hAnsi="Arial" w:cs="Arial"/>
        </w:rPr>
        <w:t xml:space="preserve">level. The sites that are affected by this OBC are </w:t>
      </w:r>
      <w:r w:rsidR="00AF7894" w:rsidRPr="00AF7894">
        <w:rPr>
          <w:rFonts w:ascii="Arial" w:eastAsia="Arial" w:hAnsi="Arial" w:cs="Arial"/>
        </w:rPr>
        <w:t xml:space="preserve">listed in </w:t>
      </w:r>
      <w:r w:rsidR="00AF7894" w:rsidRPr="00AF7894">
        <w:rPr>
          <w:rFonts w:ascii="Arial" w:eastAsia="Arial" w:hAnsi="Arial" w:cs="Arial"/>
        </w:rPr>
        <w:fldChar w:fldCharType="begin"/>
      </w:r>
      <w:r w:rsidR="00AF7894" w:rsidRPr="00AF7894">
        <w:rPr>
          <w:rFonts w:ascii="Arial" w:eastAsia="Arial" w:hAnsi="Arial" w:cs="Arial"/>
        </w:rPr>
        <w:instrText xml:space="preserve"> REF _Ref30434125 \h </w:instrText>
      </w:r>
      <w:r w:rsidR="00AF7894">
        <w:rPr>
          <w:rFonts w:ascii="Arial" w:eastAsia="Arial" w:hAnsi="Arial" w:cs="Arial"/>
        </w:rPr>
        <w:instrText xml:space="preserve"> \* MERGEFORMAT </w:instrText>
      </w:r>
      <w:r w:rsidR="00AF7894" w:rsidRPr="00AF7894">
        <w:rPr>
          <w:rFonts w:ascii="Arial" w:eastAsia="Arial" w:hAnsi="Arial" w:cs="Arial"/>
        </w:rPr>
      </w:r>
      <w:r w:rsidR="00AF7894" w:rsidRPr="00AF7894">
        <w:rPr>
          <w:rFonts w:ascii="Arial" w:eastAsia="Arial" w:hAnsi="Arial" w:cs="Arial"/>
        </w:rPr>
        <w:fldChar w:fldCharType="separate"/>
      </w:r>
      <w:r w:rsidR="00A936CD" w:rsidRPr="00A936CD">
        <w:rPr>
          <w:rFonts w:ascii="Arial" w:hAnsi="Arial" w:cs="Arial"/>
        </w:rPr>
        <w:t xml:space="preserve">Table </w:t>
      </w:r>
      <w:r w:rsidR="00A936CD" w:rsidRPr="00A936CD">
        <w:rPr>
          <w:rFonts w:ascii="Arial" w:hAnsi="Arial" w:cs="Arial"/>
          <w:noProof/>
        </w:rPr>
        <w:t>8</w:t>
      </w:r>
      <w:r w:rsidR="00AF7894" w:rsidRPr="00AF7894">
        <w:rPr>
          <w:rFonts w:ascii="Arial" w:eastAsia="Arial" w:hAnsi="Arial" w:cs="Arial"/>
        </w:rPr>
        <w:fldChar w:fldCharType="end"/>
      </w:r>
      <w:r w:rsidR="00AF7894" w:rsidRPr="00AF7894">
        <w:rPr>
          <w:rFonts w:ascii="Arial" w:eastAsia="Arial" w:hAnsi="Arial" w:cs="Arial"/>
        </w:rPr>
        <w:t>.</w:t>
      </w:r>
    </w:p>
    <w:p w14:paraId="61AEC105" w14:textId="4B53151E" w:rsidR="00B37104" w:rsidRDefault="00B37104" w:rsidP="00481D35">
      <w:pPr>
        <w:pStyle w:val="Caption"/>
        <w:ind w:left="1418"/>
      </w:pPr>
      <w:r>
        <w:t xml:space="preserve">Figure </w:t>
      </w:r>
      <w:r w:rsidR="00320059">
        <w:fldChar w:fldCharType="begin"/>
      </w:r>
      <w:r w:rsidR="00320059">
        <w:instrText xml:space="preserve"> SEQ Figure \* ARABIC </w:instrText>
      </w:r>
      <w:r w:rsidR="00320059">
        <w:fldChar w:fldCharType="separate"/>
      </w:r>
      <w:r w:rsidR="00A936CD">
        <w:rPr>
          <w:noProof/>
        </w:rPr>
        <w:t>7</w:t>
      </w:r>
      <w:r w:rsidR="00320059">
        <w:fldChar w:fldCharType="end"/>
      </w:r>
      <w:r>
        <w:t xml:space="preserve">: </w:t>
      </w:r>
      <w:r w:rsidRPr="00B37104">
        <w:rPr>
          <w:b w:val="0"/>
          <w:bCs w:val="0"/>
        </w:rPr>
        <w:t>Location of City Road campus</w:t>
      </w:r>
    </w:p>
    <w:p w14:paraId="082FD574" w14:textId="77777777" w:rsidR="00C3758F" w:rsidRPr="00587DF1" w:rsidRDefault="00C3758F" w:rsidP="00481D35">
      <w:pPr>
        <w:spacing w:after="0"/>
        <w:jc w:val="center"/>
        <w:rPr>
          <w:rFonts w:ascii="Arial" w:eastAsia="Arial" w:hAnsi="Arial" w:cs="Arial"/>
          <w:i/>
          <w:sz w:val="20"/>
          <w:szCs w:val="20"/>
        </w:rPr>
      </w:pPr>
      <w:r w:rsidRPr="00587DF1">
        <w:rPr>
          <w:rFonts w:ascii="Arial" w:hAnsi="Arial" w:cs="Arial"/>
          <w:noProof/>
        </w:rPr>
        <w:drawing>
          <wp:inline distT="0" distB="0" distL="0" distR="0" wp14:anchorId="75EDF10C" wp14:editId="39E6409A">
            <wp:extent cx="4009701" cy="279049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0417"/>
                    <a:stretch/>
                  </pic:blipFill>
                  <pic:spPr bwMode="auto">
                    <a:xfrm>
                      <a:off x="0" y="0"/>
                      <a:ext cx="4021171" cy="2798479"/>
                    </a:xfrm>
                    <a:prstGeom prst="rect">
                      <a:avLst/>
                    </a:prstGeom>
                    <a:ln>
                      <a:noFill/>
                    </a:ln>
                    <a:extLst>
                      <a:ext uri="{53640926-AAD7-44D8-BBD7-CCE9431645EC}">
                        <a14:shadowObscured xmlns:a14="http://schemas.microsoft.com/office/drawing/2010/main"/>
                      </a:ext>
                    </a:extLst>
                  </pic:spPr>
                </pic:pic>
              </a:graphicData>
            </a:graphic>
          </wp:inline>
        </w:drawing>
      </w:r>
    </w:p>
    <w:p w14:paraId="2E1C878D" w14:textId="77777777" w:rsidR="00C3758F" w:rsidRPr="00587DF1" w:rsidRDefault="00C3758F" w:rsidP="00C3758F">
      <w:pPr>
        <w:spacing w:after="0"/>
        <w:rPr>
          <w:rFonts w:ascii="Arial" w:eastAsia="Arial" w:hAnsi="Arial" w:cs="Arial"/>
          <w:i/>
          <w:sz w:val="20"/>
          <w:szCs w:val="20"/>
        </w:rPr>
      </w:pPr>
    </w:p>
    <w:p w14:paraId="1788FFD8" w14:textId="4F7D3A85" w:rsidR="00B37104" w:rsidRDefault="00B37104" w:rsidP="00481D35">
      <w:pPr>
        <w:pStyle w:val="Caption"/>
        <w:tabs>
          <w:tab w:val="left" w:pos="7093"/>
        </w:tabs>
        <w:ind w:left="2268"/>
      </w:pPr>
      <w:r>
        <w:t xml:space="preserve">Figure </w:t>
      </w:r>
      <w:r w:rsidR="00320059">
        <w:fldChar w:fldCharType="begin"/>
      </w:r>
      <w:r w:rsidR="00320059">
        <w:instrText xml:space="preserve"> SEQ Figure \* ARABIC </w:instrText>
      </w:r>
      <w:r w:rsidR="00320059">
        <w:fldChar w:fldCharType="separate"/>
      </w:r>
      <w:r w:rsidR="00A936CD">
        <w:rPr>
          <w:noProof/>
        </w:rPr>
        <w:t>8</w:t>
      </w:r>
      <w:r w:rsidR="00320059">
        <w:fldChar w:fldCharType="end"/>
      </w:r>
      <w:r>
        <w:t xml:space="preserve">: </w:t>
      </w:r>
      <w:r>
        <w:rPr>
          <w:b w:val="0"/>
          <w:bCs w:val="0"/>
        </w:rPr>
        <w:t>Sites on the City Road campus</w:t>
      </w:r>
      <w:r w:rsidR="00AF7894">
        <w:rPr>
          <w:b w:val="0"/>
          <w:bCs w:val="0"/>
        </w:rPr>
        <w:tab/>
      </w:r>
    </w:p>
    <w:p w14:paraId="7DCBD037" w14:textId="5D6CAE7D" w:rsidR="00C3758F" w:rsidRDefault="00C3758F" w:rsidP="00481D35">
      <w:pPr>
        <w:jc w:val="center"/>
        <w:rPr>
          <w:rFonts w:ascii="Arial" w:eastAsia="Arial" w:hAnsi="Arial" w:cs="Arial"/>
        </w:rPr>
      </w:pPr>
      <w:r w:rsidRPr="00587DF1">
        <w:rPr>
          <w:rFonts w:ascii="Arial" w:hAnsi="Arial" w:cs="Arial"/>
          <w:noProof/>
        </w:rPr>
        <w:drawing>
          <wp:inline distT="0" distB="0" distL="0" distR="0" wp14:anchorId="33BAA453" wp14:editId="51491548">
            <wp:extent cx="2993940" cy="249506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2993940" cy="2495060"/>
                    </a:xfrm>
                    <a:prstGeom prst="rect">
                      <a:avLst/>
                    </a:prstGeom>
                    <a:ln/>
                  </pic:spPr>
                </pic:pic>
              </a:graphicData>
            </a:graphic>
          </wp:inline>
        </w:drawing>
      </w:r>
    </w:p>
    <w:p w14:paraId="2D6EEAB8" w14:textId="77777777" w:rsidR="00FF6E56" w:rsidRPr="00587DF1" w:rsidRDefault="00FF6E56" w:rsidP="00481D35">
      <w:pPr>
        <w:jc w:val="center"/>
        <w:rPr>
          <w:rFonts w:ascii="Arial" w:eastAsia="Arial" w:hAnsi="Arial" w:cs="Arial"/>
        </w:rPr>
      </w:pPr>
    </w:p>
    <w:p w14:paraId="0EFFCA84" w14:textId="1A8A9F80" w:rsidR="00B37104" w:rsidRDefault="00B37104" w:rsidP="00B37104">
      <w:pPr>
        <w:pStyle w:val="Caption"/>
      </w:pPr>
      <w:bookmarkStart w:id="57" w:name="_Ref30434125"/>
      <w:r>
        <w:t xml:space="preserve">Table </w:t>
      </w:r>
      <w:r>
        <w:fldChar w:fldCharType="begin"/>
      </w:r>
      <w:r>
        <w:instrText xml:space="preserve"> SEQ Table \* ARABIC </w:instrText>
      </w:r>
      <w:r>
        <w:fldChar w:fldCharType="separate"/>
      </w:r>
      <w:r w:rsidR="00A936CD">
        <w:rPr>
          <w:noProof/>
        </w:rPr>
        <w:t>8</w:t>
      </w:r>
      <w:r>
        <w:fldChar w:fldCharType="end"/>
      </w:r>
      <w:bookmarkEnd w:id="57"/>
      <w:r>
        <w:t xml:space="preserve">: </w:t>
      </w:r>
      <w:r w:rsidRPr="002739E8">
        <w:rPr>
          <w:b w:val="0"/>
          <w:bCs w:val="0"/>
        </w:rPr>
        <w:t>Sites on City Road campus</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686"/>
        <w:gridCol w:w="1417"/>
        <w:gridCol w:w="2156"/>
      </w:tblGrid>
      <w:tr w:rsidR="0025490F" w:rsidRPr="0025490F" w14:paraId="60393AD6" w14:textId="77777777" w:rsidTr="0025490F">
        <w:trPr>
          <w:trHeight w:val="740"/>
        </w:trPr>
        <w:tc>
          <w:tcPr>
            <w:tcW w:w="1951" w:type="dxa"/>
            <w:shd w:val="clear" w:color="auto" w:fill="4F81BD"/>
          </w:tcPr>
          <w:p w14:paraId="0608D93D" w14:textId="77777777" w:rsidR="00EC4FA5" w:rsidRPr="0025490F" w:rsidRDefault="00EC4FA5" w:rsidP="00557C11">
            <w:pPr>
              <w:spacing w:after="0"/>
              <w:rPr>
                <w:rFonts w:ascii="Arial" w:eastAsia="Arial" w:hAnsi="Arial" w:cs="Arial"/>
                <w:b/>
                <w:bCs/>
                <w:iCs/>
                <w:color w:val="FFFFFF" w:themeColor="background1"/>
                <w:sz w:val="20"/>
                <w:szCs w:val="20"/>
              </w:rPr>
            </w:pPr>
            <w:r w:rsidRPr="0025490F">
              <w:rPr>
                <w:rFonts w:ascii="Arial" w:eastAsia="Arial" w:hAnsi="Arial" w:cs="Arial"/>
                <w:b/>
                <w:bCs/>
                <w:iCs/>
                <w:color w:val="FFFFFF" w:themeColor="background1"/>
                <w:sz w:val="20"/>
                <w:szCs w:val="20"/>
              </w:rPr>
              <w:t>Organisation</w:t>
            </w:r>
          </w:p>
        </w:tc>
        <w:tc>
          <w:tcPr>
            <w:tcW w:w="3686" w:type="dxa"/>
            <w:shd w:val="clear" w:color="auto" w:fill="4F81BD"/>
          </w:tcPr>
          <w:p w14:paraId="1C829DE1" w14:textId="77777777" w:rsidR="00EC4FA5" w:rsidRPr="0025490F" w:rsidRDefault="00EC4FA5" w:rsidP="00557C11">
            <w:pPr>
              <w:spacing w:after="0"/>
              <w:rPr>
                <w:rFonts w:ascii="Arial" w:eastAsia="Arial" w:hAnsi="Arial" w:cs="Arial"/>
                <w:b/>
                <w:bCs/>
                <w:iCs/>
                <w:color w:val="FFFFFF" w:themeColor="background1"/>
                <w:sz w:val="20"/>
                <w:szCs w:val="20"/>
              </w:rPr>
            </w:pPr>
            <w:r w:rsidRPr="0025490F">
              <w:rPr>
                <w:rFonts w:ascii="Arial" w:eastAsia="Arial" w:hAnsi="Arial" w:cs="Arial"/>
                <w:b/>
                <w:bCs/>
                <w:iCs/>
                <w:color w:val="FFFFFF" w:themeColor="background1"/>
                <w:sz w:val="20"/>
                <w:szCs w:val="20"/>
              </w:rPr>
              <w:t>Building</w:t>
            </w:r>
          </w:p>
        </w:tc>
        <w:tc>
          <w:tcPr>
            <w:tcW w:w="1417" w:type="dxa"/>
            <w:shd w:val="clear" w:color="auto" w:fill="4F81BD"/>
          </w:tcPr>
          <w:p w14:paraId="59EF745D" w14:textId="77777777" w:rsidR="00EC4FA5" w:rsidRPr="0025490F" w:rsidRDefault="00EC4FA5" w:rsidP="00557C11">
            <w:pPr>
              <w:spacing w:after="0"/>
              <w:rPr>
                <w:rFonts w:ascii="Arial" w:eastAsia="Arial" w:hAnsi="Arial" w:cs="Arial"/>
                <w:b/>
                <w:bCs/>
                <w:iCs/>
                <w:color w:val="FFFFFF" w:themeColor="background1"/>
                <w:sz w:val="20"/>
                <w:szCs w:val="20"/>
              </w:rPr>
            </w:pPr>
            <w:r w:rsidRPr="0025490F">
              <w:rPr>
                <w:rFonts w:ascii="Arial" w:eastAsia="Arial" w:hAnsi="Arial" w:cs="Arial"/>
                <w:b/>
                <w:bCs/>
                <w:iCs/>
                <w:color w:val="FFFFFF" w:themeColor="background1"/>
                <w:sz w:val="20"/>
                <w:szCs w:val="20"/>
              </w:rPr>
              <w:t>Tenure</w:t>
            </w:r>
          </w:p>
        </w:tc>
        <w:tc>
          <w:tcPr>
            <w:tcW w:w="2156" w:type="dxa"/>
            <w:shd w:val="clear" w:color="auto" w:fill="4F81BD"/>
          </w:tcPr>
          <w:p w14:paraId="524FF365" w14:textId="77777777" w:rsidR="00EC4FA5" w:rsidRPr="0025490F" w:rsidRDefault="00EC4FA5" w:rsidP="00557C11">
            <w:pPr>
              <w:spacing w:after="0"/>
              <w:rPr>
                <w:rFonts w:ascii="Arial" w:eastAsia="Arial" w:hAnsi="Arial" w:cs="Arial"/>
                <w:b/>
                <w:bCs/>
                <w:iCs/>
                <w:color w:val="FFFFFF" w:themeColor="background1"/>
                <w:sz w:val="20"/>
                <w:szCs w:val="20"/>
              </w:rPr>
            </w:pPr>
            <w:r w:rsidRPr="0025490F">
              <w:rPr>
                <w:rFonts w:ascii="Arial" w:eastAsia="Arial" w:hAnsi="Arial" w:cs="Arial"/>
                <w:b/>
                <w:bCs/>
                <w:iCs/>
                <w:color w:val="FFFFFF" w:themeColor="background1"/>
                <w:sz w:val="20"/>
                <w:szCs w:val="20"/>
              </w:rPr>
              <w:t>Gross Internal Floor Area (GIA) (m2)</w:t>
            </w:r>
          </w:p>
        </w:tc>
      </w:tr>
      <w:tr w:rsidR="00AF7894" w:rsidRPr="00587DF1" w14:paraId="6C7DD504" w14:textId="77777777" w:rsidTr="0025699F">
        <w:trPr>
          <w:trHeight w:val="181"/>
        </w:trPr>
        <w:tc>
          <w:tcPr>
            <w:tcW w:w="1951" w:type="dxa"/>
          </w:tcPr>
          <w:p w14:paraId="55FE6F03" w14:textId="77777777" w:rsidR="00AF7894" w:rsidRPr="00587DF1" w:rsidRDefault="00AF7894" w:rsidP="0025699F">
            <w:pPr>
              <w:spacing w:after="0"/>
              <w:rPr>
                <w:rFonts w:ascii="Arial" w:eastAsia="Arial" w:hAnsi="Arial" w:cs="Arial"/>
                <w:iCs/>
                <w:sz w:val="20"/>
                <w:szCs w:val="20"/>
              </w:rPr>
            </w:pPr>
            <w:r w:rsidRPr="00587DF1">
              <w:rPr>
                <w:rFonts w:ascii="Arial" w:eastAsia="Arial" w:hAnsi="Arial" w:cs="Arial"/>
                <w:iCs/>
                <w:sz w:val="20"/>
                <w:szCs w:val="20"/>
              </w:rPr>
              <w:t>Moorfields</w:t>
            </w:r>
          </w:p>
        </w:tc>
        <w:tc>
          <w:tcPr>
            <w:tcW w:w="3686" w:type="dxa"/>
          </w:tcPr>
          <w:p w14:paraId="1CF5AF5E" w14:textId="77777777" w:rsidR="00AF7894" w:rsidRPr="00587DF1" w:rsidRDefault="00AF7894" w:rsidP="0025699F">
            <w:pPr>
              <w:spacing w:after="0"/>
              <w:rPr>
                <w:rFonts w:ascii="Arial" w:eastAsia="Arial" w:hAnsi="Arial" w:cs="Arial"/>
                <w:iCs/>
                <w:sz w:val="20"/>
                <w:szCs w:val="20"/>
              </w:rPr>
            </w:pPr>
            <w:r w:rsidRPr="00587DF1">
              <w:rPr>
                <w:rFonts w:ascii="Arial" w:eastAsia="Arial" w:hAnsi="Arial" w:cs="Arial"/>
                <w:iCs/>
                <w:sz w:val="20"/>
                <w:szCs w:val="20"/>
              </w:rPr>
              <w:t>City Road (main hospital building)</w:t>
            </w:r>
          </w:p>
        </w:tc>
        <w:tc>
          <w:tcPr>
            <w:tcW w:w="1417" w:type="dxa"/>
          </w:tcPr>
          <w:p w14:paraId="1855647F" w14:textId="77777777" w:rsidR="00AF7894" w:rsidRPr="00587DF1" w:rsidRDefault="00AF7894" w:rsidP="0025699F">
            <w:pPr>
              <w:spacing w:after="0"/>
              <w:rPr>
                <w:rFonts w:ascii="Arial" w:eastAsia="Arial" w:hAnsi="Arial" w:cs="Arial"/>
                <w:iCs/>
                <w:sz w:val="20"/>
                <w:szCs w:val="20"/>
              </w:rPr>
            </w:pPr>
            <w:r w:rsidRPr="00587DF1">
              <w:rPr>
                <w:rFonts w:ascii="Arial" w:eastAsia="Arial" w:hAnsi="Arial" w:cs="Arial"/>
                <w:iCs/>
                <w:sz w:val="20"/>
                <w:szCs w:val="20"/>
              </w:rPr>
              <w:t>Freehold</w:t>
            </w:r>
          </w:p>
        </w:tc>
        <w:tc>
          <w:tcPr>
            <w:tcW w:w="2156" w:type="dxa"/>
          </w:tcPr>
          <w:p w14:paraId="1EFD0A38" w14:textId="77777777" w:rsidR="00AF7894" w:rsidRPr="00587DF1" w:rsidRDefault="00AF7894" w:rsidP="0025699F">
            <w:pPr>
              <w:spacing w:after="0"/>
              <w:jc w:val="right"/>
              <w:rPr>
                <w:rFonts w:ascii="Arial" w:eastAsia="Arial" w:hAnsi="Arial" w:cs="Arial"/>
                <w:iCs/>
                <w:sz w:val="20"/>
                <w:szCs w:val="20"/>
              </w:rPr>
            </w:pPr>
            <w:r w:rsidRPr="00587DF1">
              <w:rPr>
                <w:rFonts w:ascii="Arial" w:eastAsia="Arial" w:hAnsi="Arial" w:cs="Arial"/>
                <w:iCs/>
                <w:sz w:val="20"/>
                <w:szCs w:val="20"/>
              </w:rPr>
              <w:t>31,444</w:t>
            </w:r>
          </w:p>
        </w:tc>
      </w:tr>
      <w:tr w:rsidR="00AF7894" w:rsidRPr="00587DF1" w14:paraId="6500F1EF" w14:textId="77777777" w:rsidTr="0025699F">
        <w:trPr>
          <w:trHeight w:val="181"/>
        </w:trPr>
        <w:tc>
          <w:tcPr>
            <w:tcW w:w="1951" w:type="dxa"/>
          </w:tcPr>
          <w:p w14:paraId="5A3C1D57" w14:textId="77777777" w:rsidR="00AF7894" w:rsidRPr="00587DF1" w:rsidRDefault="00AF7894" w:rsidP="0025699F">
            <w:pPr>
              <w:spacing w:after="0"/>
              <w:rPr>
                <w:rFonts w:ascii="Arial" w:eastAsia="Arial" w:hAnsi="Arial" w:cs="Arial"/>
                <w:iCs/>
                <w:sz w:val="20"/>
                <w:szCs w:val="20"/>
              </w:rPr>
            </w:pPr>
            <w:r w:rsidRPr="00587DF1">
              <w:rPr>
                <w:rFonts w:ascii="Arial" w:eastAsia="Arial" w:hAnsi="Arial" w:cs="Arial"/>
                <w:iCs/>
                <w:sz w:val="20"/>
                <w:szCs w:val="20"/>
              </w:rPr>
              <w:t>Moorfields</w:t>
            </w:r>
          </w:p>
        </w:tc>
        <w:tc>
          <w:tcPr>
            <w:tcW w:w="3686" w:type="dxa"/>
          </w:tcPr>
          <w:p w14:paraId="4F3E6F71" w14:textId="77777777" w:rsidR="00AF7894" w:rsidRPr="00587DF1" w:rsidRDefault="00AF7894" w:rsidP="0025699F">
            <w:pPr>
              <w:spacing w:after="0"/>
              <w:rPr>
                <w:rFonts w:ascii="Arial" w:eastAsia="Arial" w:hAnsi="Arial" w:cs="Arial"/>
                <w:iCs/>
                <w:sz w:val="20"/>
                <w:szCs w:val="20"/>
              </w:rPr>
            </w:pPr>
            <w:r w:rsidRPr="00587DF1">
              <w:rPr>
                <w:rFonts w:ascii="Arial" w:eastAsia="Arial" w:hAnsi="Arial" w:cs="Arial"/>
                <w:iCs/>
                <w:sz w:val="20"/>
                <w:szCs w:val="20"/>
              </w:rPr>
              <w:t>Richard Desmond Children’s Eye Centre (RDCEC)</w:t>
            </w:r>
          </w:p>
        </w:tc>
        <w:tc>
          <w:tcPr>
            <w:tcW w:w="1417" w:type="dxa"/>
          </w:tcPr>
          <w:p w14:paraId="29461DEA" w14:textId="77777777" w:rsidR="00AF7894" w:rsidRPr="00587DF1" w:rsidRDefault="00AF7894" w:rsidP="0025699F">
            <w:pPr>
              <w:spacing w:after="0"/>
              <w:rPr>
                <w:rFonts w:ascii="Arial" w:eastAsia="Arial" w:hAnsi="Arial" w:cs="Arial"/>
                <w:iCs/>
                <w:sz w:val="20"/>
                <w:szCs w:val="20"/>
              </w:rPr>
            </w:pPr>
            <w:r w:rsidRPr="00587DF1">
              <w:rPr>
                <w:rFonts w:ascii="Arial" w:eastAsia="Arial" w:hAnsi="Arial" w:cs="Arial"/>
                <w:iCs/>
                <w:sz w:val="20"/>
                <w:szCs w:val="20"/>
              </w:rPr>
              <w:t>Freehold</w:t>
            </w:r>
          </w:p>
        </w:tc>
        <w:tc>
          <w:tcPr>
            <w:tcW w:w="2156" w:type="dxa"/>
          </w:tcPr>
          <w:p w14:paraId="01F66803" w14:textId="77777777" w:rsidR="00AF7894" w:rsidRPr="00587DF1" w:rsidRDefault="00AF7894" w:rsidP="0025699F">
            <w:pPr>
              <w:spacing w:after="0"/>
              <w:jc w:val="right"/>
              <w:rPr>
                <w:rFonts w:ascii="Arial" w:eastAsia="Arial" w:hAnsi="Arial" w:cs="Arial"/>
                <w:iCs/>
                <w:sz w:val="20"/>
                <w:szCs w:val="20"/>
              </w:rPr>
            </w:pPr>
            <w:r w:rsidRPr="00587DF1">
              <w:rPr>
                <w:rFonts w:ascii="Arial" w:eastAsia="Arial" w:hAnsi="Arial" w:cs="Arial"/>
                <w:iCs/>
                <w:sz w:val="20"/>
                <w:szCs w:val="20"/>
              </w:rPr>
              <w:t>5,119</w:t>
            </w:r>
          </w:p>
        </w:tc>
      </w:tr>
      <w:tr w:rsidR="00EC4FA5" w:rsidRPr="00587DF1" w14:paraId="201108D7" w14:textId="77777777" w:rsidTr="00BC5C16">
        <w:trPr>
          <w:trHeight w:val="181"/>
        </w:trPr>
        <w:tc>
          <w:tcPr>
            <w:tcW w:w="1951" w:type="dxa"/>
          </w:tcPr>
          <w:p w14:paraId="0E931915" w14:textId="77777777" w:rsidR="00EC4FA5" w:rsidRPr="00587DF1" w:rsidRDefault="002E52C2" w:rsidP="00557C11">
            <w:pPr>
              <w:spacing w:after="0"/>
              <w:rPr>
                <w:rFonts w:ascii="Arial" w:eastAsia="Arial" w:hAnsi="Arial" w:cs="Arial"/>
                <w:iCs/>
                <w:sz w:val="20"/>
                <w:szCs w:val="20"/>
              </w:rPr>
            </w:pPr>
            <w:r w:rsidRPr="00587DF1">
              <w:rPr>
                <w:rFonts w:ascii="Arial" w:eastAsia="Arial" w:hAnsi="Arial" w:cs="Arial"/>
                <w:iCs/>
                <w:sz w:val="20"/>
                <w:szCs w:val="20"/>
              </w:rPr>
              <w:lastRenderedPageBreak/>
              <w:t>Moorfields (Private)</w:t>
            </w:r>
          </w:p>
        </w:tc>
        <w:tc>
          <w:tcPr>
            <w:tcW w:w="3686" w:type="dxa"/>
          </w:tcPr>
          <w:p w14:paraId="3C35FF57" w14:textId="77777777" w:rsidR="00EC4FA5" w:rsidRPr="00587DF1" w:rsidRDefault="00EC4FA5" w:rsidP="00557C11">
            <w:pPr>
              <w:spacing w:after="0"/>
              <w:rPr>
                <w:rFonts w:ascii="Arial" w:eastAsia="Arial" w:hAnsi="Arial" w:cs="Arial"/>
                <w:iCs/>
                <w:sz w:val="20"/>
                <w:szCs w:val="20"/>
              </w:rPr>
            </w:pPr>
            <w:r w:rsidRPr="00587DF1">
              <w:rPr>
                <w:rFonts w:ascii="Arial" w:eastAsia="Arial" w:hAnsi="Arial" w:cs="Arial"/>
                <w:iCs/>
                <w:sz w:val="20"/>
                <w:szCs w:val="20"/>
              </w:rPr>
              <w:t>Bath Street</w:t>
            </w:r>
            <w:r w:rsidR="002E52C2" w:rsidRPr="00587DF1">
              <w:rPr>
                <w:rFonts w:ascii="Arial" w:eastAsia="Arial" w:hAnsi="Arial" w:cs="Arial"/>
                <w:iCs/>
                <w:sz w:val="20"/>
                <w:szCs w:val="20"/>
              </w:rPr>
              <w:t xml:space="preserve"> / Cayton Street</w:t>
            </w:r>
          </w:p>
        </w:tc>
        <w:tc>
          <w:tcPr>
            <w:tcW w:w="1417" w:type="dxa"/>
          </w:tcPr>
          <w:p w14:paraId="7E9175BB" w14:textId="77777777" w:rsidR="00EC4FA5" w:rsidRPr="00587DF1" w:rsidRDefault="002E52C2" w:rsidP="00557C11">
            <w:pPr>
              <w:spacing w:after="0"/>
              <w:rPr>
                <w:rFonts w:ascii="Arial" w:eastAsia="Arial" w:hAnsi="Arial" w:cs="Arial"/>
                <w:iCs/>
                <w:sz w:val="20"/>
                <w:szCs w:val="20"/>
              </w:rPr>
            </w:pPr>
            <w:r w:rsidRPr="00587DF1">
              <w:rPr>
                <w:rFonts w:ascii="Arial" w:eastAsia="Arial" w:hAnsi="Arial" w:cs="Arial"/>
                <w:iCs/>
                <w:sz w:val="20"/>
                <w:szCs w:val="20"/>
              </w:rPr>
              <w:t>Leasehold</w:t>
            </w:r>
          </w:p>
        </w:tc>
        <w:tc>
          <w:tcPr>
            <w:tcW w:w="2156" w:type="dxa"/>
          </w:tcPr>
          <w:p w14:paraId="2D5E91ED" w14:textId="77777777" w:rsidR="00EC4FA5" w:rsidRPr="00587DF1" w:rsidRDefault="00EC4FA5" w:rsidP="00557C11">
            <w:pPr>
              <w:spacing w:after="0"/>
              <w:jc w:val="right"/>
              <w:rPr>
                <w:rFonts w:ascii="Arial" w:eastAsia="Arial" w:hAnsi="Arial" w:cs="Arial"/>
                <w:iCs/>
                <w:sz w:val="20"/>
                <w:szCs w:val="20"/>
              </w:rPr>
            </w:pPr>
            <w:r w:rsidRPr="00587DF1">
              <w:rPr>
                <w:rFonts w:ascii="Arial" w:eastAsia="Arial" w:hAnsi="Arial" w:cs="Arial"/>
                <w:iCs/>
                <w:sz w:val="20"/>
                <w:szCs w:val="20"/>
              </w:rPr>
              <w:t>3,258</w:t>
            </w:r>
          </w:p>
        </w:tc>
      </w:tr>
      <w:tr w:rsidR="00EC4FA5" w:rsidRPr="00587DF1" w14:paraId="051C03D1" w14:textId="77777777" w:rsidTr="00BC5C16">
        <w:trPr>
          <w:trHeight w:val="181"/>
        </w:trPr>
        <w:tc>
          <w:tcPr>
            <w:tcW w:w="1951" w:type="dxa"/>
          </w:tcPr>
          <w:p w14:paraId="488CEE7B" w14:textId="77777777" w:rsidR="00EC4FA5" w:rsidRPr="00587DF1" w:rsidRDefault="00EC4FA5" w:rsidP="00557C11">
            <w:pPr>
              <w:spacing w:after="0"/>
              <w:rPr>
                <w:rFonts w:ascii="Arial" w:eastAsia="Arial" w:hAnsi="Arial" w:cs="Arial"/>
                <w:iCs/>
                <w:sz w:val="20"/>
                <w:szCs w:val="20"/>
              </w:rPr>
            </w:pPr>
            <w:r w:rsidRPr="00587DF1">
              <w:rPr>
                <w:rFonts w:ascii="Arial" w:eastAsia="Arial" w:hAnsi="Arial" w:cs="Arial"/>
                <w:iCs/>
                <w:sz w:val="20"/>
                <w:szCs w:val="20"/>
              </w:rPr>
              <w:t>Moorfields</w:t>
            </w:r>
          </w:p>
        </w:tc>
        <w:tc>
          <w:tcPr>
            <w:tcW w:w="3686" w:type="dxa"/>
          </w:tcPr>
          <w:p w14:paraId="61A5BE5F" w14:textId="7737CEA3" w:rsidR="00EC4FA5" w:rsidRPr="00587DF1" w:rsidRDefault="00EC4FA5" w:rsidP="00557C11">
            <w:pPr>
              <w:spacing w:after="0"/>
              <w:rPr>
                <w:rFonts w:ascii="Arial" w:eastAsia="Arial" w:hAnsi="Arial" w:cs="Arial"/>
                <w:iCs/>
                <w:sz w:val="20"/>
                <w:szCs w:val="20"/>
              </w:rPr>
            </w:pPr>
            <w:r w:rsidRPr="00587DF1">
              <w:rPr>
                <w:rFonts w:ascii="Arial" w:eastAsia="Arial" w:hAnsi="Arial" w:cs="Arial"/>
                <w:iCs/>
                <w:sz w:val="20"/>
                <w:szCs w:val="20"/>
              </w:rPr>
              <w:t>Ebenezer Street</w:t>
            </w:r>
            <w:r w:rsidR="00AF7894">
              <w:rPr>
                <w:rFonts w:ascii="Arial" w:eastAsia="Arial" w:hAnsi="Arial" w:cs="Arial"/>
                <w:iCs/>
                <w:sz w:val="20"/>
                <w:szCs w:val="20"/>
              </w:rPr>
              <w:t xml:space="preserve"> (administration)</w:t>
            </w:r>
          </w:p>
        </w:tc>
        <w:tc>
          <w:tcPr>
            <w:tcW w:w="1417" w:type="dxa"/>
          </w:tcPr>
          <w:p w14:paraId="2E852C9D" w14:textId="77777777" w:rsidR="00EC4FA5" w:rsidRPr="00587DF1" w:rsidRDefault="00EC4FA5" w:rsidP="00557C11">
            <w:pPr>
              <w:spacing w:after="0"/>
              <w:rPr>
                <w:rFonts w:ascii="Arial" w:eastAsia="Arial" w:hAnsi="Arial" w:cs="Arial"/>
                <w:iCs/>
                <w:sz w:val="20"/>
                <w:szCs w:val="20"/>
              </w:rPr>
            </w:pPr>
            <w:r w:rsidRPr="00587DF1">
              <w:rPr>
                <w:rFonts w:ascii="Arial" w:eastAsia="Arial" w:hAnsi="Arial" w:cs="Arial"/>
                <w:iCs/>
                <w:sz w:val="20"/>
                <w:szCs w:val="20"/>
              </w:rPr>
              <w:t>Leasehold</w:t>
            </w:r>
          </w:p>
        </w:tc>
        <w:tc>
          <w:tcPr>
            <w:tcW w:w="2156" w:type="dxa"/>
          </w:tcPr>
          <w:p w14:paraId="460D3E4E" w14:textId="77777777" w:rsidR="00EC4FA5" w:rsidRPr="00587DF1" w:rsidRDefault="00EC4FA5" w:rsidP="00557C11">
            <w:pPr>
              <w:spacing w:after="0"/>
              <w:jc w:val="right"/>
              <w:rPr>
                <w:rFonts w:ascii="Arial" w:eastAsia="Arial" w:hAnsi="Arial" w:cs="Arial"/>
                <w:iCs/>
                <w:sz w:val="20"/>
                <w:szCs w:val="20"/>
              </w:rPr>
            </w:pPr>
            <w:r w:rsidRPr="00587DF1">
              <w:rPr>
                <w:rFonts w:ascii="Arial" w:eastAsia="Arial" w:hAnsi="Arial" w:cs="Arial"/>
                <w:iCs/>
                <w:sz w:val="20"/>
                <w:szCs w:val="20"/>
              </w:rPr>
              <w:t>2,189</w:t>
            </w:r>
          </w:p>
        </w:tc>
      </w:tr>
      <w:tr w:rsidR="00EC4FA5" w:rsidRPr="00587DF1" w14:paraId="75E7BAF8" w14:textId="77777777" w:rsidTr="00BC5C16">
        <w:trPr>
          <w:trHeight w:val="181"/>
        </w:trPr>
        <w:tc>
          <w:tcPr>
            <w:tcW w:w="1951" w:type="dxa"/>
          </w:tcPr>
          <w:p w14:paraId="1ECB155C" w14:textId="77777777" w:rsidR="00EC4FA5" w:rsidRPr="00587DF1" w:rsidRDefault="00EC4FA5" w:rsidP="00557C11">
            <w:pPr>
              <w:spacing w:after="0"/>
              <w:rPr>
                <w:rFonts w:ascii="Arial" w:eastAsia="Arial" w:hAnsi="Arial" w:cs="Arial"/>
                <w:iCs/>
                <w:sz w:val="20"/>
                <w:szCs w:val="20"/>
              </w:rPr>
            </w:pPr>
            <w:r w:rsidRPr="00587DF1">
              <w:rPr>
                <w:rFonts w:ascii="Arial" w:eastAsia="Arial" w:hAnsi="Arial" w:cs="Arial"/>
                <w:iCs/>
                <w:sz w:val="20"/>
                <w:szCs w:val="20"/>
              </w:rPr>
              <w:t>Moorfields</w:t>
            </w:r>
          </w:p>
        </w:tc>
        <w:tc>
          <w:tcPr>
            <w:tcW w:w="3686" w:type="dxa"/>
          </w:tcPr>
          <w:p w14:paraId="6FFF393E" w14:textId="0B4B34DD" w:rsidR="00EC4FA5" w:rsidRPr="00587DF1" w:rsidRDefault="00EC4FA5" w:rsidP="00557C11">
            <w:pPr>
              <w:spacing w:after="0"/>
              <w:rPr>
                <w:rFonts w:ascii="Arial" w:eastAsia="Arial" w:hAnsi="Arial" w:cs="Arial"/>
                <w:iCs/>
                <w:sz w:val="20"/>
                <w:szCs w:val="20"/>
              </w:rPr>
            </w:pPr>
            <w:r w:rsidRPr="00587DF1">
              <w:rPr>
                <w:rFonts w:ascii="Arial" w:eastAsia="Arial" w:hAnsi="Arial" w:cs="Arial"/>
                <w:iCs/>
                <w:sz w:val="20"/>
                <w:szCs w:val="20"/>
              </w:rPr>
              <w:t>Kemp House</w:t>
            </w:r>
            <w:r w:rsidR="00AF7894">
              <w:rPr>
                <w:rFonts w:ascii="Arial" w:eastAsia="Arial" w:hAnsi="Arial" w:cs="Arial"/>
                <w:iCs/>
                <w:sz w:val="20"/>
                <w:szCs w:val="20"/>
              </w:rPr>
              <w:t xml:space="preserve"> (administration)</w:t>
            </w:r>
          </w:p>
        </w:tc>
        <w:tc>
          <w:tcPr>
            <w:tcW w:w="1417" w:type="dxa"/>
          </w:tcPr>
          <w:p w14:paraId="2D440306" w14:textId="77777777" w:rsidR="00EC4FA5" w:rsidRPr="00587DF1" w:rsidRDefault="00EC4FA5" w:rsidP="00557C11">
            <w:pPr>
              <w:spacing w:after="0"/>
              <w:rPr>
                <w:rFonts w:ascii="Arial" w:eastAsia="Arial" w:hAnsi="Arial" w:cs="Arial"/>
                <w:iCs/>
                <w:sz w:val="20"/>
                <w:szCs w:val="20"/>
              </w:rPr>
            </w:pPr>
            <w:r w:rsidRPr="00587DF1">
              <w:rPr>
                <w:rFonts w:ascii="Arial" w:eastAsia="Arial" w:hAnsi="Arial" w:cs="Arial"/>
                <w:iCs/>
                <w:sz w:val="20"/>
                <w:szCs w:val="20"/>
              </w:rPr>
              <w:t>Freehold</w:t>
            </w:r>
          </w:p>
        </w:tc>
        <w:tc>
          <w:tcPr>
            <w:tcW w:w="2156" w:type="dxa"/>
          </w:tcPr>
          <w:p w14:paraId="2534CEA1" w14:textId="77777777" w:rsidR="00EC4FA5" w:rsidRPr="00587DF1" w:rsidRDefault="00EC4FA5" w:rsidP="00557C11">
            <w:pPr>
              <w:spacing w:after="0"/>
              <w:jc w:val="right"/>
              <w:rPr>
                <w:rFonts w:ascii="Arial" w:eastAsia="Arial" w:hAnsi="Arial" w:cs="Arial"/>
                <w:iCs/>
                <w:sz w:val="20"/>
                <w:szCs w:val="20"/>
              </w:rPr>
            </w:pPr>
            <w:r w:rsidRPr="00587DF1">
              <w:rPr>
                <w:rFonts w:ascii="Arial" w:eastAsia="Arial" w:hAnsi="Arial" w:cs="Arial"/>
                <w:iCs/>
                <w:sz w:val="20"/>
                <w:szCs w:val="20"/>
              </w:rPr>
              <w:t>3,628</w:t>
            </w:r>
          </w:p>
        </w:tc>
      </w:tr>
      <w:tr w:rsidR="00EC4FA5" w:rsidRPr="00587DF1" w14:paraId="04907F4D" w14:textId="77777777" w:rsidTr="00BC5C16">
        <w:trPr>
          <w:trHeight w:val="181"/>
        </w:trPr>
        <w:tc>
          <w:tcPr>
            <w:tcW w:w="1951" w:type="dxa"/>
          </w:tcPr>
          <w:p w14:paraId="5505F08B" w14:textId="77777777" w:rsidR="00EC4FA5" w:rsidRPr="00587DF1" w:rsidRDefault="002E52C2" w:rsidP="00557C11">
            <w:pPr>
              <w:spacing w:after="0"/>
              <w:rPr>
                <w:rFonts w:ascii="Arial" w:eastAsia="Arial" w:hAnsi="Arial" w:cs="Arial"/>
                <w:iCs/>
                <w:sz w:val="20"/>
                <w:szCs w:val="20"/>
              </w:rPr>
            </w:pPr>
            <w:r w:rsidRPr="00587DF1">
              <w:rPr>
                <w:rFonts w:ascii="Arial" w:eastAsia="Arial" w:hAnsi="Arial" w:cs="Arial"/>
                <w:iCs/>
                <w:sz w:val="20"/>
                <w:szCs w:val="20"/>
              </w:rPr>
              <w:t>IoO</w:t>
            </w:r>
          </w:p>
        </w:tc>
        <w:tc>
          <w:tcPr>
            <w:tcW w:w="3686" w:type="dxa"/>
          </w:tcPr>
          <w:p w14:paraId="5FE9F483" w14:textId="77777777" w:rsidR="00EC4FA5" w:rsidRPr="00587DF1" w:rsidRDefault="002E52C2" w:rsidP="00557C11">
            <w:pPr>
              <w:spacing w:after="0"/>
              <w:rPr>
                <w:rFonts w:ascii="Arial" w:eastAsia="Arial" w:hAnsi="Arial" w:cs="Arial"/>
                <w:iCs/>
                <w:sz w:val="20"/>
                <w:szCs w:val="20"/>
              </w:rPr>
            </w:pPr>
            <w:r w:rsidRPr="00587DF1">
              <w:rPr>
                <w:rFonts w:ascii="Arial" w:eastAsia="Arial" w:hAnsi="Arial" w:cs="Arial"/>
                <w:iCs/>
                <w:sz w:val="20"/>
                <w:szCs w:val="20"/>
              </w:rPr>
              <w:t>Bath Street</w:t>
            </w:r>
          </w:p>
        </w:tc>
        <w:tc>
          <w:tcPr>
            <w:tcW w:w="1417" w:type="dxa"/>
          </w:tcPr>
          <w:p w14:paraId="2D5634A3" w14:textId="77777777" w:rsidR="00EC4FA5" w:rsidRPr="00587DF1" w:rsidRDefault="002E52C2" w:rsidP="00557C11">
            <w:pPr>
              <w:spacing w:after="0"/>
              <w:rPr>
                <w:rFonts w:ascii="Arial" w:eastAsia="Arial" w:hAnsi="Arial" w:cs="Arial"/>
                <w:iCs/>
                <w:sz w:val="20"/>
                <w:szCs w:val="20"/>
              </w:rPr>
            </w:pPr>
            <w:r w:rsidRPr="00587DF1">
              <w:rPr>
                <w:rFonts w:ascii="Arial" w:eastAsia="Arial" w:hAnsi="Arial" w:cs="Arial"/>
                <w:iCs/>
                <w:sz w:val="20"/>
                <w:szCs w:val="20"/>
              </w:rPr>
              <w:t>Freehold</w:t>
            </w:r>
          </w:p>
        </w:tc>
        <w:tc>
          <w:tcPr>
            <w:tcW w:w="2156" w:type="dxa"/>
          </w:tcPr>
          <w:p w14:paraId="5F2E0C08" w14:textId="77777777" w:rsidR="00EC4FA5" w:rsidRPr="00587DF1" w:rsidRDefault="002E52C2" w:rsidP="00557C11">
            <w:pPr>
              <w:spacing w:after="0"/>
              <w:jc w:val="right"/>
              <w:rPr>
                <w:rFonts w:ascii="Arial" w:eastAsia="Arial" w:hAnsi="Arial" w:cs="Arial"/>
                <w:iCs/>
                <w:sz w:val="20"/>
                <w:szCs w:val="20"/>
              </w:rPr>
            </w:pPr>
            <w:r w:rsidRPr="00587DF1">
              <w:rPr>
                <w:rFonts w:ascii="Arial" w:eastAsia="Arial" w:hAnsi="Arial" w:cs="Arial"/>
                <w:iCs/>
                <w:sz w:val="20"/>
                <w:szCs w:val="20"/>
              </w:rPr>
              <w:t>10,800</w:t>
            </w:r>
          </w:p>
        </w:tc>
      </w:tr>
      <w:tr w:rsidR="002E52C2" w:rsidRPr="00587DF1" w14:paraId="68FBCC5C" w14:textId="77777777" w:rsidTr="00BC5C16">
        <w:trPr>
          <w:trHeight w:val="181"/>
        </w:trPr>
        <w:tc>
          <w:tcPr>
            <w:tcW w:w="7054" w:type="dxa"/>
            <w:gridSpan w:val="3"/>
          </w:tcPr>
          <w:p w14:paraId="36707222" w14:textId="77777777" w:rsidR="002E52C2" w:rsidRPr="00587DF1" w:rsidRDefault="002E52C2" w:rsidP="00557C11">
            <w:pPr>
              <w:spacing w:after="0"/>
              <w:rPr>
                <w:rFonts w:ascii="Arial" w:eastAsia="Arial" w:hAnsi="Arial" w:cs="Arial"/>
                <w:b/>
                <w:bCs/>
                <w:iCs/>
                <w:sz w:val="20"/>
                <w:szCs w:val="20"/>
              </w:rPr>
            </w:pPr>
            <w:r w:rsidRPr="00587DF1">
              <w:rPr>
                <w:rFonts w:ascii="Arial" w:eastAsia="Arial" w:hAnsi="Arial" w:cs="Arial"/>
                <w:b/>
                <w:bCs/>
                <w:iCs/>
                <w:sz w:val="20"/>
                <w:szCs w:val="20"/>
              </w:rPr>
              <w:t>TOTAL</w:t>
            </w:r>
          </w:p>
        </w:tc>
        <w:tc>
          <w:tcPr>
            <w:tcW w:w="2156" w:type="dxa"/>
          </w:tcPr>
          <w:p w14:paraId="12D74EEE" w14:textId="77777777" w:rsidR="002E52C2" w:rsidRPr="00587DF1" w:rsidRDefault="002E52C2" w:rsidP="00557C11">
            <w:pPr>
              <w:spacing w:after="0"/>
              <w:jc w:val="right"/>
              <w:rPr>
                <w:rFonts w:ascii="Arial" w:eastAsia="Arial" w:hAnsi="Arial" w:cs="Arial"/>
                <w:b/>
                <w:bCs/>
                <w:iCs/>
                <w:sz w:val="20"/>
                <w:szCs w:val="20"/>
              </w:rPr>
            </w:pPr>
            <w:r w:rsidRPr="00587DF1">
              <w:rPr>
                <w:rFonts w:ascii="Arial" w:eastAsia="Arial" w:hAnsi="Arial" w:cs="Arial"/>
                <w:b/>
                <w:bCs/>
                <w:iCs/>
                <w:sz w:val="20"/>
                <w:szCs w:val="20"/>
              </w:rPr>
              <w:t>56,438</w:t>
            </w:r>
          </w:p>
        </w:tc>
      </w:tr>
    </w:tbl>
    <w:p w14:paraId="1EDBE5B4" w14:textId="71EFE672" w:rsidR="00EC4FA5" w:rsidRDefault="00EC4FA5" w:rsidP="00C3758F">
      <w:pPr>
        <w:spacing w:after="0"/>
        <w:rPr>
          <w:rFonts w:ascii="Arial" w:eastAsia="Arial" w:hAnsi="Arial" w:cs="Arial"/>
          <w:i/>
          <w:sz w:val="20"/>
          <w:szCs w:val="20"/>
        </w:rPr>
      </w:pPr>
    </w:p>
    <w:p w14:paraId="3E553F08" w14:textId="77777777" w:rsidR="00AF7894" w:rsidRPr="00587DF1" w:rsidRDefault="00AF7894" w:rsidP="00C3758F">
      <w:pPr>
        <w:spacing w:after="0"/>
        <w:rPr>
          <w:rFonts w:ascii="Arial" w:eastAsia="Arial" w:hAnsi="Arial" w:cs="Arial"/>
          <w:i/>
          <w:sz w:val="20"/>
          <w:szCs w:val="20"/>
        </w:rPr>
      </w:pPr>
    </w:p>
    <w:p w14:paraId="7507DCAA" w14:textId="79EF1E3F" w:rsidR="00B00B90" w:rsidRPr="00587DF1" w:rsidRDefault="00C3758F" w:rsidP="00C3758F">
      <w:pPr>
        <w:rPr>
          <w:rFonts w:ascii="Arial" w:eastAsia="Arial" w:hAnsi="Arial" w:cs="Arial"/>
        </w:rPr>
      </w:pPr>
      <w:r w:rsidRPr="00587DF1">
        <w:rPr>
          <w:rFonts w:ascii="Arial" w:eastAsia="Arial" w:hAnsi="Arial" w:cs="Arial"/>
        </w:rPr>
        <w:t xml:space="preserve">The majority of the City Road site was built in the late 1800’s, at a time when specialist eye care was provided in ways that vary considerably to how it is now undertaken (and how it will likely be undertaken in the future in an era of machine learning, stem cell therapies and other leading edge technology-focused treatments). It has been the subject of piecemeal modifications, refurbishments and upgrading works over a period of time, and the </w:t>
      </w:r>
      <w:r w:rsidR="00FA2D12" w:rsidRPr="00587DF1">
        <w:rPr>
          <w:rFonts w:ascii="Arial" w:eastAsia="Arial" w:hAnsi="Arial" w:cs="Arial"/>
        </w:rPr>
        <w:t>trust</w:t>
      </w:r>
      <w:r w:rsidRPr="00587DF1">
        <w:rPr>
          <w:rFonts w:ascii="Arial" w:eastAsia="Arial" w:hAnsi="Arial" w:cs="Arial"/>
        </w:rPr>
        <w:t xml:space="preserve"> has worked hard to ensure the site remains safe, secure and provides patients with the best possible experience. However, </w:t>
      </w:r>
      <w:bookmarkStart w:id="58" w:name="_Hlk27132699"/>
      <w:r w:rsidRPr="00587DF1">
        <w:rPr>
          <w:rFonts w:ascii="Arial" w:eastAsia="Arial" w:hAnsi="Arial" w:cs="Arial"/>
        </w:rPr>
        <w:t xml:space="preserve">the building is very inflexible and the </w:t>
      </w:r>
      <w:r w:rsidR="00FA2D12" w:rsidRPr="00587DF1">
        <w:rPr>
          <w:rFonts w:ascii="Arial" w:eastAsia="Arial" w:hAnsi="Arial" w:cs="Arial"/>
        </w:rPr>
        <w:t>trust</w:t>
      </w:r>
      <w:r w:rsidRPr="00587DF1">
        <w:rPr>
          <w:rFonts w:ascii="Arial" w:eastAsia="Arial" w:hAnsi="Arial" w:cs="Arial"/>
        </w:rPr>
        <w:t xml:space="preserve"> is limited in how much the buildings can be modified in line with modern-day requirements </w:t>
      </w:r>
      <w:bookmarkEnd w:id="58"/>
      <w:r w:rsidRPr="00587DF1">
        <w:rPr>
          <w:rFonts w:ascii="Arial" w:eastAsia="Arial" w:hAnsi="Arial" w:cs="Arial"/>
        </w:rPr>
        <w:t xml:space="preserve">(described in more detail in the case for change, section </w:t>
      </w:r>
      <w:r w:rsidR="00B8080B">
        <w:rPr>
          <w:rFonts w:ascii="Arial" w:eastAsia="Arial" w:hAnsi="Arial" w:cs="Arial"/>
        </w:rPr>
        <w:fldChar w:fldCharType="begin"/>
      </w:r>
      <w:r w:rsidR="00B8080B">
        <w:rPr>
          <w:rFonts w:ascii="Arial" w:eastAsia="Arial" w:hAnsi="Arial" w:cs="Arial"/>
        </w:rPr>
        <w:instrText xml:space="preserve"> REF _Ref24699418 \r \h </w:instrText>
      </w:r>
      <w:r w:rsidR="00B8080B">
        <w:rPr>
          <w:rFonts w:ascii="Arial" w:eastAsia="Arial" w:hAnsi="Arial" w:cs="Arial"/>
        </w:rPr>
      </w:r>
      <w:r w:rsidR="00B8080B">
        <w:rPr>
          <w:rFonts w:ascii="Arial" w:eastAsia="Arial" w:hAnsi="Arial" w:cs="Arial"/>
        </w:rPr>
        <w:fldChar w:fldCharType="separate"/>
      </w:r>
      <w:r w:rsidR="00A936CD">
        <w:rPr>
          <w:rFonts w:ascii="Arial" w:eastAsia="Arial" w:hAnsi="Arial" w:cs="Arial"/>
        </w:rPr>
        <w:t>3.10.1</w:t>
      </w:r>
      <w:r w:rsidR="00B8080B">
        <w:rPr>
          <w:rFonts w:ascii="Arial" w:eastAsia="Arial" w:hAnsi="Arial" w:cs="Arial"/>
        </w:rPr>
        <w:fldChar w:fldCharType="end"/>
      </w:r>
      <w:r w:rsidRPr="00587DF1">
        <w:rPr>
          <w:rFonts w:ascii="Arial" w:eastAsia="Arial" w:hAnsi="Arial" w:cs="Arial"/>
        </w:rPr>
        <w:t>).</w:t>
      </w:r>
    </w:p>
    <w:p w14:paraId="49A96164" w14:textId="5B9E3542" w:rsidR="00B00B90" w:rsidRPr="00587DF1" w:rsidRDefault="00B00B90" w:rsidP="00B00B90">
      <w:pPr>
        <w:rPr>
          <w:rFonts w:ascii="Arial" w:eastAsia="Arial" w:hAnsi="Arial" w:cs="Arial"/>
        </w:rPr>
      </w:pPr>
      <w:r w:rsidRPr="00587DF1">
        <w:rPr>
          <w:rFonts w:ascii="Arial" w:eastAsia="Arial" w:hAnsi="Arial" w:cs="Arial"/>
        </w:rPr>
        <w:t xml:space="preserve">The City Road Campus estate is not supportive of the step-change the </w:t>
      </w:r>
      <w:r w:rsidR="00FA2D12" w:rsidRPr="00587DF1">
        <w:rPr>
          <w:rFonts w:ascii="Arial" w:eastAsia="Arial" w:hAnsi="Arial" w:cs="Arial"/>
        </w:rPr>
        <w:t>trust</w:t>
      </w:r>
      <w:r w:rsidRPr="00587DF1">
        <w:rPr>
          <w:rFonts w:ascii="Arial" w:eastAsia="Arial" w:hAnsi="Arial" w:cs="Arial"/>
        </w:rPr>
        <w:t xml:space="preserve"> wishes to see in terms of an ‘integrated’ (with the IoO) and digitally-focused campus for this century and beyond.  </w:t>
      </w:r>
    </w:p>
    <w:p w14:paraId="020A0815" w14:textId="191BD887" w:rsidR="00B00B90" w:rsidRPr="00587DF1" w:rsidRDefault="00B00B90" w:rsidP="00B00B90">
      <w:pPr>
        <w:rPr>
          <w:rFonts w:ascii="Arial" w:eastAsia="Arial" w:hAnsi="Arial" w:cs="Arial"/>
        </w:rPr>
      </w:pPr>
      <w:r w:rsidRPr="00587DF1">
        <w:rPr>
          <w:rFonts w:ascii="Arial" w:eastAsia="Arial" w:hAnsi="Arial" w:cs="Arial"/>
        </w:rPr>
        <w:t xml:space="preserve">The ageing infrastructure of the hospital is growing increasingly difficult and costly to maintain.  Although the current condition-based backlog (a </w:t>
      </w:r>
      <w:r w:rsidR="00481D35">
        <w:rPr>
          <w:rFonts w:ascii="Arial" w:eastAsia="Arial" w:hAnsi="Arial" w:cs="Arial"/>
        </w:rPr>
        <w:t>programme</w:t>
      </w:r>
      <w:r w:rsidRPr="00587DF1">
        <w:rPr>
          <w:rFonts w:ascii="Arial" w:eastAsia="Arial" w:hAnsi="Arial" w:cs="Arial"/>
        </w:rPr>
        <w:t xml:space="preserve"> to bring the estate’s condition to an acceptable standard) is at manageable levels, </w:t>
      </w:r>
      <w:r w:rsidR="00481D35">
        <w:rPr>
          <w:rFonts w:ascii="Arial" w:eastAsia="Arial" w:hAnsi="Arial" w:cs="Arial"/>
        </w:rPr>
        <w:t xml:space="preserve">the site has </w:t>
      </w:r>
      <w:r w:rsidRPr="00587DF1">
        <w:rPr>
          <w:rFonts w:ascii="Arial" w:eastAsia="Arial" w:hAnsi="Arial" w:cs="Arial"/>
        </w:rPr>
        <w:t>significant ‘impending’ backlog. Many of the site’s mechanical and electrical (M&amp;E) systems are functional but now at the end of (or nearing the end of) their expected economic life and the fabric would also soon need considerable investment if these were to be maintained past the planned vacation of the site.</w:t>
      </w:r>
    </w:p>
    <w:p w14:paraId="55E4BD6F" w14:textId="2A689F75" w:rsidR="00B00B90" w:rsidRPr="00587DF1" w:rsidRDefault="00B00B90" w:rsidP="00C3758F">
      <w:pPr>
        <w:rPr>
          <w:rFonts w:ascii="Arial" w:eastAsia="Arial" w:hAnsi="Arial" w:cs="Arial"/>
        </w:rPr>
      </w:pPr>
      <w:r w:rsidRPr="00587DF1">
        <w:rPr>
          <w:rFonts w:ascii="Arial" w:eastAsia="Arial" w:hAnsi="Arial" w:cs="Arial"/>
        </w:rPr>
        <w:t>The current backlog is circa £</w:t>
      </w:r>
      <w:r w:rsidR="002B2926">
        <w:rPr>
          <w:rFonts w:ascii="Arial" w:eastAsia="Arial" w:hAnsi="Arial" w:cs="Arial"/>
        </w:rPr>
        <w:t>XXX</w:t>
      </w:r>
      <w:r w:rsidRPr="00587DF1">
        <w:rPr>
          <w:rFonts w:ascii="Arial" w:eastAsia="Arial" w:hAnsi="Arial" w:cs="Arial"/>
        </w:rPr>
        <w:t xml:space="preserve">m but ‘impending backlogs’ that will impact the organisation in the next decade if </w:t>
      </w:r>
      <w:r w:rsidR="00E10C97">
        <w:rPr>
          <w:rFonts w:ascii="Arial" w:eastAsia="Arial" w:hAnsi="Arial" w:cs="Arial"/>
        </w:rPr>
        <w:t>Moorfields</w:t>
      </w:r>
      <w:r w:rsidRPr="00587DF1">
        <w:rPr>
          <w:rFonts w:ascii="Arial" w:eastAsia="Arial" w:hAnsi="Arial" w:cs="Arial"/>
        </w:rPr>
        <w:t xml:space="preserve"> were t</w:t>
      </w:r>
      <w:r w:rsidR="00F92B17">
        <w:rPr>
          <w:rFonts w:ascii="Arial" w:eastAsia="Arial" w:hAnsi="Arial" w:cs="Arial"/>
        </w:rPr>
        <w:t xml:space="preserve">o stay are estimated </w:t>
      </w:r>
      <w:r w:rsidR="006B30A3">
        <w:rPr>
          <w:rFonts w:ascii="Arial" w:eastAsia="Arial" w:hAnsi="Arial" w:cs="Arial"/>
        </w:rPr>
        <w:t>to require</w:t>
      </w:r>
      <w:r w:rsidR="00F92B17">
        <w:rPr>
          <w:rFonts w:ascii="Arial" w:eastAsia="Arial" w:hAnsi="Arial" w:cs="Arial"/>
        </w:rPr>
        <w:t xml:space="preserve"> £</w:t>
      </w:r>
      <w:r w:rsidR="002B2926">
        <w:rPr>
          <w:rFonts w:ascii="Arial" w:eastAsia="Arial" w:hAnsi="Arial" w:cs="Arial"/>
        </w:rPr>
        <w:t>XXX</w:t>
      </w:r>
      <w:r w:rsidRPr="00587DF1">
        <w:rPr>
          <w:rFonts w:ascii="Arial" w:eastAsia="Arial" w:hAnsi="Arial" w:cs="Arial"/>
        </w:rPr>
        <w:t>m</w:t>
      </w:r>
      <w:r w:rsidR="006B30A3">
        <w:rPr>
          <w:rFonts w:ascii="Arial" w:eastAsia="Arial" w:hAnsi="Arial" w:cs="Arial"/>
        </w:rPr>
        <w:t xml:space="preserve"> investment to address</w:t>
      </w:r>
      <w:r w:rsidRPr="00587DF1">
        <w:rPr>
          <w:rFonts w:ascii="Arial" w:eastAsia="Arial" w:hAnsi="Arial" w:cs="Arial"/>
        </w:rPr>
        <w:t xml:space="preserve"> (detailed in the Economic Case).</w:t>
      </w:r>
    </w:p>
    <w:p w14:paraId="434420D2" w14:textId="6F99D6D3" w:rsidR="00C3758F" w:rsidRPr="00587DF1" w:rsidRDefault="00B00B90" w:rsidP="00C3758F">
      <w:pPr>
        <w:rPr>
          <w:rFonts w:ascii="Arial" w:eastAsia="Arial" w:hAnsi="Arial" w:cs="Arial"/>
        </w:rPr>
      </w:pPr>
      <w:r w:rsidRPr="00587DF1">
        <w:rPr>
          <w:rFonts w:ascii="Arial" w:eastAsia="Arial" w:hAnsi="Arial" w:cs="Arial"/>
        </w:rPr>
        <w:t>S</w:t>
      </w:r>
      <w:r w:rsidR="00C3758F" w:rsidRPr="00587DF1">
        <w:rPr>
          <w:rFonts w:ascii="Arial" w:eastAsia="Arial" w:hAnsi="Arial" w:cs="Arial"/>
        </w:rPr>
        <w:t xml:space="preserve">ignificant investment is required to enable the </w:t>
      </w:r>
      <w:r w:rsidR="00FA2D12" w:rsidRPr="00587DF1">
        <w:rPr>
          <w:rFonts w:ascii="Arial" w:eastAsia="Arial" w:hAnsi="Arial" w:cs="Arial"/>
        </w:rPr>
        <w:t>trust</w:t>
      </w:r>
      <w:r w:rsidR="00C3758F" w:rsidRPr="00587DF1">
        <w:rPr>
          <w:rFonts w:ascii="Arial" w:eastAsia="Arial" w:hAnsi="Arial" w:cs="Arial"/>
        </w:rPr>
        <w:t xml:space="preserve"> to keep pace with medical and technological advances, continue to improve quality of care, and harness the full potential of Moorfields’ relationship with the UCL IoO. A high level of investment is unlikely to enable Moorfields to remain a world-leading centre for ophthalmology, or represent value for money in an</w:t>
      </w:r>
      <w:r w:rsidR="004040D3">
        <w:rPr>
          <w:rFonts w:ascii="Arial" w:eastAsia="Arial" w:hAnsi="Arial" w:cs="Arial"/>
        </w:rPr>
        <w:t xml:space="preserve"> ageing</w:t>
      </w:r>
      <w:r w:rsidR="00C3758F" w:rsidRPr="00587DF1">
        <w:rPr>
          <w:rFonts w:ascii="Arial" w:eastAsia="Arial" w:hAnsi="Arial" w:cs="Arial"/>
        </w:rPr>
        <w:t xml:space="preserve"> building. Further details on the condition of the City Road site, and the impact of this on patient</w:t>
      </w:r>
      <w:r w:rsidR="00B8080B">
        <w:rPr>
          <w:rFonts w:ascii="Arial" w:eastAsia="Arial" w:hAnsi="Arial" w:cs="Arial"/>
        </w:rPr>
        <w:t>s</w:t>
      </w:r>
      <w:r w:rsidR="00C3758F" w:rsidRPr="00587DF1">
        <w:rPr>
          <w:rFonts w:ascii="Arial" w:eastAsia="Arial" w:hAnsi="Arial" w:cs="Arial"/>
        </w:rPr>
        <w:t xml:space="preserve">, are provided in the Case for Change (section </w:t>
      </w:r>
      <w:r w:rsidR="00B8080B">
        <w:rPr>
          <w:rFonts w:ascii="Arial" w:eastAsia="Arial" w:hAnsi="Arial" w:cs="Arial"/>
        </w:rPr>
        <w:fldChar w:fldCharType="begin"/>
      </w:r>
      <w:r w:rsidR="00B8080B">
        <w:rPr>
          <w:rFonts w:ascii="Arial" w:eastAsia="Arial" w:hAnsi="Arial" w:cs="Arial"/>
        </w:rPr>
        <w:instrText xml:space="preserve"> REF _Ref27744582 \r \h </w:instrText>
      </w:r>
      <w:r w:rsidR="00B8080B">
        <w:rPr>
          <w:rFonts w:ascii="Arial" w:eastAsia="Arial" w:hAnsi="Arial" w:cs="Arial"/>
        </w:rPr>
      </w:r>
      <w:r w:rsidR="00B8080B">
        <w:rPr>
          <w:rFonts w:ascii="Arial" w:eastAsia="Arial" w:hAnsi="Arial" w:cs="Arial"/>
        </w:rPr>
        <w:fldChar w:fldCharType="separate"/>
      </w:r>
      <w:r w:rsidR="00A936CD">
        <w:rPr>
          <w:rFonts w:ascii="Arial" w:eastAsia="Arial" w:hAnsi="Arial" w:cs="Arial"/>
        </w:rPr>
        <w:t>3.10</w:t>
      </w:r>
      <w:r w:rsidR="00B8080B">
        <w:rPr>
          <w:rFonts w:ascii="Arial" w:eastAsia="Arial" w:hAnsi="Arial" w:cs="Arial"/>
        </w:rPr>
        <w:fldChar w:fldCharType="end"/>
      </w:r>
      <w:r w:rsidR="00C3758F" w:rsidRPr="00587DF1">
        <w:rPr>
          <w:rFonts w:ascii="Arial" w:eastAsia="Arial" w:hAnsi="Arial" w:cs="Arial"/>
        </w:rPr>
        <w:t>).</w:t>
      </w:r>
    </w:p>
    <w:p w14:paraId="099A377E" w14:textId="33106898" w:rsidR="001D71F5" w:rsidRPr="00587DF1" w:rsidRDefault="001D71F5" w:rsidP="001D71F5">
      <w:pPr>
        <w:spacing w:after="0"/>
        <w:rPr>
          <w:rFonts w:ascii="Arial" w:eastAsia="Arial" w:hAnsi="Arial" w:cs="Arial"/>
        </w:rPr>
      </w:pPr>
      <w:r w:rsidRPr="00587DF1">
        <w:rPr>
          <w:rFonts w:ascii="Arial" w:eastAsia="Arial" w:hAnsi="Arial" w:cs="Arial"/>
        </w:rPr>
        <w:t>The key issues associated with the City Road site are summarised in the table below.</w:t>
      </w:r>
    </w:p>
    <w:p w14:paraId="7C4F9617" w14:textId="644CBE67" w:rsidR="00B37104" w:rsidRDefault="00B37104" w:rsidP="00B37104">
      <w:pPr>
        <w:pStyle w:val="Caption"/>
      </w:pPr>
      <w:r>
        <w:t xml:space="preserve">Table </w:t>
      </w:r>
      <w:r>
        <w:fldChar w:fldCharType="begin"/>
      </w:r>
      <w:r>
        <w:instrText xml:space="preserve"> SEQ Table \* ARABIC </w:instrText>
      </w:r>
      <w:r>
        <w:fldChar w:fldCharType="separate"/>
      </w:r>
      <w:r w:rsidR="00A936CD">
        <w:rPr>
          <w:noProof/>
        </w:rPr>
        <w:t>9</w:t>
      </w:r>
      <w:r>
        <w:fldChar w:fldCharType="end"/>
      </w:r>
      <w:r>
        <w:t xml:space="preserve">: </w:t>
      </w:r>
      <w:r w:rsidRPr="00B72F95">
        <w:rPr>
          <w:b w:val="0"/>
        </w:rPr>
        <w:t>Su</w:t>
      </w:r>
      <w:r w:rsidRPr="00B72F95">
        <w:rPr>
          <w:b w:val="0"/>
          <w:bCs w:val="0"/>
        </w:rPr>
        <w:t>mmary</w:t>
      </w:r>
      <w:r w:rsidRPr="00176919">
        <w:rPr>
          <w:b w:val="0"/>
          <w:bCs w:val="0"/>
        </w:rPr>
        <w:t xml:space="preserve"> of estates issues at City Road</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109"/>
      </w:tblGrid>
      <w:tr w:rsidR="001D71F5" w:rsidRPr="00587DF1" w14:paraId="526D7CAA" w14:textId="77777777" w:rsidTr="00BC5C16">
        <w:tc>
          <w:tcPr>
            <w:tcW w:w="1809" w:type="dxa"/>
          </w:tcPr>
          <w:p w14:paraId="143DEED6" w14:textId="77777777" w:rsidR="001D71F5" w:rsidRPr="00587DF1" w:rsidRDefault="001D71F5" w:rsidP="001A3620">
            <w:pPr>
              <w:spacing w:after="0"/>
              <w:rPr>
                <w:rFonts w:ascii="Arial" w:eastAsia="Arial" w:hAnsi="Arial" w:cs="Arial"/>
              </w:rPr>
            </w:pPr>
            <w:r w:rsidRPr="00587DF1">
              <w:rPr>
                <w:rFonts w:ascii="Arial" w:eastAsia="Arial" w:hAnsi="Arial" w:cs="Arial"/>
              </w:rPr>
              <w:t>Physical condition</w:t>
            </w:r>
          </w:p>
        </w:tc>
        <w:tc>
          <w:tcPr>
            <w:tcW w:w="8109" w:type="dxa"/>
          </w:tcPr>
          <w:p w14:paraId="27005299" w14:textId="0573EB86" w:rsidR="001D71F5" w:rsidRPr="00587DF1" w:rsidRDefault="00AF7894" w:rsidP="00AF7894">
            <w:pPr>
              <w:spacing w:after="0"/>
              <w:rPr>
                <w:rFonts w:ascii="Arial" w:eastAsia="Arial" w:hAnsi="Arial" w:cs="Arial"/>
              </w:rPr>
            </w:pPr>
            <w:r>
              <w:rPr>
                <w:rFonts w:ascii="Arial" w:eastAsia="Arial" w:hAnsi="Arial" w:cs="Arial"/>
              </w:rPr>
              <w:t>T</w:t>
            </w:r>
            <w:r w:rsidR="001D71F5" w:rsidRPr="00587DF1">
              <w:rPr>
                <w:rFonts w:ascii="Arial" w:eastAsia="Arial" w:hAnsi="Arial" w:cs="Arial"/>
              </w:rPr>
              <w:t>he 100-year-old structural layouts significantly impact on space utilisation and functional suitability.</w:t>
            </w:r>
            <w:r>
              <w:rPr>
                <w:rFonts w:ascii="Arial" w:eastAsia="Arial" w:hAnsi="Arial" w:cs="Arial"/>
              </w:rPr>
              <w:t xml:space="preserve"> </w:t>
            </w:r>
            <w:r w:rsidR="001D71F5" w:rsidRPr="00587DF1">
              <w:rPr>
                <w:rFonts w:ascii="Arial" w:eastAsia="Arial" w:hAnsi="Arial" w:cs="Arial"/>
              </w:rPr>
              <w:t>Much of the infrastructure (including electrical, heating, medical gases, cooling and ventilation systems) is at, or nearing, the end of its expected economic life.</w:t>
            </w:r>
            <w:r>
              <w:rPr>
                <w:rFonts w:ascii="Arial" w:eastAsia="Arial" w:hAnsi="Arial" w:cs="Arial"/>
              </w:rPr>
              <w:t xml:space="preserve"> </w:t>
            </w:r>
            <w:r w:rsidR="001D71F5" w:rsidRPr="00587DF1">
              <w:rPr>
                <w:rFonts w:ascii="Arial" w:eastAsia="Arial" w:hAnsi="Arial" w:cs="Arial"/>
              </w:rPr>
              <w:t xml:space="preserve">The current hand-cut tiles that form the façade of the </w:t>
            </w:r>
            <w:r w:rsidR="001D71F5" w:rsidRPr="00587DF1">
              <w:rPr>
                <w:rFonts w:ascii="Arial" w:eastAsia="Arial" w:hAnsi="Arial" w:cs="Arial"/>
              </w:rPr>
              <w:lastRenderedPageBreak/>
              <w:t>City Road site are de-laminating from their fixings. Replacing these would be very expensive and disruptive to services.</w:t>
            </w:r>
          </w:p>
        </w:tc>
      </w:tr>
      <w:tr w:rsidR="001D71F5" w:rsidRPr="00587DF1" w14:paraId="58C172A8" w14:textId="77777777" w:rsidTr="00BC5C16">
        <w:tc>
          <w:tcPr>
            <w:tcW w:w="1809" w:type="dxa"/>
          </w:tcPr>
          <w:p w14:paraId="4D5471BB" w14:textId="77777777" w:rsidR="001D71F5" w:rsidRPr="00587DF1" w:rsidRDefault="001D71F5" w:rsidP="001A3620">
            <w:pPr>
              <w:spacing w:after="0"/>
              <w:rPr>
                <w:rFonts w:ascii="Arial" w:eastAsia="Arial" w:hAnsi="Arial" w:cs="Arial"/>
              </w:rPr>
            </w:pPr>
            <w:r w:rsidRPr="00587DF1">
              <w:rPr>
                <w:rFonts w:ascii="Arial" w:eastAsia="Arial" w:hAnsi="Arial" w:cs="Arial"/>
              </w:rPr>
              <w:lastRenderedPageBreak/>
              <w:t>Compliance and fire safety</w:t>
            </w:r>
          </w:p>
        </w:tc>
        <w:tc>
          <w:tcPr>
            <w:tcW w:w="8109" w:type="dxa"/>
          </w:tcPr>
          <w:p w14:paraId="3B9BE2F5" w14:textId="4B1F2282" w:rsidR="001D71F5" w:rsidRPr="00587DF1" w:rsidRDefault="001D71F5" w:rsidP="001A3620">
            <w:pPr>
              <w:spacing w:after="0"/>
              <w:rPr>
                <w:rFonts w:ascii="Arial" w:eastAsia="Arial" w:hAnsi="Arial" w:cs="Arial"/>
              </w:rPr>
            </w:pPr>
            <w:r w:rsidRPr="00587DF1">
              <w:rPr>
                <w:rFonts w:ascii="Arial" w:eastAsia="Arial" w:hAnsi="Arial" w:cs="Arial"/>
              </w:rPr>
              <w:t>While the site is statutorily compliant with fire regulations, there are areas for improvement, which would require significant investment to address.</w:t>
            </w:r>
          </w:p>
          <w:p w14:paraId="665EAA8B" w14:textId="16C9B030" w:rsidR="001D71F5" w:rsidRPr="00587DF1" w:rsidRDefault="00AF7894" w:rsidP="001A3620">
            <w:pPr>
              <w:spacing w:after="0"/>
              <w:rPr>
                <w:rFonts w:ascii="Arial" w:eastAsia="Arial" w:hAnsi="Arial" w:cs="Arial"/>
              </w:rPr>
            </w:pPr>
            <w:r>
              <w:rPr>
                <w:rFonts w:ascii="Arial" w:eastAsia="Arial" w:hAnsi="Arial" w:cs="Arial"/>
              </w:rPr>
              <w:t xml:space="preserve">Areas of the site </w:t>
            </w:r>
            <w:r w:rsidR="001D71F5" w:rsidRPr="00587DF1">
              <w:rPr>
                <w:rFonts w:ascii="Arial" w:eastAsia="Arial" w:hAnsi="Arial" w:cs="Arial"/>
              </w:rPr>
              <w:t>do not comply with HBN / HTM guidance inclu</w:t>
            </w:r>
            <w:r>
              <w:rPr>
                <w:rFonts w:ascii="Arial" w:eastAsia="Arial" w:hAnsi="Arial" w:cs="Arial"/>
              </w:rPr>
              <w:t>ding</w:t>
            </w:r>
            <w:r w:rsidR="001D71F5" w:rsidRPr="00587DF1">
              <w:rPr>
                <w:rFonts w:ascii="Arial" w:eastAsia="Arial" w:hAnsi="Arial" w:cs="Arial"/>
              </w:rPr>
              <w:t xml:space="preserve"> ventilation of theatre plant and CSSD, cold water storage tanks and lighting. The latest six-facet survey found that 39% falls below compliance standards (rated ‘C’ or ‘D’).</w:t>
            </w:r>
          </w:p>
        </w:tc>
      </w:tr>
      <w:tr w:rsidR="001D71F5" w:rsidRPr="00587DF1" w14:paraId="7DADB358" w14:textId="77777777" w:rsidTr="00BC5C16">
        <w:tc>
          <w:tcPr>
            <w:tcW w:w="1809" w:type="dxa"/>
          </w:tcPr>
          <w:p w14:paraId="105880E8" w14:textId="77777777" w:rsidR="001D71F5" w:rsidRPr="00587DF1" w:rsidRDefault="001D71F5" w:rsidP="001A3620">
            <w:pPr>
              <w:spacing w:after="0"/>
              <w:rPr>
                <w:rFonts w:ascii="Arial" w:eastAsia="Arial" w:hAnsi="Arial" w:cs="Arial"/>
              </w:rPr>
            </w:pPr>
            <w:r w:rsidRPr="00587DF1">
              <w:rPr>
                <w:rFonts w:ascii="Arial" w:eastAsia="Arial" w:hAnsi="Arial" w:cs="Arial"/>
              </w:rPr>
              <w:t>Space utilisation</w:t>
            </w:r>
          </w:p>
        </w:tc>
        <w:tc>
          <w:tcPr>
            <w:tcW w:w="8109" w:type="dxa"/>
          </w:tcPr>
          <w:p w14:paraId="2E561102" w14:textId="7FCC4F57" w:rsidR="001D71F5" w:rsidRPr="00587DF1" w:rsidRDefault="001D71F5" w:rsidP="001A3620">
            <w:pPr>
              <w:spacing w:after="0"/>
              <w:rPr>
                <w:rFonts w:ascii="Arial" w:eastAsia="Arial" w:hAnsi="Arial" w:cs="Arial"/>
              </w:rPr>
            </w:pPr>
            <w:r w:rsidRPr="00587DF1">
              <w:rPr>
                <w:rFonts w:ascii="Arial" w:eastAsia="Arial" w:hAnsi="Arial" w:cs="Arial"/>
              </w:rPr>
              <w:t>The City Road campus is nearing capacity.</w:t>
            </w:r>
          </w:p>
          <w:p w14:paraId="36D75391" w14:textId="77777777" w:rsidR="001D71F5" w:rsidRPr="00587DF1" w:rsidRDefault="001D71F5" w:rsidP="001A3620">
            <w:pPr>
              <w:spacing w:after="0"/>
              <w:rPr>
                <w:rFonts w:ascii="Arial" w:eastAsia="Arial" w:hAnsi="Arial" w:cs="Arial"/>
              </w:rPr>
            </w:pPr>
            <w:r w:rsidRPr="00587DF1">
              <w:rPr>
                <w:rFonts w:ascii="Arial" w:eastAsia="Arial" w:hAnsi="Arial" w:cs="Arial"/>
              </w:rPr>
              <w:t>The IoO is over-stretched and has had to turn down opportunities for research grants due to lack of space to undertake core research and education activities.</w:t>
            </w:r>
          </w:p>
        </w:tc>
      </w:tr>
      <w:tr w:rsidR="001D71F5" w:rsidRPr="00587DF1" w14:paraId="3DB54B20" w14:textId="77777777" w:rsidTr="00BC5C16">
        <w:tc>
          <w:tcPr>
            <w:tcW w:w="1809" w:type="dxa"/>
          </w:tcPr>
          <w:p w14:paraId="0BC636BA" w14:textId="77777777" w:rsidR="001D71F5" w:rsidRPr="00587DF1" w:rsidRDefault="001D71F5" w:rsidP="001A3620">
            <w:pPr>
              <w:spacing w:after="0"/>
              <w:rPr>
                <w:rFonts w:ascii="Arial" w:eastAsia="Arial" w:hAnsi="Arial" w:cs="Arial"/>
              </w:rPr>
            </w:pPr>
            <w:r w:rsidRPr="00587DF1">
              <w:rPr>
                <w:rFonts w:ascii="Arial" w:eastAsia="Arial" w:hAnsi="Arial" w:cs="Arial"/>
              </w:rPr>
              <w:t>Functional suitability</w:t>
            </w:r>
          </w:p>
        </w:tc>
        <w:tc>
          <w:tcPr>
            <w:tcW w:w="8109" w:type="dxa"/>
          </w:tcPr>
          <w:p w14:paraId="4E2E2582" w14:textId="5C0CC3ED" w:rsidR="001D71F5" w:rsidRPr="00587DF1" w:rsidRDefault="001D71F5" w:rsidP="001A3620">
            <w:pPr>
              <w:spacing w:after="0"/>
              <w:rPr>
                <w:rFonts w:ascii="Arial" w:eastAsia="Arial" w:hAnsi="Arial" w:cs="Arial"/>
              </w:rPr>
            </w:pPr>
            <w:r w:rsidRPr="00587DF1">
              <w:rPr>
                <w:rFonts w:ascii="Arial" w:eastAsia="Arial" w:hAnsi="Arial" w:cs="Arial"/>
              </w:rPr>
              <w:t>The complex, cellular layout of the site and piecemeal adaptions means many rooms are compromised in terms of their functional suitability, for example:</w:t>
            </w:r>
          </w:p>
          <w:p w14:paraId="5B61BEF2" w14:textId="77777777" w:rsidR="001D71F5" w:rsidRPr="00587DF1" w:rsidRDefault="001D71F5" w:rsidP="005E0D57">
            <w:pPr>
              <w:pStyle w:val="ListParagraph"/>
              <w:numPr>
                <w:ilvl w:val="0"/>
                <w:numId w:val="21"/>
              </w:numPr>
              <w:spacing w:after="0"/>
              <w:rPr>
                <w:rFonts w:ascii="Arial" w:eastAsia="Arial" w:hAnsi="Arial" w:cs="Arial"/>
              </w:rPr>
            </w:pPr>
            <w:r w:rsidRPr="00587DF1">
              <w:rPr>
                <w:rFonts w:ascii="Arial" w:eastAsia="Arial" w:hAnsi="Arial" w:cs="Arial"/>
              </w:rPr>
              <w:t>The theatres department struggles with waste storage and laundry processing and surgical trolley storage space</w:t>
            </w:r>
            <w:r w:rsidR="00A1175B">
              <w:rPr>
                <w:rFonts w:ascii="Arial" w:eastAsia="Arial" w:hAnsi="Arial" w:cs="Arial"/>
              </w:rPr>
              <w:t>.</w:t>
            </w:r>
          </w:p>
          <w:p w14:paraId="4FE73822" w14:textId="77777777" w:rsidR="001D71F5" w:rsidRPr="00587DF1" w:rsidRDefault="001D71F5" w:rsidP="005E0D57">
            <w:pPr>
              <w:pStyle w:val="ListParagraph"/>
              <w:numPr>
                <w:ilvl w:val="0"/>
                <w:numId w:val="21"/>
              </w:numPr>
              <w:spacing w:after="0"/>
              <w:rPr>
                <w:rFonts w:ascii="Arial" w:eastAsia="Arial" w:hAnsi="Arial" w:cs="Arial"/>
              </w:rPr>
            </w:pPr>
            <w:r w:rsidRPr="00587DF1">
              <w:rPr>
                <w:rFonts w:ascii="Arial" w:eastAsia="Arial" w:hAnsi="Arial" w:cs="Arial"/>
              </w:rPr>
              <w:t>Privacy and dignity is in places compromised (e.g. outpatient clinics configured as ‘pods’ rather than individual rooms)</w:t>
            </w:r>
            <w:r w:rsidR="00A1175B">
              <w:rPr>
                <w:rFonts w:ascii="Arial" w:eastAsia="Arial" w:hAnsi="Arial" w:cs="Arial"/>
              </w:rPr>
              <w:t>.</w:t>
            </w:r>
          </w:p>
          <w:p w14:paraId="7461519B" w14:textId="77777777" w:rsidR="001D71F5" w:rsidRPr="00587DF1" w:rsidRDefault="001D71F5" w:rsidP="005E0D57">
            <w:pPr>
              <w:pStyle w:val="ListParagraph"/>
              <w:numPr>
                <w:ilvl w:val="0"/>
                <w:numId w:val="21"/>
              </w:numPr>
              <w:spacing w:after="0"/>
              <w:rPr>
                <w:rFonts w:ascii="Arial" w:eastAsia="Arial" w:hAnsi="Arial" w:cs="Arial"/>
              </w:rPr>
            </w:pPr>
            <w:r w:rsidRPr="00587DF1">
              <w:rPr>
                <w:rFonts w:ascii="Arial" w:eastAsia="Arial" w:hAnsi="Arial" w:cs="Arial"/>
              </w:rPr>
              <w:t xml:space="preserve">Waiting areas </w:t>
            </w:r>
            <w:r w:rsidR="00A1175B">
              <w:rPr>
                <w:rFonts w:ascii="Arial" w:eastAsia="Arial" w:hAnsi="Arial" w:cs="Arial"/>
              </w:rPr>
              <w:t>are too small</w:t>
            </w:r>
            <w:r w:rsidRPr="00587DF1">
              <w:rPr>
                <w:rFonts w:ascii="Arial" w:eastAsia="Arial" w:hAnsi="Arial" w:cs="Arial"/>
              </w:rPr>
              <w:t xml:space="preserve"> and </w:t>
            </w:r>
            <w:r w:rsidR="00A1175B">
              <w:rPr>
                <w:rFonts w:ascii="Arial" w:eastAsia="Arial" w:hAnsi="Arial" w:cs="Arial"/>
              </w:rPr>
              <w:t xml:space="preserve">have large </w:t>
            </w:r>
            <w:r w:rsidRPr="00587DF1">
              <w:rPr>
                <w:rFonts w:ascii="Arial" w:eastAsia="Arial" w:hAnsi="Arial" w:cs="Arial"/>
              </w:rPr>
              <w:t>structural columns</w:t>
            </w:r>
            <w:r w:rsidR="00A1175B">
              <w:rPr>
                <w:rFonts w:ascii="Arial" w:eastAsia="Arial" w:hAnsi="Arial" w:cs="Arial"/>
              </w:rPr>
              <w:t>.</w:t>
            </w:r>
          </w:p>
          <w:p w14:paraId="54849EAB" w14:textId="77777777" w:rsidR="001D71F5" w:rsidRPr="00587DF1" w:rsidRDefault="001D71F5" w:rsidP="005E0D57">
            <w:pPr>
              <w:pStyle w:val="ListParagraph"/>
              <w:numPr>
                <w:ilvl w:val="0"/>
                <w:numId w:val="21"/>
              </w:numPr>
              <w:spacing w:after="0"/>
              <w:rPr>
                <w:rFonts w:ascii="Arial" w:eastAsia="Arial" w:hAnsi="Arial" w:cs="Arial"/>
              </w:rPr>
            </w:pPr>
            <w:r w:rsidRPr="00587DF1">
              <w:rPr>
                <w:rFonts w:ascii="Arial" w:eastAsia="Arial" w:hAnsi="Arial" w:cs="Arial"/>
              </w:rPr>
              <w:t>The current layout does not typically allow smooth patient flows. Parts of the building have a ‘warren’ like feel and can be disorientating for visitors</w:t>
            </w:r>
            <w:r w:rsidR="00A1175B">
              <w:rPr>
                <w:rFonts w:ascii="Arial" w:eastAsia="Arial" w:hAnsi="Arial" w:cs="Arial"/>
              </w:rPr>
              <w:t>.</w:t>
            </w:r>
          </w:p>
          <w:p w14:paraId="7EC7ED98" w14:textId="5C4E70DB" w:rsidR="001D71F5" w:rsidRPr="00587DF1" w:rsidRDefault="001D71F5" w:rsidP="005E0D57">
            <w:pPr>
              <w:pStyle w:val="ListParagraph"/>
              <w:numPr>
                <w:ilvl w:val="0"/>
                <w:numId w:val="21"/>
              </w:numPr>
              <w:spacing w:after="0"/>
              <w:rPr>
                <w:rFonts w:ascii="Arial" w:eastAsia="Arial" w:hAnsi="Arial" w:cs="Arial"/>
              </w:rPr>
            </w:pPr>
            <w:r w:rsidRPr="00587DF1">
              <w:rPr>
                <w:rFonts w:ascii="Arial" w:eastAsia="Arial" w:hAnsi="Arial" w:cs="Arial"/>
              </w:rPr>
              <w:t>There is little scope for true integration between the clinical, research and teaching elements of Moorfields and IoO work</w:t>
            </w:r>
            <w:r w:rsidR="00481D35">
              <w:rPr>
                <w:rFonts w:ascii="Arial" w:eastAsia="Arial" w:hAnsi="Arial" w:cs="Arial"/>
              </w:rPr>
              <w:t>.</w:t>
            </w:r>
          </w:p>
          <w:p w14:paraId="56F2DA80" w14:textId="484C7C24" w:rsidR="001D71F5" w:rsidRPr="00587DF1" w:rsidRDefault="00AF7894" w:rsidP="005E0D57">
            <w:pPr>
              <w:pStyle w:val="ListParagraph"/>
              <w:numPr>
                <w:ilvl w:val="0"/>
                <w:numId w:val="21"/>
              </w:numPr>
              <w:spacing w:after="0"/>
              <w:rPr>
                <w:rFonts w:ascii="Arial" w:eastAsia="Arial" w:hAnsi="Arial" w:cs="Arial"/>
              </w:rPr>
            </w:pPr>
            <w:r>
              <w:rPr>
                <w:rFonts w:ascii="Arial" w:eastAsia="Arial" w:hAnsi="Arial" w:cs="Arial"/>
              </w:rPr>
              <w:t>S</w:t>
            </w:r>
            <w:r w:rsidR="001D71F5" w:rsidRPr="00587DF1">
              <w:rPr>
                <w:rFonts w:ascii="Arial" w:eastAsia="Arial" w:hAnsi="Arial" w:cs="Arial"/>
              </w:rPr>
              <w:t>ervices are dispersed across the site, with little ability to flex. This leads to long patient journeys and difficulties in improving service efficiency</w:t>
            </w:r>
            <w:r w:rsidR="00481D35">
              <w:rPr>
                <w:rFonts w:ascii="Arial" w:eastAsia="Arial" w:hAnsi="Arial" w:cs="Arial"/>
              </w:rPr>
              <w:t>.</w:t>
            </w:r>
          </w:p>
        </w:tc>
      </w:tr>
      <w:tr w:rsidR="001D71F5" w:rsidRPr="00587DF1" w14:paraId="2CC684CC" w14:textId="77777777" w:rsidTr="00BC5C16">
        <w:tc>
          <w:tcPr>
            <w:tcW w:w="1809" w:type="dxa"/>
          </w:tcPr>
          <w:p w14:paraId="6F0FD04E" w14:textId="77777777" w:rsidR="001D71F5" w:rsidRPr="00587DF1" w:rsidRDefault="001D71F5" w:rsidP="001A3620">
            <w:pPr>
              <w:spacing w:after="0"/>
              <w:rPr>
                <w:rFonts w:ascii="Arial" w:eastAsia="Arial" w:hAnsi="Arial" w:cs="Arial"/>
              </w:rPr>
            </w:pPr>
            <w:r w:rsidRPr="00587DF1">
              <w:rPr>
                <w:rFonts w:ascii="Arial" w:eastAsia="Arial" w:hAnsi="Arial" w:cs="Arial"/>
              </w:rPr>
              <w:t>Quality</w:t>
            </w:r>
          </w:p>
        </w:tc>
        <w:tc>
          <w:tcPr>
            <w:tcW w:w="8109" w:type="dxa"/>
          </w:tcPr>
          <w:p w14:paraId="4CB73DB1" w14:textId="17D2CE51" w:rsidR="001D71F5" w:rsidRPr="00587DF1" w:rsidRDefault="00AF7894" w:rsidP="001A3620">
            <w:pPr>
              <w:spacing w:after="0"/>
              <w:rPr>
                <w:rFonts w:ascii="Arial" w:eastAsia="Arial" w:hAnsi="Arial" w:cs="Arial"/>
              </w:rPr>
            </w:pPr>
            <w:r>
              <w:rPr>
                <w:rFonts w:ascii="Arial" w:eastAsia="Arial" w:hAnsi="Arial" w:cs="Arial"/>
              </w:rPr>
              <w:t>The</w:t>
            </w:r>
            <w:r w:rsidR="001D71F5" w:rsidRPr="00587DF1">
              <w:rPr>
                <w:rFonts w:ascii="Arial" w:eastAsia="Arial" w:hAnsi="Arial" w:cs="Arial"/>
              </w:rPr>
              <w:t xml:space="preserve"> site is not in line with modern healthcare standards. The age of the building means it is difficult to clinically clean, some patient areas do not have access to natural daylight, and navigation can be challenging. The site cannot be adapted as clinical technology and best practice changes.</w:t>
            </w:r>
          </w:p>
        </w:tc>
      </w:tr>
      <w:tr w:rsidR="001D71F5" w:rsidRPr="00587DF1" w14:paraId="4A93DD8B" w14:textId="77777777" w:rsidTr="00BC5C16">
        <w:tc>
          <w:tcPr>
            <w:tcW w:w="1809" w:type="dxa"/>
          </w:tcPr>
          <w:p w14:paraId="56E14340" w14:textId="77777777" w:rsidR="001D71F5" w:rsidRPr="00587DF1" w:rsidRDefault="001D71F5" w:rsidP="001A3620">
            <w:pPr>
              <w:spacing w:after="0"/>
              <w:rPr>
                <w:rFonts w:ascii="Arial" w:eastAsia="Arial" w:hAnsi="Arial" w:cs="Arial"/>
              </w:rPr>
            </w:pPr>
            <w:r w:rsidRPr="00587DF1">
              <w:rPr>
                <w:rFonts w:ascii="Arial" w:eastAsia="Arial" w:hAnsi="Arial" w:cs="Arial"/>
              </w:rPr>
              <w:t>Environmental sustainability</w:t>
            </w:r>
          </w:p>
        </w:tc>
        <w:tc>
          <w:tcPr>
            <w:tcW w:w="8109" w:type="dxa"/>
          </w:tcPr>
          <w:p w14:paraId="1ADDD07C" w14:textId="3F02A819" w:rsidR="001D71F5" w:rsidRPr="00587DF1" w:rsidRDefault="00AF7894" w:rsidP="00BC5C16">
            <w:pPr>
              <w:spacing w:after="0"/>
              <w:rPr>
                <w:rFonts w:ascii="Arial" w:eastAsia="Arial" w:hAnsi="Arial" w:cs="Arial"/>
              </w:rPr>
            </w:pPr>
            <w:r>
              <w:rPr>
                <w:rFonts w:ascii="Arial" w:eastAsia="Arial" w:hAnsi="Arial" w:cs="Arial"/>
              </w:rPr>
              <w:t>T</w:t>
            </w:r>
            <w:r w:rsidR="001D71F5" w:rsidRPr="00587DF1">
              <w:rPr>
                <w:rFonts w:ascii="Arial" w:eastAsia="Arial" w:hAnsi="Arial" w:cs="Arial"/>
              </w:rPr>
              <w:t>he building is not thermally efficient</w:t>
            </w:r>
            <w:r>
              <w:rPr>
                <w:rFonts w:ascii="Arial" w:eastAsia="Arial" w:hAnsi="Arial" w:cs="Arial"/>
              </w:rPr>
              <w:t>, and r</w:t>
            </w:r>
            <w:r w:rsidR="001D71F5" w:rsidRPr="00587DF1">
              <w:rPr>
                <w:rFonts w:ascii="Arial" w:eastAsia="Arial" w:hAnsi="Arial" w:cs="Arial"/>
              </w:rPr>
              <w:t>etrofitting insulation would be very costly</w:t>
            </w:r>
            <w:r w:rsidR="00BC5C16">
              <w:rPr>
                <w:rFonts w:ascii="Arial" w:eastAsia="Arial" w:hAnsi="Arial" w:cs="Arial"/>
              </w:rPr>
              <w:t>.</w:t>
            </w:r>
            <w:r w:rsidR="001D71F5" w:rsidRPr="00587DF1">
              <w:rPr>
                <w:rFonts w:ascii="Arial" w:eastAsia="Arial" w:hAnsi="Arial" w:cs="Arial"/>
              </w:rPr>
              <w:t xml:space="preserve"> The main building was built in response to a very different clinical requirement, for example the building is heated as a whole and cannot be controlled in zones. As the hospital has very limited overnight stays</w:t>
            </w:r>
            <w:r w:rsidR="00BC5C16">
              <w:rPr>
                <w:rFonts w:ascii="Arial" w:eastAsia="Arial" w:hAnsi="Arial" w:cs="Arial"/>
              </w:rPr>
              <w:t>, t</w:t>
            </w:r>
            <w:r w:rsidR="001D71F5" w:rsidRPr="00587DF1">
              <w:rPr>
                <w:rFonts w:ascii="Arial" w:eastAsia="Arial" w:hAnsi="Arial" w:cs="Arial"/>
              </w:rPr>
              <w:t>his is costly and energy inefficient.</w:t>
            </w:r>
          </w:p>
        </w:tc>
      </w:tr>
      <w:tr w:rsidR="001D71F5" w:rsidRPr="00587DF1" w14:paraId="67A423CD" w14:textId="77777777" w:rsidTr="00BC5C16">
        <w:tc>
          <w:tcPr>
            <w:tcW w:w="1809" w:type="dxa"/>
          </w:tcPr>
          <w:p w14:paraId="25A6F5B0" w14:textId="77777777" w:rsidR="001D71F5" w:rsidRPr="00587DF1" w:rsidRDefault="001D71F5" w:rsidP="001A3620">
            <w:pPr>
              <w:spacing w:after="0"/>
              <w:rPr>
                <w:rFonts w:ascii="Arial" w:eastAsia="Arial" w:hAnsi="Arial" w:cs="Arial"/>
              </w:rPr>
            </w:pPr>
            <w:r w:rsidRPr="00587DF1">
              <w:rPr>
                <w:rFonts w:ascii="Arial" w:eastAsia="Arial" w:hAnsi="Arial" w:cs="Arial"/>
              </w:rPr>
              <w:t>Equality</w:t>
            </w:r>
          </w:p>
        </w:tc>
        <w:tc>
          <w:tcPr>
            <w:tcW w:w="8109" w:type="dxa"/>
          </w:tcPr>
          <w:p w14:paraId="112C32C3" w14:textId="3C4E29A9" w:rsidR="001D71F5" w:rsidRPr="00587DF1" w:rsidRDefault="001D71F5" w:rsidP="001A3620">
            <w:pPr>
              <w:spacing w:after="0"/>
              <w:rPr>
                <w:rFonts w:ascii="Arial" w:eastAsia="Arial" w:hAnsi="Arial" w:cs="Arial"/>
              </w:rPr>
            </w:pPr>
            <w:r w:rsidRPr="00587DF1">
              <w:rPr>
                <w:rFonts w:ascii="Arial" w:eastAsia="Arial" w:hAnsi="Arial" w:cs="Arial"/>
              </w:rPr>
              <w:t>Despite many adaptations for visually impaired people, strong links with patient advisory groups and compliance with the Equality Act 2010, access to the site from Old Street station is not step-free, and the site is not easy to navigate for both sighted and partially-sighted visitors.</w:t>
            </w:r>
            <w:r w:rsidR="00481D35">
              <w:rPr>
                <w:rFonts w:ascii="Arial" w:eastAsia="Arial" w:hAnsi="Arial" w:cs="Arial"/>
              </w:rPr>
              <w:t xml:space="preserve"> Some parts of the site are also not step-free.</w:t>
            </w:r>
          </w:p>
        </w:tc>
      </w:tr>
      <w:tr w:rsidR="001D71F5" w:rsidRPr="00587DF1" w14:paraId="103C57AF" w14:textId="77777777" w:rsidTr="00BC5C16">
        <w:tc>
          <w:tcPr>
            <w:tcW w:w="1809" w:type="dxa"/>
          </w:tcPr>
          <w:p w14:paraId="1EFE5BD2" w14:textId="77777777" w:rsidR="001D71F5" w:rsidRPr="00587DF1" w:rsidRDefault="001D71F5" w:rsidP="001A3620">
            <w:pPr>
              <w:spacing w:after="0"/>
              <w:rPr>
                <w:rFonts w:ascii="Arial" w:eastAsia="Arial" w:hAnsi="Arial" w:cs="Arial"/>
              </w:rPr>
            </w:pPr>
            <w:r w:rsidRPr="00587DF1">
              <w:rPr>
                <w:rFonts w:ascii="Arial" w:eastAsia="Arial" w:hAnsi="Arial" w:cs="Arial"/>
              </w:rPr>
              <w:t>Information Technology (IT)</w:t>
            </w:r>
          </w:p>
        </w:tc>
        <w:tc>
          <w:tcPr>
            <w:tcW w:w="8109" w:type="dxa"/>
          </w:tcPr>
          <w:p w14:paraId="1F1553CB" w14:textId="68E76374" w:rsidR="001D71F5" w:rsidRPr="00587DF1" w:rsidRDefault="001D71F5" w:rsidP="001A3620">
            <w:pPr>
              <w:spacing w:after="0"/>
              <w:rPr>
                <w:rFonts w:ascii="Arial" w:eastAsia="Arial" w:hAnsi="Arial" w:cs="Arial"/>
              </w:rPr>
            </w:pPr>
            <w:r w:rsidRPr="00587DF1">
              <w:rPr>
                <w:rFonts w:ascii="Arial" w:eastAsia="Arial" w:hAnsi="Arial" w:cs="Arial"/>
              </w:rPr>
              <w:t xml:space="preserve">IT is a key enabler for efficiency and service improvements. Upgrading IT infrastructure </w:t>
            </w:r>
            <w:r w:rsidR="00AF7894">
              <w:rPr>
                <w:rFonts w:ascii="Arial" w:eastAsia="Arial" w:hAnsi="Arial" w:cs="Arial"/>
              </w:rPr>
              <w:t>would be</w:t>
            </w:r>
            <w:r w:rsidRPr="00587DF1">
              <w:rPr>
                <w:rFonts w:ascii="Arial" w:eastAsia="Arial" w:hAnsi="Arial" w:cs="Arial"/>
              </w:rPr>
              <w:t xml:space="preserve"> complex and costly due to the low ceilings, lack of floor void space and presence of asbestos in parts of the site. This limits the trust’s ability to roll </w:t>
            </w:r>
            <w:r w:rsidR="00BC5C16">
              <w:rPr>
                <w:rFonts w:ascii="Arial" w:eastAsia="Arial" w:hAnsi="Arial" w:cs="Arial"/>
              </w:rPr>
              <w:t>out</w:t>
            </w:r>
            <w:r w:rsidRPr="00587DF1">
              <w:rPr>
                <w:rFonts w:ascii="Arial" w:eastAsia="Arial" w:hAnsi="Arial" w:cs="Arial"/>
              </w:rPr>
              <w:t xml:space="preserve"> modern imaging devices, virtual clinics, telemedicine and other innovative medical technology as it becomes available.</w:t>
            </w:r>
          </w:p>
        </w:tc>
      </w:tr>
    </w:tbl>
    <w:p w14:paraId="75FC8C3E" w14:textId="77777777" w:rsidR="00F655AE" w:rsidRPr="00587DF1" w:rsidRDefault="00F655AE" w:rsidP="00F655AE">
      <w:pPr>
        <w:spacing w:after="0"/>
        <w:rPr>
          <w:rFonts w:ascii="Arial" w:eastAsia="Arial" w:hAnsi="Arial" w:cs="Arial"/>
        </w:rPr>
      </w:pPr>
    </w:p>
    <w:p w14:paraId="749D2526" w14:textId="77777777" w:rsidR="00FD12DE" w:rsidRPr="00587DF1" w:rsidRDefault="00FD12DE" w:rsidP="00FD12DE">
      <w:pPr>
        <w:spacing w:after="0"/>
        <w:rPr>
          <w:rFonts w:ascii="Arial" w:eastAsia="Arial" w:hAnsi="Arial" w:cs="Arial"/>
        </w:rPr>
      </w:pPr>
    </w:p>
    <w:p w14:paraId="4BA7221C" w14:textId="77777777" w:rsidR="00AE0FD0" w:rsidRPr="00BC5C16" w:rsidRDefault="00F655AE" w:rsidP="005E0D57">
      <w:pPr>
        <w:pStyle w:val="Heading2"/>
        <w:numPr>
          <w:ilvl w:val="1"/>
          <w:numId w:val="1"/>
        </w:numPr>
        <w:rPr>
          <w:rFonts w:ascii="Arial" w:eastAsia="Arial" w:hAnsi="Arial" w:cs="Arial"/>
        </w:rPr>
      </w:pPr>
      <w:bookmarkStart w:id="59" w:name="_Toc18675275"/>
      <w:bookmarkStart w:id="60" w:name="_Toc18675276"/>
      <w:bookmarkStart w:id="61" w:name="_Toc18675277"/>
      <w:bookmarkStart w:id="62" w:name="_Toc18675278"/>
      <w:bookmarkStart w:id="63" w:name="_Toc18675279"/>
      <w:bookmarkStart w:id="64" w:name="_Toc18675301"/>
      <w:bookmarkStart w:id="65" w:name="_Toc18675302"/>
      <w:bookmarkStart w:id="66" w:name="_Toc18675303"/>
      <w:bookmarkStart w:id="67" w:name="_Ref27744484"/>
      <w:bookmarkStart w:id="68" w:name="_Toc32842680"/>
      <w:bookmarkEnd w:id="59"/>
      <w:bookmarkEnd w:id="60"/>
      <w:bookmarkEnd w:id="61"/>
      <w:bookmarkEnd w:id="62"/>
      <w:bookmarkEnd w:id="63"/>
      <w:bookmarkEnd w:id="64"/>
      <w:bookmarkEnd w:id="65"/>
      <w:bookmarkEnd w:id="66"/>
      <w:r w:rsidRPr="00BC5C16">
        <w:rPr>
          <w:rFonts w:ascii="Arial" w:eastAsia="Arial" w:hAnsi="Arial" w:cs="Arial"/>
        </w:rPr>
        <w:lastRenderedPageBreak/>
        <w:t>P</w:t>
      </w:r>
      <w:r w:rsidR="00AE0FD0" w:rsidRPr="00BC5C16">
        <w:rPr>
          <w:rFonts w:ascii="Arial" w:eastAsia="Arial" w:hAnsi="Arial" w:cs="Arial"/>
        </w:rPr>
        <w:t>artnership between Moorfields and UCL IoO</w:t>
      </w:r>
      <w:bookmarkEnd w:id="67"/>
      <w:bookmarkEnd w:id="68"/>
    </w:p>
    <w:p w14:paraId="65D45706" w14:textId="77777777" w:rsidR="00E47761" w:rsidRPr="00587DF1" w:rsidRDefault="00E47761" w:rsidP="00E47761">
      <w:pPr>
        <w:spacing w:after="0"/>
        <w:rPr>
          <w:rFonts w:ascii="Arial" w:eastAsia="Arial" w:hAnsi="Arial" w:cs="Arial"/>
        </w:rPr>
      </w:pPr>
    </w:p>
    <w:p w14:paraId="1E1B6CA1" w14:textId="77777777" w:rsidR="00AE0FD0" w:rsidRPr="00587DF1" w:rsidRDefault="00AE0FD0" w:rsidP="00AE0FD0">
      <w:pPr>
        <w:rPr>
          <w:rFonts w:ascii="Arial" w:eastAsia="Arial" w:hAnsi="Arial" w:cs="Arial"/>
        </w:rPr>
      </w:pPr>
      <w:r w:rsidRPr="00587DF1">
        <w:rPr>
          <w:rFonts w:ascii="Arial" w:eastAsia="Arial" w:hAnsi="Arial" w:cs="Arial"/>
        </w:rPr>
        <w:t>The partnership between Moorfields and UCL IoO forms the largest single site for eye research and eye care in the world. The collaboration between the two organisations informs the clinical focus of the joint applied research programmes, and provides access for scientific staff to a vast population of patients for research and clinical trials.</w:t>
      </w:r>
    </w:p>
    <w:p w14:paraId="1D232219" w14:textId="77777777" w:rsidR="00AE0FD0" w:rsidRPr="00587DF1" w:rsidRDefault="00F655AE" w:rsidP="00AE0FD0">
      <w:pPr>
        <w:widowControl w:val="0"/>
        <w:spacing w:after="160" w:line="259" w:lineRule="auto"/>
        <w:rPr>
          <w:rFonts w:ascii="Arial" w:eastAsia="Arial" w:hAnsi="Arial" w:cs="Arial"/>
          <w:color w:val="000000"/>
        </w:rPr>
      </w:pPr>
      <w:r w:rsidRPr="00587DF1">
        <w:rPr>
          <w:rFonts w:ascii="Arial" w:eastAsia="Arial" w:hAnsi="Arial" w:cs="Arial"/>
          <w:color w:val="000000"/>
        </w:rPr>
        <w:t xml:space="preserve">Moorfields, UCL IoO and Moorfields Eye Charity </w:t>
      </w:r>
      <w:r w:rsidR="00AE0FD0" w:rsidRPr="00587DF1">
        <w:rPr>
          <w:rFonts w:ascii="Arial" w:eastAsia="Arial" w:hAnsi="Arial" w:cs="Arial"/>
          <w:color w:val="000000"/>
        </w:rPr>
        <w:t xml:space="preserve">work together to improve the experience for patients, staff and students across a whole range of activities. The </w:t>
      </w:r>
      <w:r w:rsidR="00657038" w:rsidRPr="00587DF1">
        <w:rPr>
          <w:rFonts w:ascii="Arial" w:eastAsia="Arial" w:hAnsi="Arial" w:cs="Arial"/>
          <w:color w:val="000000"/>
        </w:rPr>
        <w:t xml:space="preserve">partnership </w:t>
      </w:r>
      <w:r w:rsidR="00AE0FD0" w:rsidRPr="00587DF1">
        <w:rPr>
          <w:rFonts w:ascii="Arial" w:eastAsia="Arial" w:hAnsi="Arial" w:cs="Arial"/>
          <w:color w:val="000000"/>
        </w:rPr>
        <w:t>principles are:</w:t>
      </w:r>
    </w:p>
    <w:p w14:paraId="67DFE91A" w14:textId="77777777" w:rsidR="00AE0FD0" w:rsidRPr="00587DF1" w:rsidRDefault="00AE0FD0" w:rsidP="005E0D57">
      <w:pPr>
        <w:widowControl w:val="0"/>
        <w:numPr>
          <w:ilvl w:val="0"/>
          <w:numId w:val="7"/>
        </w:numPr>
        <w:spacing w:before="120" w:after="120" w:line="259" w:lineRule="auto"/>
        <w:ind w:left="714" w:hanging="357"/>
        <w:rPr>
          <w:rFonts w:ascii="Arial" w:eastAsia="Arial" w:hAnsi="Arial" w:cs="Arial"/>
          <w:color w:val="000000"/>
        </w:rPr>
      </w:pPr>
      <w:r w:rsidRPr="00587DF1">
        <w:rPr>
          <w:rFonts w:ascii="Arial" w:eastAsia="Arial" w:hAnsi="Arial" w:cs="Arial"/>
          <w:b/>
          <w:bCs/>
          <w:color w:val="000000"/>
        </w:rPr>
        <w:t>Committed to collaborate</w:t>
      </w:r>
      <w:r w:rsidRPr="00587DF1">
        <w:rPr>
          <w:rFonts w:ascii="Arial" w:eastAsia="Arial" w:hAnsi="Arial" w:cs="Arial"/>
          <w:bCs/>
          <w:color w:val="000000"/>
        </w:rPr>
        <w:t xml:space="preserve"> -</w:t>
      </w:r>
      <w:r w:rsidRPr="00587DF1">
        <w:rPr>
          <w:rFonts w:ascii="Arial" w:eastAsia="Arial" w:hAnsi="Arial" w:cs="Arial"/>
          <w:b/>
          <w:bCs/>
          <w:color w:val="000000"/>
        </w:rPr>
        <w:t xml:space="preserve"> </w:t>
      </w:r>
      <w:r w:rsidRPr="00587DF1">
        <w:rPr>
          <w:rFonts w:ascii="Arial" w:eastAsia="Arial" w:hAnsi="Arial" w:cs="Arial"/>
          <w:color w:val="000000"/>
        </w:rPr>
        <w:t>The partners will continuously evaluate the impact of their collaboration, reflecting on lessons learnt to continuously improve outcomes for all.</w:t>
      </w:r>
    </w:p>
    <w:p w14:paraId="13FE8A5A" w14:textId="77777777" w:rsidR="00AE0FD0" w:rsidRPr="00587DF1" w:rsidRDefault="00AE0FD0" w:rsidP="005E0D57">
      <w:pPr>
        <w:widowControl w:val="0"/>
        <w:numPr>
          <w:ilvl w:val="0"/>
          <w:numId w:val="7"/>
        </w:numPr>
        <w:spacing w:before="120" w:after="120" w:line="259" w:lineRule="auto"/>
        <w:ind w:left="714" w:hanging="357"/>
        <w:rPr>
          <w:rFonts w:ascii="Arial" w:eastAsia="Arial" w:hAnsi="Arial" w:cs="Arial"/>
          <w:color w:val="000000"/>
        </w:rPr>
      </w:pPr>
      <w:r w:rsidRPr="00587DF1">
        <w:rPr>
          <w:rFonts w:ascii="Arial" w:eastAsia="Arial" w:hAnsi="Arial" w:cs="Arial"/>
          <w:b/>
          <w:bCs/>
          <w:color w:val="000000"/>
        </w:rPr>
        <w:t>Effective and sustainable</w:t>
      </w:r>
      <w:r w:rsidRPr="00587DF1">
        <w:rPr>
          <w:rFonts w:ascii="Arial" w:eastAsia="Arial" w:hAnsi="Arial" w:cs="Arial"/>
          <w:bCs/>
          <w:color w:val="000000"/>
        </w:rPr>
        <w:t xml:space="preserve"> -</w:t>
      </w:r>
      <w:r w:rsidRPr="00587DF1">
        <w:rPr>
          <w:rFonts w:ascii="Arial" w:eastAsia="Arial" w:hAnsi="Arial" w:cs="Arial"/>
          <w:b/>
          <w:bCs/>
          <w:color w:val="000000"/>
        </w:rPr>
        <w:t xml:space="preserve"> </w:t>
      </w:r>
      <w:r w:rsidRPr="00587DF1">
        <w:rPr>
          <w:rFonts w:ascii="Arial" w:eastAsia="Arial" w:hAnsi="Arial" w:cs="Arial"/>
          <w:color w:val="000000"/>
        </w:rPr>
        <w:t>The partnership will operate in a way that delivers high quality education, research and clinical services within a sustainable system</w:t>
      </w:r>
      <w:r w:rsidRPr="00587DF1">
        <w:rPr>
          <w:rFonts w:ascii="Arial" w:eastAsia="Arial" w:hAnsi="Arial" w:cs="Arial"/>
          <w:b/>
          <w:bCs/>
          <w:color w:val="000000"/>
        </w:rPr>
        <w:t>.</w:t>
      </w:r>
    </w:p>
    <w:p w14:paraId="270E547F" w14:textId="77777777" w:rsidR="00AE0FD0" w:rsidRPr="00587DF1" w:rsidRDefault="00AE0FD0" w:rsidP="005E0D57">
      <w:pPr>
        <w:widowControl w:val="0"/>
        <w:numPr>
          <w:ilvl w:val="0"/>
          <w:numId w:val="7"/>
        </w:numPr>
        <w:spacing w:before="120" w:after="120" w:line="259" w:lineRule="auto"/>
        <w:ind w:left="714" w:hanging="357"/>
        <w:rPr>
          <w:rFonts w:ascii="Arial" w:eastAsia="Arial" w:hAnsi="Arial" w:cs="Arial"/>
          <w:color w:val="000000"/>
        </w:rPr>
      </w:pPr>
      <w:r w:rsidRPr="00587DF1">
        <w:rPr>
          <w:rFonts w:ascii="Arial" w:eastAsia="Arial" w:hAnsi="Arial" w:cs="Arial"/>
          <w:b/>
          <w:bCs/>
          <w:color w:val="000000"/>
        </w:rPr>
        <w:t xml:space="preserve">Harmonised and aligned </w:t>
      </w:r>
      <w:r w:rsidRPr="00587DF1">
        <w:rPr>
          <w:rFonts w:ascii="Arial" w:eastAsia="Arial" w:hAnsi="Arial" w:cs="Arial"/>
          <w:bCs/>
          <w:color w:val="000000"/>
        </w:rPr>
        <w:t xml:space="preserve">- </w:t>
      </w:r>
      <w:r w:rsidRPr="00587DF1">
        <w:rPr>
          <w:rFonts w:ascii="Arial" w:eastAsia="Arial" w:hAnsi="Arial" w:cs="Arial"/>
          <w:color w:val="000000"/>
        </w:rPr>
        <w:t>The</w:t>
      </w:r>
      <w:r w:rsidRPr="00587DF1">
        <w:rPr>
          <w:rFonts w:ascii="Arial" w:eastAsia="Arial" w:hAnsi="Arial" w:cs="Arial"/>
          <w:noProof/>
          <w:color w:val="000000"/>
        </w:rPr>
        <w:t xml:space="preserve"> </w:t>
      </w:r>
      <w:r w:rsidRPr="00587DF1">
        <w:rPr>
          <w:rFonts w:ascii="Arial" w:eastAsia="Arial" w:hAnsi="Arial" w:cs="Arial"/>
          <w:color w:val="000000"/>
        </w:rPr>
        <w:t xml:space="preserve">partnership’s work will support a culture of openness, integrity and </w:t>
      </w:r>
      <w:r w:rsidR="00FA2D12" w:rsidRPr="00587DF1">
        <w:rPr>
          <w:rFonts w:ascii="Arial" w:eastAsia="Arial" w:hAnsi="Arial" w:cs="Arial"/>
          <w:color w:val="000000"/>
        </w:rPr>
        <w:t>trust</w:t>
      </w:r>
      <w:r w:rsidRPr="00587DF1">
        <w:rPr>
          <w:rFonts w:ascii="Arial" w:eastAsia="Arial" w:hAnsi="Arial" w:cs="Arial"/>
          <w:color w:val="000000"/>
        </w:rPr>
        <w:t xml:space="preserve"> at all levels.</w:t>
      </w:r>
    </w:p>
    <w:p w14:paraId="6BCC4FA5" w14:textId="77777777" w:rsidR="00AE0FD0" w:rsidRPr="00587DF1" w:rsidRDefault="00AE0FD0" w:rsidP="005E0D57">
      <w:pPr>
        <w:widowControl w:val="0"/>
        <w:numPr>
          <w:ilvl w:val="0"/>
          <w:numId w:val="7"/>
        </w:numPr>
        <w:spacing w:before="120" w:after="120" w:line="259" w:lineRule="auto"/>
        <w:ind w:left="714" w:hanging="357"/>
        <w:rPr>
          <w:rFonts w:ascii="Arial" w:eastAsia="Arial" w:hAnsi="Arial" w:cs="Arial"/>
          <w:b/>
          <w:color w:val="000000"/>
        </w:rPr>
      </w:pPr>
      <w:r w:rsidRPr="00587DF1">
        <w:rPr>
          <w:rFonts w:ascii="Arial" w:eastAsia="Arial" w:hAnsi="Arial" w:cs="Arial"/>
          <w:b/>
          <w:color w:val="000000"/>
        </w:rPr>
        <w:t>Joint strategy</w:t>
      </w:r>
      <w:r w:rsidRPr="00587DF1">
        <w:rPr>
          <w:rFonts w:ascii="Arial" w:eastAsia="Arial" w:hAnsi="Arial" w:cs="Arial"/>
          <w:color w:val="000000"/>
        </w:rPr>
        <w:t xml:space="preserve"> -</w:t>
      </w:r>
      <w:r w:rsidRPr="00587DF1">
        <w:rPr>
          <w:rFonts w:ascii="Arial" w:eastAsia="Arial" w:hAnsi="Arial" w:cs="Arial"/>
          <w:b/>
          <w:color w:val="000000"/>
        </w:rPr>
        <w:t xml:space="preserve"> </w:t>
      </w:r>
      <w:r w:rsidRPr="00587DF1">
        <w:rPr>
          <w:rFonts w:ascii="Arial" w:eastAsia="Arial" w:hAnsi="Arial" w:cs="Arial"/>
          <w:color w:val="000000"/>
        </w:rPr>
        <w:t>The partnership will have a shared ambition with long term aims and measurable plans for achieving them.</w:t>
      </w:r>
    </w:p>
    <w:p w14:paraId="18186009" w14:textId="77777777" w:rsidR="00AE0FD0" w:rsidRPr="00587DF1" w:rsidRDefault="00AE0FD0" w:rsidP="005E0D57">
      <w:pPr>
        <w:widowControl w:val="0"/>
        <w:numPr>
          <w:ilvl w:val="0"/>
          <w:numId w:val="7"/>
        </w:numPr>
        <w:spacing w:before="120" w:after="120" w:line="259" w:lineRule="auto"/>
        <w:ind w:left="714" w:hanging="357"/>
        <w:rPr>
          <w:rFonts w:ascii="Arial" w:eastAsia="Arial" w:hAnsi="Arial" w:cs="Arial"/>
          <w:color w:val="000000"/>
        </w:rPr>
      </w:pPr>
      <w:r w:rsidRPr="00587DF1">
        <w:rPr>
          <w:rFonts w:ascii="Arial" w:eastAsia="Arial" w:hAnsi="Arial" w:cs="Arial"/>
          <w:b/>
          <w:bCs/>
          <w:color w:val="000000"/>
        </w:rPr>
        <w:t>Autonomous and independent</w:t>
      </w:r>
      <w:r w:rsidRPr="00587DF1">
        <w:rPr>
          <w:rFonts w:ascii="Arial" w:eastAsia="Arial" w:hAnsi="Arial" w:cs="Arial"/>
          <w:bCs/>
          <w:color w:val="000000"/>
        </w:rPr>
        <w:t xml:space="preserve"> -</w:t>
      </w:r>
      <w:r w:rsidRPr="00587DF1">
        <w:rPr>
          <w:rFonts w:ascii="Arial" w:eastAsia="Arial" w:hAnsi="Arial" w:cs="Arial"/>
          <w:b/>
          <w:bCs/>
          <w:color w:val="000000"/>
        </w:rPr>
        <w:t xml:space="preserve"> </w:t>
      </w:r>
      <w:r w:rsidRPr="00587DF1">
        <w:rPr>
          <w:rFonts w:ascii="Arial" w:eastAsia="Arial" w:hAnsi="Arial" w:cs="Arial"/>
          <w:color w:val="000000"/>
        </w:rPr>
        <w:t>The partnership recognises that members will have independent objectives and respects the requirement to act autonomously outside of the joint strategy</w:t>
      </w:r>
      <w:r w:rsidRPr="00587DF1">
        <w:rPr>
          <w:rFonts w:ascii="Arial" w:eastAsia="Arial" w:hAnsi="Arial" w:cs="Arial"/>
          <w:b/>
          <w:bCs/>
          <w:color w:val="000000"/>
        </w:rPr>
        <w:t>.</w:t>
      </w:r>
    </w:p>
    <w:p w14:paraId="7A28ECBE" w14:textId="77777777" w:rsidR="00AE0FD0" w:rsidRPr="00587DF1" w:rsidRDefault="00AE0FD0" w:rsidP="005E0D57">
      <w:pPr>
        <w:widowControl w:val="0"/>
        <w:numPr>
          <w:ilvl w:val="0"/>
          <w:numId w:val="7"/>
        </w:numPr>
        <w:spacing w:before="120" w:after="120" w:line="259" w:lineRule="auto"/>
        <w:ind w:left="714" w:hanging="357"/>
        <w:rPr>
          <w:rFonts w:ascii="Arial" w:eastAsia="Arial" w:hAnsi="Arial" w:cs="Arial"/>
          <w:color w:val="000000"/>
        </w:rPr>
      </w:pPr>
      <w:r w:rsidRPr="00587DF1">
        <w:rPr>
          <w:rFonts w:ascii="Arial" w:eastAsia="Arial" w:hAnsi="Arial" w:cs="Arial"/>
          <w:b/>
          <w:bCs/>
          <w:color w:val="000000"/>
        </w:rPr>
        <w:t>Flexible, resourceful and innovative</w:t>
      </w:r>
      <w:r w:rsidRPr="00587DF1">
        <w:rPr>
          <w:rFonts w:ascii="Arial" w:eastAsia="Arial" w:hAnsi="Arial" w:cs="Arial"/>
          <w:bCs/>
          <w:color w:val="000000"/>
        </w:rPr>
        <w:t xml:space="preserve"> - </w:t>
      </w:r>
      <w:r w:rsidRPr="00587DF1">
        <w:rPr>
          <w:rFonts w:ascii="Arial" w:eastAsia="Arial" w:hAnsi="Arial" w:cs="Arial"/>
          <w:color w:val="000000"/>
        </w:rPr>
        <w:t>The partners will proactively adapt and respond to emerging circumstances, embracing change while maximising effectiveness and productivity.</w:t>
      </w:r>
    </w:p>
    <w:p w14:paraId="0F0F2D10" w14:textId="77777777" w:rsidR="00AE0FD0" w:rsidRPr="00587DF1" w:rsidRDefault="00AE0FD0" w:rsidP="00AE0FD0">
      <w:pPr>
        <w:widowControl w:val="0"/>
        <w:spacing w:after="160" w:line="259" w:lineRule="auto"/>
        <w:rPr>
          <w:rFonts w:ascii="Arial" w:eastAsia="Arial" w:hAnsi="Arial" w:cs="Arial"/>
          <w:color w:val="000000"/>
        </w:rPr>
      </w:pPr>
      <w:r w:rsidRPr="00587DF1">
        <w:rPr>
          <w:rFonts w:ascii="Arial" w:eastAsia="Arial" w:hAnsi="Arial" w:cs="Arial"/>
          <w:color w:val="000000"/>
        </w:rPr>
        <w:t xml:space="preserve">The partnership has a cycle of innovation from basic research, through clinical research, onto translational research and ultimately into clinical practice; improving the clinical outcomes for patients. Oriel will be designed to facilitate greater interaction between clinicians, researchers and patients by removing the physical barriers that currently exist and creating an environment where innovation will flourish. This will reduce the time taken to implement new treatments and therapies and increase the number of patients taking part in clinical trials, further improving their clinical outcomes. </w:t>
      </w:r>
    </w:p>
    <w:p w14:paraId="544071FD" w14:textId="77777777" w:rsidR="00AE0FD0" w:rsidRPr="00587DF1" w:rsidRDefault="00AE0FD0" w:rsidP="00AE0FD0">
      <w:pPr>
        <w:widowControl w:val="0"/>
        <w:spacing w:after="160" w:line="259" w:lineRule="auto"/>
        <w:rPr>
          <w:rFonts w:ascii="Arial" w:eastAsia="Arial" w:hAnsi="Arial" w:cs="Arial"/>
          <w:color w:val="000000"/>
        </w:rPr>
      </w:pPr>
      <w:r w:rsidRPr="00587DF1">
        <w:rPr>
          <w:rFonts w:ascii="Arial" w:eastAsia="Arial" w:hAnsi="Arial" w:cs="Arial"/>
          <w:color w:val="000000"/>
        </w:rPr>
        <w:t>The principles are underpinned by a commitment to education, knowledge sharing and training tomorrow’s experts.</w:t>
      </w:r>
    </w:p>
    <w:p w14:paraId="4761D312" w14:textId="0D035C76" w:rsidR="00F655AE" w:rsidRPr="00587DF1" w:rsidRDefault="00F655AE" w:rsidP="00AE0FD0">
      <w:pPr>
        <w:widowControl w:val="0"/>
        <w:spacing w:after="160" w:line="259" w:lineRule="auto"/>
        <w:rPr>
          <w:rFonts w:ascii="Arial" w:eastAsia="Arial" w:hAnsi="Arial" w:cs="Arial"/>
          <w:color w:val="000000"/>
        </w:rPr>
      </w:pPr>
      <w:r w:rsidRPr="00587DF1">
        <w:rPr>
          <w:rFonts w:ascii="Arial" w:eastAsia="Arial" w:hAnsi="Arial" w:cs="Arial"/>
          <w:color w:val="000000"/>
        </w:rPr>
        <w:t xml:space="preserve">Further information on the partnership is included in Appendix </w:t>
      </w:r>
      <w:r w:rsidR="00AF5666">
        <w:rPr>
          <w:rFonts w:ascii="Arial" w:eastAsia="Arial" w:hAnsi="Arial" w:cs="Arial"/>
        </w:rPr>
        <w:t>3A</w:t>
      </w:r>
      <w:r w:rsidRPr="00587DF1">
        <w:rPr>
          <w:rFonts w:ascii="Arial" w:eastAsia="Arial" w:hAnsi="Arial" w:cs="Arial"/>
          <w:color w:val="000000"/>
        </w:rPr>
        <w:t>.</w:t>
      </w:r>
    </w:p>
    <w:p w14:paraId="0EEB436B" w14:textId="77777777" w:rsidR="00E47761" w:rsidRPr="00587DF1" w:rsidRDefault="00E47761" w:rsidP="00E47761">
      <w:pPr>
        <w:widowControl w:val="0"/>
        <w:spacing w:after="0" w:line="259" w:lineRule="auto"/>
        <w:rPr>
          <w:rFonts w:ascii="Arial" w:eastAsia="Arial" w:hAnsi="Arial" w:cs="Arial"/>
          <w:color w:val="000000"/>
        </w:rPr>
      </w:pPr>
    </w:p>
    <w:p w14:paraId="7286063B" w14:textId="77777777" w:rsidR="00E47761" w:rsidRPr="00587DF1" w:rsidRDefault="00E47761" w:rsidP="005E0D57">
      <w:pPr>
        <w:numPr>
          <w:ilvl w:val="2"/>
          <w:numId w:val="1"/>
        </w:numPr>
        <w:pBdr>
          <w:top w:val="nil"/>
          <w:left w:val="nil"/>
          <w:bottom w:val="nil"/>
          <w:right w:val="nil"/>
          <w:between w:val="nil"/>
        </w:pBdr>
        <w:spacing w:after="0"/>
        <w:ind w:left="567" w:hanging="567"/>
        <w:jc w:val="both"/>
        <w:rPr>
          <w:rFonts w:ascii="Arial" w:eastAsia="Arial" w:hAnsi="Arial" w:cs="Arial"/>
          <w:b/>
          <w:color w:val="000000"/>
        </w:rPr>
      </w:pPr>
      <w:r w:rsidRPr="00587DF1">
        <w:rPr>
          <w:rFonts w:ascii="Arial" w:eastAsia="Arial" w:hAnsi="Arial" w:cs="Arial"/>
          <w:b/>
          <w:color w:val="000000"/>
        </w:rPr>
        <w:t>Role of Moorfields Eye Charity</w:t>
      </w:r>
    </w:p>
    <w:p w14:paraId="1AAA05A3" w14:textId="77777777" w:rsidR="00326C20" w:rsidRPr="00587DF1" w:rsidRDefault="00326C20" w:rsidP="00326C20">
      <w:pPr>
        <w:spacing w:after="0"/>
        <w:rPr>
          <w:rFonts w:ascii="Arial" w:eastAsia="Arial" w:hAnsi="Arial" w:cs="Arial"/>
        </w:rPr>
      </w:pPr>
    </w:p>
    <w:p w14:paraId="07A70FF7" w14:textId="0B5BBDB0" w:rsidR="00B00B90" w:rsidRPr="00587DF1" w:rsidRDefault="00B00B90" w:rsidP="00B00B90">
      <w:pPr>
        <w:rPr>
          <w:rFonts w:ascii="Arial" w:eastAsia="Arial" w:hAnsi="Arial" w:cs="Arial"/>
        </w:rPr>
      </w:pPr>
      <w:r w:rsidRPr="00587DF1">
        <w:rPr>
          <w:rFonts w:ascii="Arial" w:eastAsia="Arial" w:hAnsi="Arial" w:cs="Arial"/>
        </w:rPr>
        <w:t xml:space="preserve">Moorfields Eye Charity (charity number 1140679) is an independent charity affiliated to support Moorfields Eye Hospital </w:t>
      </w:r>
      <w:r w:rsidR="00481D35">
        <w:rPr>
          <w:rFonts w:ascii="Arial" w:eastAsia="Arial" w:hAnsi="Arial" w:cs="Arial"/>
        </w:rPr>
        <w:t xml:space="preserve">NHS </w:t>
      </w:r>
      <w:r w:rsidRPr="00587DF1">
        <w:rPr>
          <w:rFonts w:ascii="Arial" w:eastAsia="Arial" w:hAnsi="Arial" w:cs="Arial"/>
        </w:rPr>
        <w:t xml:space="preserve">Foundation </w:t>
      </w:r>
      <w:r w:rsidR="00481D35">
        <w:rPr>
          <w:rFonts w:ascii="Arial" w:eastAsia="Arial" w:hAnsi="Arial" w:cs="Arial"/>
        </w:rPr>
        <w:t>T</w:t>
      </w:r>
      <w:r w:rsidR="00FA2D12" w:rsidRPr="00587DF1">
        <w:rPr>
          <w:rFonts w:ascii="Arial" w:eastAsia="Arial" w:hAnsi="Arial" w:cs="Arial"/>
        </w:rPr>
        <w:t>rust</w:t>
      </w:r>
      <w:r w:rsidRPr="00587DF1">
        <w:rPr>
          <w:rFonts w:ascii="Arial" w:eastAsia="Arial" w:hAnsi="Arial" w:cs="Arial"/>
        </w:rPr>
        <w:t xml:space="preserve"> by providing financial support through grant-making for: </w:t>
      </w:r>
    </w:p>
    <w:p w14:paraId="2F1C30BA" w14:textId="5E2608F8" w:rsidR="00B00B90" w:rsidRPr="00587DF1" w:rsidRDefault="00B00B90" w:rsidP="005E0D57">
      <w:pPr>
        <w:numPr>
          <w:ilvl w:val="0"/>
          <w:numId w:val="2"/>
        </w:numPr>
        <w:pBdr>
          <w:top w:val="nil"/>
          <w:left w:val="nil"/>
          <w:bottom w:val="nil"/>
          <w:right w:val="nil"/>
          <w:between w:val="nil"/>
        </w:pBdr>
        <w:spacing w:after="0"/>
        <w:rPr>
          <w:rFonts w:ascii="Arial" w:eastAsia="Arial" w:hAnsi="Arial" w:cs="Arial"/>
          <w:color w:val="000000"/>
        </w:rPr>
      </w:pPr>
      <w:r w:rsidRPr="00587DF1">
        <w:rPr>
          <w:rFonts w:ascii="Arial" w:eastAsia="Arial" w:hAnsi="Arial" w:cs="Arial"/>
          <w:color w:val="000000"/>
        </w:rPr>
        <w:t>New equipment</w:t>
      </w:r>
      <w:r w:rsidR="0025490F">
        <w:rPr>
          <w:rFonts w:ascii="Arial" w:eastAsia="Arial" w:hAnsi="Arial" w:cs="Arial"/>
          <w:color w:val="000000"/>
        </w:rPr>
        <w:t>.</w:t>
      </w:r>
    </w:p>
    <w:p w14:paraId="678619AC" w14:textId="1110E1ED" w:rsidR="00B00B90" w:rsidRPr="00587DF1" w:rsidRDefault="00B00B90" w:rsidP="005E0D57">
      <w:pPr>
        <w:numPr>
          <w:ilvl w:val="0"/>
          <w:numId w:val="2"/>
        </w:numPr>
        <w:pBdr>
          <w:top w:val="nil"/>
          <w:left w:val="nil"/>
          <w:bottom w:val="nil"/>
          <w:right w:val="nil"/>
          <w:between w:val="nil"/>
        </w:pBdr>
        <w:spacing w:after="0"/>
        <w:rPr>
          <w:rFonts w:ascii="Arial" w:eastAsia="Arial" w:hAnsi="Arial" w:cs="Arial"/>
          <w:color w:val="000000"/>
        </w:rPr>
      </w:pPr>
      <w:r w:rsidRPr="00587DF1">
        <w:rPr>
          <w:rFonts w:ascii="Arial" w:eastAsia="Arial" w:hAnsi="Arial" w:cs="Arial"/>
          <w:color w:val="000000"/>
        </w:rPr>
        <w:t>Pioneering research</w:t>
      </w:r>
      <w:r w:rsidR="0025490F">
        <w:rPr>
          <w:rFonts w:ascii="Arial" w:eastAsia="Arial" w:hAnsi="Arial" w:cs="Arial"/>
          <w:color w:val="000000"/>
        </w:rPr>
        <w:t>.</w:t>
      </w:r>
    </w:p>
    <w:p w14:paraId="1E93CDFA" w14:textId="659407D1" w:rsidR="00B00B90" w:rsidRPr="00587DF1" w:rsidRDefault="00B00B90" w:rsidP="005E0D57">
      <w:pPr>
        <w:numPr>
          <w:ilvl w:val="0"/>
          <w:numId w:val="2"/>
        </w:numPr>
        <w:pBdr>
          <w:top w:val="nil"/>
          <w:left w:val="nil"/>
          <w:bottom w:val="nil"/>
          <w:right w:val="nil"/>
          <w:between w:val="nil"/>
        </w:pBdr>
        <w:spacing w:after="0"/>
        <w:rPr>
          <w:rFonts w:ascii="Arial" w:eastAsia="Arial" w:hAnsi="Arial" w:cs="Arial"/>
          <w:color w:val="000000"/>
        </w:rPr>
      </w:pPr>
      <w:r w:rsidRPr="00587DF1">
        <w:rPr>
          <w:rFonts w:ascii="Arial" w:eastAsia="Arial" w:hAnsi="Arial" w:cs="Arial"/>
          <w:color w:val="000000"/>
        </w:rPr>
        <w:lastRenderedPageBreak/>
        <w:t>Training of current and future healthcare professionals</w:t>
      </w:r>
      <w:r w:rsidR="0025490F">
        <w:rPr>
          <w:rFonts w:ascii="Arial" w:eastAsia="Arial" w:hAnsi="Arial" w:cs="Arial"/>
          <w:color w:val="000000"/>
        </w:rPr>
        <w:t>.</w:t>
      </w:r>
    </w:p>
    <w:p w14:paraId="2751B847" w14:textId="23542D1F" w:rsidR="00B00B90" w:rsidRPr="00587DF1" w:rsidRDefault="00B00B90" w:rsidP="005E0D57">
      <w:pPr>
        <w:numPr>
          <w:ilvl w:val="0"/>
          <w:numId w:val="2"/>
        </w:numPr>
        <w:pBdr>
          <w:top w:val="nil"/>
          <w:left w:val="nil"/>
          <w:bottom w:val="nil"/>
          <w:right w:val="nil"/>
          <w:between w:val="nil"/>
        </w:pBdr>
        <w:spacing w:after="0"/>
        <w:rPr>
          <w:rFonts w:ascii="Arial" w:eastAsia="Arial" w:hAnsi="Arial" w:cs="Arial"/>
          <w:color w:val="000000"/>
        </w:rPr>
      </w:pPr>
      <w:r w:rsidRPr="00587DF1">
        <w:rPr>
          <w:rFonts w:ascii="Arial" w:eastAsia="Arial" w:hAnsi="Arial" w:cs="Arial"/>
          <w:color w:val="000000"/>
        </w:rPr>
        <w:t>Supporting the development of Moorfields’ staff to ensure the care they provide is outstanding</w:t>
      </w:r>
      <w:r w:rsidR="0025490F">
        <w:rPr>
          <w:rFonts w:ascii="Arial" w:eastAsia="Arial" w:hAnsi="Arial" w:cs="Arial"/>
          <w:color w:val="000000"/>
        </w:rPr>
        <w:t>.</w:t>
      </w:r>
    </w:p>
    <w:p w14:paraId="05174813" w14:textId="03643549" w:rsidR="00B00B90" w:rsidRPr="00587DF1" w:rsidRDefault="00B00B90" w:rsidP="005E0D57">
      <w:pPr>
        <w:numPr>
          <w:ilvl w:val="0"/>
          <w:numId w:val="2"/>
        </w:numPr>
        <w:pBdr>
          <w:top w:val="nil"/>
          <w:left w:val="nil"/>
          <w:bottom w:val="nil"/>
          <w:right w:val="nil"/>
          <w:between w:val="nil"/>
        </w:pBdr>
        <w:spacing w:after="0"/>
        <w:rPr>
          <w:rFonts w:ascii="Arial" w:eastAsia="Arial" w:hAnsi="Arial" w:cs="Arial"/>
          <w:color w:val="000000"/>
        </w:rPr>
      </w:pPr>
      <w:r w:rsidRPr="00587DF1">
        <w:rPr>
          <w:rFonts w:ascii="Arial" w:eastAsia="Arial" w:hAnsi="Arial" w:cs="Arial"/>
          <w:color w:val="000000"/>
        </w:rPr>
        <w:t>Public education about eye health</w:t>
      </w:r>
      <w:r w:rsidR="0025490F">
        <w:rPr>
          <w:rFonts w:ascii="Arial" w:eastAsia="Arial" w:hAnsi="Arial" w:cs="Arial"/>
          <w:color w:val="000000"/>
        </w:rPr>
        <w:t>.</w:t>
      </w:r>
    </w:p>
    <w:p w14:paraId="6934B0EE" w14:textId="4C6F49B4" w:rsidR="00B00B90" w:rsidRPr="00587DF1" w:rsidRDefault="00B00B90" w:rsidP="005E0D57">
      <w:pPr>
        <w:numPr>
          <w:ilvl w:val="0"/>
          <w:numId w:val="2"/>
        </w:numPr>
        <w:pBdr>
          <w:top w:val="nil"/>
          <w:left w:val="nil"/>
          <w:bottom w:val="nil"/>
          <w:right w:val="nil"/>
          <w:between w:val="nil"/>
        </w:pBdr>
        <w:spacing w:after="0"/>
        <w:rPr>
          <w:rFonts w:ascii="Arial" w:eastAsia="Arial" w:hAnsi="Arial" w:cs="Arial"/>
          <w:color w:val="000000"/>
        </w:rPr>
      </w:pPr>
      <w:r w:rsidRPr="00587DF1">
        <w:rPr>
          <w:rFonts w:ascii="Arial" w:eastAsia="Arial" w:hAnsi="Arial" w:cs="Arial"/>
          <w:color w:val="000000"/>
        </w:rPr>
        <w:t>Improving the experience for Moorfields patients and their families</w:t>
      </w:r>
      <w:r w:rsidR="0025490F">
        <w:rPr>
          <w:rFonts w:ascii="Arial" w:eastAsia="Arial" w:hAnsi="Arial" w:cs="Arial"/>
          <w:color w:val="000000"/>
        </w:rPr>
        <w:t>.</w:t>
      </w:r>
    </w:p>
    <w:p w14:paraId="257484DC" w14:textId="77777777" w:rsidR="00B00B90" w:rsidRPr="00587DF1" w:rsidRDefault="00B00B90" w:rsidP="00B00B90">
      <w:pPr>
        <w:spacing w:after="0"/>
        <w:rPr>
          <w:rFonts w:ascii="Arial" w:eastAsia="Arial" w:hAnsi="Arial" w:cs="Arial"/>
        </w:rPr>
      </w:pPr>
    </w:p>
    <w:p w14:paraId="0219C311" w14:textId="77777777" w:rsidR="001871DB" w:rsidRPr="00587DF1" w:rsidRDefault="00B00B90" w:rsidP="00B00B90">
      <w:pPr>
        <w:spacing w:after="0"/>
        <w:rPr>
          <w:rFonts w:ascii="Arial" w:eastAsia="Arial" w:hAnsi="Arial" w:cs="Arial"/>
        </w:rPr>
      </w:pPr>
      <w:r w:rsidRPr="00587DF1">
        <w:rPr>
          <w:rFonts w:ascii="Arial" w:eastAsia="Arial" w:hAnsi="Arial" w:cs="Arial"/>
        </w:rPr>
        <w:t>Moorfields Eye Charity’s key strategic priority is to create a world class integrated care, teaching and research facility in partnership with Moorfields and its research partner, UCL.</w:t>
      </w:r>
      <w:r w:rsidR="00F655AE" w:rsidRPr="00587DF1">
        <w:rPr>
          <w:rFonts w:ascii="Arial" w:eastAsia="Arial" w:hAnsi="Arial" w:cs="Arial"/>
        </w:rPr>
        <w:t xml:space="preserve"> </w:t>
      </w:r>
      <w:r w:rsidR="001871DB" w:rsidRPr="00587DF1">
        <w:rPr>
          <w:rFonts w:ascii="Arial" w:eastAsia="Arial" w:hAnsi="Arial" w:cs="Arial"/>
        </w:rPr>
        <w:t>The Moorfields CEO, Medical Director and Director of Strategy are nominated trustees of the Moorfields Eye Charity, which strengthens the organisations’ ability to work in partnership.</w:t>
      </w:r>
    </w:p>
    <w:p w14:paraId="315D202B" w14:textId="77777777" w:rsidR="00B00B90" w:rsidRPr="00587DF1" w:rsidRDefault="00B00B90" w:rsidP="00B00B90">
      <w:pPr>
        <w:spacing w:after="0"/>
        <w:rPr>
          <w:rFonts w:ascii="Arial" w:eastAsia="Arial" w:hAnsi="Arial" w:cs="Arial"/>
        </w:rPr>
      </w:pPr>
    </w:p>
    <w:p w14:paraId="5CA7E5EB" w14:textId="0ABA263F" w:rsidR="00F655AE" w:rsidRPr="00587DF1" w:rsidRDefault="00B00B90" w:rsidP="00E47761">
      <w:pPr>
        <w:rPr>
          <w:rFonts w:ascii="Arial" w:eastAsia="Arial" w:hAnsi="Arial" w:cs="Arial"/>
        </w:rPr>
      </w:pPr>
      <w:r w:rsidRPr="00587DF1">
        <w:rPr>
          <w:rFonts w:ascii="Arial" w:eastAsia="Arial" w:hAnsi="Arial" w:cs="Arial"/>
        </w:rPr>
        <w:t xml:space="preserve">Alongside UCL’s charitable arm, the Office Vice-Provost (Advancement) (OVPA), </w:t>
      </w:r>
      <w:r w:rsidR="00481D35">
        <w:rPr>
          <w:rFonts w:ascii="Arial" w:eastAsia="Arial" w:hAnsi="Arial" w:cs="Arial"/>
        </w:rPr>
        <w:t>Moorfields Eye</w:t>
      </w:r>
      <w:r w:rsidRPr="00587DF1">
        <w:rPr>
          <w:rFonts w:ascii="Arial" w:eastAsia="Arial" w:hAnsi="Arial" w:cs="Arial"/>
        </w:rPr>
        <w:t xml:space="preserve"> Charity has formally committed to raising £</w:t>
      </w:r>
      <w:r w:rsidR="002B2926">
        <w:rPr>
          <w:rFonts w:ascii="Arial" w:eastAsia="Arial" w:hAnsi="Arial" w:cs="Arial"/>
        </w:rPr>
        <w:t>XXX</w:t>
      </w:r>
      <w:r w:rsidRPr="00587DF1">
        <w:rPr>
          <w:rFonts w:ascii="Arial" w:eastAsia="Arial" w:hAnsi="Arial" w:cs="Arial"/>
        </w:rPr>
        <w:t xml:space="preserve">m of funds to contribute towards Oriel and its research aims. </w:t>
      </w:r>
      <w:r w:rsidR="002936CF">
        <w:rPr>
          <w:rFonts w:ascii="Arial" w:eastAsia="Arial" w:hAnsi="Arial" w:cs="Arial"/>
        </w:rPr>
        <w:t xml:space="preserve">The charity’s contribution to the Moorfields portion of Oriel </w:t>
      </w:r>
      <w:r w:rsidRPr="00587DF1">
        <w:rPr>
          <w:rFonts w:ascii="Arial" w:eastAsia="Arial" w:hAnsi="Arial" w:cs="Arial"/>
        </w:rPr>
        <w:t>is detailed in</w:t>
      </w:r>
      <w:r w:rsidR="000E6ECA">
        <w:rPr>
          <w:rFonts w:ascii="Arial" w:eastAsia="Arial" w:hAnsi="Arial" w:cs="Arial"/>
        </w:rPr>
        <w:t xml:space="preserve"> </w:t>
      </w:r>
      <w:r w:rsidRPr="00587DF1">
        <w:rPr>
          <w:rFonts w:ascii="Arial" w:eastAsia="Arial" w:hAnsi="Arial" w:cs="Arial"/>
        </w:rPr>
        <w:t xml:space="preserve">the Finance Case. The CEO of Moorfields Eye </w:t>
      </w:r>
      <w:r w:rsidR="00725971" w:rsidRPr="00587DF1">
        <w:rPr>
          <w:rFonts w:ascii="Arial" w:eastAsia="Arial" w:hAnsi="Arial" w:cs="Arial"/>
        </w:rPr>
        <w:t>Charity</w:t>
      </w:r>
      <w:r w:rsidRPr="00587DF1">
        <w:rPr>
          <w:rFonts w:ascii="Arial" w:eastAsia="Arial" w:hAnsi="Arial" w:cs="Arial"/>
        </w:rPr>
        <w:t xml:space="preserve"> attends the joint Oriel Executive Board, and the </w:t>
      </w:r>
      <w:r w:rsidR="00FA2D12" w:rsidRPr="00587DF1">
        <w:rPr>
          <w:rFonts w:ascii="Arial" w:eastAsia="Arial" w:hAnsi="Arial" w:cs="Arial"/>
        </w:rPr>
        <w:t>trust</w:t>
      </w:r>
      <w:r w:rsidRPr="00587DF1">
        <w:rPr>
          <w:rFonts w:ascii="Arial" w:eastAsia="Arial" w:hAnsi="Arial" w:cs="Arial"/>
        </w:rPr>
        <w:t xml:space="preserve"> and Charity work closely together to ensure project objectives and fundraising targets remain aligned.</w:t>
      </w:r>
    </w:p>
    <w:p w14:paraId="302C401D" w14:textId="77777777" w:rsidR="00F655AE" w:rsidRPr="00587DF1" w:rsidRDefault="00F655AE" w:rsidP="00A53AD9">
      <w:pPr>
        <w:spacing w:after="0"/>
        <w:rPr>
          <w:rFonts w:ascii="Arial" w:eastAsia="Arial" w:hAnsi="Arial" w:cs="Arial"/>
        </w:rPr>
      </w:pPr>
    </w:p>
    <w:p w14:paraId="2CA466E9" w14:textId="77777777" w:rsidR="00C01CEF" w:rsidRPr="00587DF1" w:rsidRDefault="00C01CEF" w:rsidP="005E0D57">
      <w:pPr>
        <w:pStyle w:val="Heading2"/>
        <w:numPr>
          <w:ilvl w:val="1"/>
          <w:numId w:val="1"/>
        </w:numPr>
        <w:rPr>
          <w:rFonts w:ascii="Arial" w:eastAsia="Arial" w:hAnsi="Arial" w:cs="Arial"/>
        </w:rPr>
      </w:pPr>
      <w:bookmarkStart w:id="69" w:name="_Toc32842681"/>
      <w:r w:rsidRPr="00587DF1">
        <w:rPr>
          <w:rFonts w:ascii="Arial" w:eastAsia="Arial" w:hAnsi="Arial" w:cs="Arial"/>
        </w:rPr>
        <w:t>Stakeholder engagement</w:t>
      </w:r>
      <w:bookmarkEnd w:id="69"/>
    </w:p>
    <w:p w14:paraId="3A0CD256" w14:textId="77777777" w:rsidR="00A53AD9" w:rsidRPr="00587DF1" w:rsidRDefault="00A53AD9" w:rsidP="00F655AE">
      <w:pPr>
        <w:spacing w:after="0"/>
        <w:rPr>
          <w:rFonts w:ascii="Arial" w:eastAsia="Arial" w:hAnsi="Arial" w:cs="Arial"/>
        </w:rPr>
      </w:pPr>
    </w:p>
    <w:p w14:paraId="18EDF0FB" w14:textId="77777777" w:rsidR="00F655AE" w:rsidRPr="00587DF1" w:rsidRDefault="00F655AE" w:rsidP="00F655AE">
      <w:pPr>
        <w:spacing w:after="0"/>
        <w:rPr>
          <w:rFonts w:ascii="Arial" w:eastAsia="Arial" w:hAnsi="Arial" w:cs="Arial"/>
        </w:rPr>
      </w:pPr>
      <w:r w:rsidRPr="00587DF1">
        <w:rPr>
          <w:rFonts w:ascii="Arial" w:eastAsia="Arial" w:hAnsi="Arial" w:cs="Arial"/>
        </w:rPr>
        <w:t>The case for change, investment objectives and options have been developed with significant involvement from stakeholders</w:t>
      </w:r>
      <w:r w:rsidR="00C01CEF" w:rsidRPr="00587DF1">
        <w:rPr>
          <w:rFonts w:ascii="Arial" w:eastAsia="Arial" w:hAnsi="Arial" w:cs="Arial"/>
        </w:rPr>
        <w:t>, including</w:t>
      </w:r>
      <w:r w:rsidRPr="00587DF1">
        <w:rPr>
          <w:rFonts w:ascii="Arial" w:eastAsia="Arial" w:hAnsi="Arial" w:cs="Arial"/>
        </w:rPr>
        <w:t>:</w:t>
      </w:r>
    </w:p>
    <w:p w14:paraId="7B428873" w14:textId="77777777" w:rsidR="00C01CEF" w:rsidRPr="00587DF1" w:rsidRDefault="00C01CEF" w:rsidP="00F655AE">
      <w:pPr>
        <w:spacing w:after="0"/>
        <w:rPr>
          <w:rFonts w:ascii="Arial" w:eastAsia="Arial" w:hAnsi="Arial" w:cs="Arial"/>
          <w:highlight w:val="yellow"/>
        </w:rPr>
      </w:pPr>
    </w:p>
    <w:p w14:paraId="4279979E" w14:textId="28870196" w:rsidR="00B37104" w:rsidRDefault="00B37104" w:rsidP="00B37104">
      <w:pPr>
        <w:pStyle w:val="Caption"/>
      </w:pPr>
      <w:r>
        <w:t xml:space="preserve">Table </w:t>
      </w:r>
      <w:r>
        <w:fldChar w:fldCharType="begin"/>
      </w:r>
      <w:r>
        <w:instrText xml:space="preserve"> SEQ Table \* ARABIC </w:instrText>
      </w:r>
      <w:r>
        <w:fldChar w:fldCharType="separate"/>
      </w:r>
      <w:r w:rsidR="00A936CD">
        <w:rPr>
          <w:noProof/>
        </w:rPr>
        <w:t>10</w:t>
      </w:r>
      <w:r>
        <w:fldChar w:fldCharType="end"/>
      </w:r>
      <w:r>
        <w:t xml:space="preserve">: </w:t>
      </w:r>
      <w:r w:rsidRPr="002F239F">
        <w:rPr>
          <w:b w:val="0"/>
          <w:bCs w:val="0"/>
        </w:rPr>
        <w:t xml:space="preserve">Stakeholder involvement in developing the </w:t>
      </w:r>
      <w:r>
        <w:rPr>
          <w:b w:val="0"/>
          <w:bCs w:val="0"/>
        </w:rPr>
        <w:t>OBC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6944"/>
      </w:tblGrid>
      <w:tr w:rsidR="0025490F" w:rsidRPr="0025490F" w14:paraId="52E7A9D4" w14:textId="77777777" w:rsidTr="0025490F">
        <w:tc>
          <w:tcPr>
            <w:tcW w:w="2093" w:type="dxa"/>
            <w:shd w:val="clear" w:color="auto" w:fill="4F81BD"/>
          </w:tcPr>
          <w:p w14:paraId="4DBA5B58" w14:textId="77777777" w:rsidR="00C01CEF" w:rsidRPr="0025490F" w:rsidRDefault="00C01CEF" w:rsidP="001A3620">
            <w:pPr>
              <w:spacing w:after="0"/>
              <w:rPr>
                <w:rFonts w:ascii="Arial" w:eastAsia="Arial" w:hAnsi="Arial" w:cs="Arial"/>
                <w:b/>
                <w:bCs/>
                <w:color w:val="FFFFFF" w:themeColor="background1"/>
              </w:rPr>
            </w:pPr>
            <w:r w:rsidRPr="0025490F">
              <w:rPr>
                <w:rFonts w:ascii="Arial" w:eastAsia="Arial" w:hAnsi="Arial" w:cs="Arial"/>
                <w:b/>
                <w:bCs/>
                <w:color w:val="FFFFFF" w:themeColor="background1"/>
              </w:rPr>
              <w:t>Engagement undertaken</w:t>
            </w:r>
          </w:p>
        </w:tc>
        <w:tc>
          <w:tcPr>
            <w:tcW w:w="7149" w:type="dxa"/>
            <w:shd w:val="clear" w:color="auto" w:fill="4F81BD"/>
          </w:tcPr>
          <w:p w14:paraId="014F1BBC" w14:textId="77777777" w:rsidR="00C01CEF" w:rsidRPr="0025490F" w:rsidRDefault="00C01CEF" w:rsidP="001A3620">
            <w:pPr>
              <w:spacing w:after="0"/>
              <w:rPr>
                <w:rFonts w:ascii="Arial" w:eastAsia="Arial" w:hAnsi="Arial" w:cs="Arial"/>
                <w:b/>
                <w:bCs/>
                <w:color w:val="FFFFFF" w:themeColor="background1"/>
              </w:rPr>
            </w:pPr>
            <w:r w:rsidRPr="0025490F">
              <w:rPr>
                <w:rFonts w:ascii="Arial" w:eastAsia="Arial" w:hAnsi="Arial" w:cs="Arial"/>
                <w:b/>
                <w:bCs/>
                <w:color w:val="FFFFFF" w:themeColor="background1"/>
              </w:rPr>
              <w:t>Description</w:t>
            </w:r>
          </w:p>
        </w:tc>
      </w:tr>
      <w:tr w:rsidR="00C01CEF" w:rsidRPr="00587DF1" w14:paraId="727B744C" w14:textId="77777777" w:rsidTr="00BC5C16">
        <w:tc>
          <w:tcPr>
            <w:tcW w:w="2093" w:type="dxa"/>
          </w:tcPr>
          <w:p w14:paraId="1C6AFC24" w14:textId="77777777" w:rsidR="00C01CEF" w:rsidRPr="00587DF1" w:rsidRDefault="00C01CEF" w:rsidP="001A3620">
            <w:pPr>
              <w:spacing w:after="0"/>
              <w:rPr>
                <w:rFonts w:ascii="Arial" w:eastAsia="Arial" w:hAnsi="Arial" w:cs="Arial"/>
              </w:rPr>
            </w:pPr>
            <w:r w:rsidRPr="00587DF1">
              <w:rPr>
                <w:rFonts w:ascii="Arial" w:eastAsia="Arial" w:hAnsi="Arial" w:cs="Arial"/>
              </w:rPr>
              <w:t>Commissioner engagement</w:t>
            </w:r>
          </w:p>
        </w:tc>
        <w:tc>
          <w:tcPr>
            <w:tcW w:w="7149" w:type="dxa"/>
          </w:tcPr>
          <w:p w14:paraId="4F57B304" w14:textId="52D8EAC5" w:rsidR="00C01CEF" w:rsidRPr="00587DF1" w:rsidRDefault="00C01CEF" w:rsidP="001A3620">
            <w:pPr>
              <w:spacing w:after="0"/>
              <w:rPr>
                <w:rFonts w:ascii="Arial" w:eastAsia="Arial" w:hAnsi="Arial" w:cs="Arial"/>
              </w:rPr>
            </w:pPr>
            <w:r w:rsidRPr="00587DF1">
              <w:rPr>
                <w:rFonts w:ascii="Arial" w:eastAsia="Arial" w:hAnsi="Arial" w:cs="Arial"/>
              </w:rPr>
              <w:t>NHS England Specialised Commissioning and the 14 CCG</w:t>
            </w:r>
            <w:r w:rsidR="000E6ECA">
              <w:rPr>
                <w:rFonts w:ascii="Arial" w:eastAsia="Arial" w:hAnsi="Arial" w:cs="Arial"/>
              </w:rPr>
              <w:t>s</w:t>
            </w:r>
            <w:r w:rsidRPr="00587DF1">
              <w:rPr>
                <w:rFonts w:ascii="Arial" w:eastAsia="Arial" w:hAnsi="Arial" w:cs="Arial"/>
              </w:rPr>
              <w:t xml:space="preserve"> who commission over £2m of activity p.a. from City Road have been engaged throughout the development of proposals, and have led the public consultation process. </w:t>
            </w:r>
            <w:r w:rsidR="0004407D">
              <w:rPr>
                <w:rFonts w:ascii="Arial" w:eastAsia="Arial" w:hAnsi="Arial" w:cs="Arial"/>
              </w:rPr>
              <w:t>L</w:t>
            </w:r>
            <w:r w:rsidRPr="00587DF1">
              <w:rPr>
                <w:rFonts w:ascii="Arial" w:eastAsia="Arial" w:hAnsi="Arial" w:cs="Arial"/>
              </w:rPr>
              <w:t>etter</w:t>
            </w:r>
            <w:r w:rsidR="0004407D">
              <w:rPr>
                <w:rFonts w:ascii="Arial" w:eastAsia="Arial" w:hAnsi="Arial" w:cs="Arial"/>
              </w:rPr>
              <w:t>s</w:t>
            </w:r>
            <w:r w:rsidRPr="00587DF1">
              <w:rPr>
                <w:rFonts w:ascii="Arial" w:eastAsia="Arial" w:hAnsi="Arial" w:cs="Arial"/>
              </w:rPr>
              <w:t xml:space="preserve"> of support </w:t>
            </w:r>
            <w:r w:rsidR="0004407D">
              <w:rPr>
                <w:rFonts w:ascii="Arial" w:eastAsia="Arial" w:hAnsi="Arial" w:cs="Arial"/>
              </w:rPr>
              <w:t xml:space="preserve">are </w:t>
            </w:r>
            <w:r w:rsidRPr="00587DF1">
              <w:rPr>
                <w:rFonts w:ascii="Arial" w:eastAsia="Arial" w:hAnsi="Arial" w:cs="Arial"/>
              </w:rPr>
              <w:t xml:space="preserve">included at Appendix </w:t>
            </w:r>
            <w:r w:rsidR="0004407D">
              <w:rPr>
                <w:rFonts w:ascii="Arial" w:eastAsia="Arial" w:hAnsi="Arial" w:cs="Arial"/>
              </w:rPr>
              <w:t>3E</w:t>
            </w:r>
            <w:r w:rsidRPr="00587DF1">
              <w:rPr>
                <w:rFonts w:ascii="Arial" w:eastAsia="Arial" w:hAnsi="Arial" w:cs="Arial"/>
              </w:rPr>
              <w:t>.</w:t>
            </w:r>
          </w:p>
        </w:tc>
      </w:tr>
      <w:tr w:rsidR="00C01CEF" w:rsidRPr="00587DF1" w14:paraId="521EE696" w14:textId="77777777" w:rsidTr="00BC5C16">
        <w:tc>
          <w:tcPr>
            <w:tcW w:w="2093" w:type="dxa"/>
          </w:tcPr>
          <w:p w14:paraId="05296B45" w14:textId="77777777" w:rsidR="00C01CEF" w:rsidRPr="00587DF1" w:rsidRDefault="00C01CEF" w:rsidP="001A3620">
            <w:pPr>
              <w:spacing w:after="0"/>
              <w:rPr>
                <w:rFonts w:ascii="Arial" w:eastAsia="Arial" w:hAnsi="Arial" w:cs="Arial"/>
              </w:rPr>
            </w:pPr>
            <w:r w:rsidRPr="00587DF1">
              <w:rPr>
                <w:rFonts w:ascii="Arial" w:eastAsia="Arial" w:hAnsi="Arial" w:cs="Arial"/>
              </w:rPr>
              <w:t>Pre-consultation engagement</w:t>
            </w:r>
          </w:p>
        </w:tc>
        <w:tc>
          <w:tcPr>
            <w:tcW w:w="7149" w:type="dxa"/>
          </w:tcPr>
          <w:p w14:paraId="2104D9A9" w14:textId="77777777" w:rsidR="00C01CEF" w:rsidRPr="00587DF1" w:rsidRDefault="00C01CEF" w:rsidP="001A3620">
            <w:pPr>
              <w:spacing w:after="0"/>
              <w:rPr>
                <w:rFonts w:ascii="Arial" w:eastAsia="Arial" w:hAnsi="Arial" w:cs="Arial"/>
              </w:rPr>
            </w:pPr>
            <w:r w:rsidRPr="00587DF1">
              <w:rPr>
                <w:rFonts w:ascii="Arial" w:eastAsia="Arial" w:hAnsi="Arial" w:cs="Arial"/>
                <w:lang w:val="en-US"/>
              </w:rPr>
              <w:t>Between 2013 and 2019 there were five phases of engagement, generating 1,700 responses. The feedback received was used to build the case for change, particularly in relation to the poor patient experience. The trust received detailed feedback from patients, staff and the public relating to the changes they would like to see at City Road. This indicated broad support for the proposal to move services from City Road to a new facility, to address the issues set out above.</w:t>
            </w:r>
          </w:p>
        </w:tc>
      </w:tr>
      <w:tr w:rsidR="00C01CEF" w:rsidRPr="00587DF1" w14:paraId="1D34D686" w14:textId="77777777" w:rsidTr="00BC5C16">
        <w:tc>
          <w:tcPr>
            <w:tcW w:w="2093" w:type="dxa"/>
          </w:tcPr>
          <w:p w14:paraId="0680D932" w14:textId="77777777" w:rsidR="00C01CEF" w:rsidRPr="00587DF1" w:rsidRDefault="00C01CEF" w:rsidP="001A3620">
            <w:pPr>
              <w:spacing w:after="0"/>
              <w:rPr>
                <w:rFonts w:ascii="Arial" w:eastAsia="Arial" w:hAnsi="Arial" w:cs="Arial"/>
              </w:rPr>
            </w:pPr>
            <w:r w:rsidRPr="00587DF1">
              <w:rPr>
                <w:rFonts w:ascii="Arial" w:eastAsia="Arial" w:hAnsi="Arial" w:cs="Arial"/>
              </w:rPr>
              <w:t>Public consultation</w:t>
            </w:r>
          </w:p>
        </w:tc>
        <w:tc>
          <w:tcPr>
            <w:tcW w:w="7149" w:type="dxa"/>
          </w:tcPr>
          <w:p w14:paraId="1818F855" w14:textId="7154E4DC" w:rsidR="00A53AD9" w:rsidRPr="00587DF1" w:rsidRDefault="00C01CEF" w:rsidP="001A3620">
            <w:pPr>
              <w:spacing w:after="0"/>
              <w:rPr>
                <w:rFonts w:ascii="Arial" w:eastAsia="Arial" w:hAnsi="Arial" w:cs="Arial"/>
              </w:rPr>
            </w:pPr>
            <w:r w:rsidRPr="00587DF1">
              <w:rPr>
                <w:rFonts w:ascii="Arial" w:eastAsia="Arial" w:hAnsi="Arial" w:cs="Arial"/>
              </w:rPr>
              <w:t xml:space="preserve">The 16-week consultation received over 4,600 responses, and confirmed support for the proposal (with 73% of survey respondents agreeing that a new centre is needed). Further detailed feedback was received about the difficulties and anxiety associated with visiting the City Road site, which is reflected in section </w:t>
            </w:r>
            <w:r w:rsidRPr="00587DF1">
              <w:rPr>
                <w:rFonts w:ascii="Arial" w:eastAsia="Arial" w:hAnsi="Arial" w:cs="Arial"/>
              </w:rPr>
              <w:fldChar w:fldCharType="begin"/>
            </w:r>
            <w:r w:rsidRPr="00587DF1">
              <w:rPr>
                <w:rFonts w:ascii="Arial" w:eastAsia="Arial" w:hAnsi="Arial" w:cs="Arial"/>
              </w:rPr>
              <w:instrText xml:space="preserve"> REF _Ref24699418 \r \h </w:instrText>
            </w:r>
            <w:r w:rsidR="00587DF1">
              <w:rPr>
                <w:rFonts w:ascii="Arial" w:eastAsia="Arial" w:hAnsi="Arial" w:cs="Arial"/>
              </w:rPr>
              <w:instrText xml:space="preserve"> \* MERGEFORMAT </w:instrText>
            </w:r>
            <w:r w:rsidRPr="00587DF1">
              <w:rPr>
                <w:rFonts w:ascii="Arial" w:eastAsia="Arial" w:hAnsi="Arial" w:cs="Arial"/>
              </w:rPr>
            </w:r>
            <w:r w:rsidRPr="00587DF1">
              <w:rPr>
                <w:rFonts w:ascii="Arial" w:eastAsia="Arial" w:hAnsi="Arial" w:cs="Arial"/>
              </w:rPr>
              <w:fldChar w:fldCharType="separate"/>
            </w:r>
            <w:r w:rsidR="00A936CD">
              <w:rPr>
                <w:rFonts w:ascii="Arial" w:eastAsia="Arial" w:hAnsi="Arial" w:cs="Arial"/>
              </w:rPr>
              <w:t>3.10.1</w:t>
            </w:r>
            <w:r w:rsidRPr="00587DF1">
              <w:rPr>
                <w:rFonts w:ascii="Arial" w:eastAsia="Arial" w:hAnsi="Arial" w:cs="Arial"/>
              </w:rPr>
              <w:fldChar w:fldCharType="end"/>
            </w:r>
            <w:r w:rsidRPr="00587DF1">
              <w:rPr>
                <w:rFonts w:ascii="Arial" w:eastAsia="Arial" w:hAnsi="Arial" w:cs="Arial"/>
              </w:rPr>
              <w:t>.</w:t>
            </w:r>
          </w:p>
          <w:p w14:paraId="10FB8BF4" w14:textId="0FF78BBD" w:rsidR="00A53AD9" w:rsidRPr="00587DF1" w:rsidRDefault="00A53AD9" w:rsidP="001A3620">
            <w:pPr>
              <w:spacing w:after="0"/>
              <w:rPr>
                <w:rFonts w:ascii="Arial" w:eastAsia="Arial" w:hAnsi="Arial" w:cs="Arial"/>
              </w:rPr>
            </w:pPr>
            <w:r w:rsidRPr="00587DF1">
              <w:rPr>
                <w:rFonts w:ascii="Arial" w:eastAsia="Arial" w:hAnsi="Arial" w:cs="Arial"/>
              </w:rPr>
              <w:t xml:space="preserve">The public consultation is described in section </w:t>
            </w:r>
            <w:r w:rsidRPr="00587DF1">
              <w:rPr>
                <w:rFonts w:ascii="Arial" w:eastAsia="Arial" w:hAnsi="Arial" w:cs="Arial"/>
              </w:rPr>
              <w:fldChar w:fldCharType="begin"/>
            </w:r>
            <w:r w:rsidRPr="00587DF1">
              <w:rPr>
                <w:rFonts w:ascii="Arial" w:eastAsia="Arial" w:hAnsi="Arial" w:cs="Arial"/>
              </w:rPr>
              <w:instrText xml:space="preserve"> REF _Ref24699972 \r \h </w:instrText>
            </w:r>
            <w:r w:rsidR="00587DF1">
              <w:rPr>
                <w:rFonts w:ascii="Arial" w:eastAsia="Arial" w:hAnsi="Arial" w:cs="Arial"/>
              </w:rPr>
              <w:instrText xml:space="preserve"> \* MERGEFORMAT </w:instrText>
            </w:r>
            <w:r w:rsidRPr="00587DF1">
              <w:rPr>
                <w:rFonts w:ascii="Arial" w:eastAsia="Arial" w:hAnsi="Arial" w:cs="Arial"/>
              </w:rPr>
            </w:r>
            <w:r w:rsidRPr="00587DF1">
              <w:rPr>
                <w:rFonts w:ascii="Arial" w:eastAsia="Arial" w:hAnsi="Arial" w:cs="Arial"/>
              </w:rPr>
              <w:fldChar w:fldCharType="separate"/>
            </w:r>
            <w:r w:rsidR="00A936CD">
              <w:rPr>
                <w:rFonts w:ascii="Arial" w:eastAsia="Arial" w:hAnsi="Arial" w:cs="Arial"/>
              </w:rPr>
              <w:t>3.13</w:t>
            </w:r>
            <w:r w:rsidRPr="00587DF1">
              <w:rPr>
                <w:rFonts w:ascii="Arial" w:eastAsia="Arial" w:hAnsi="Arial" w:cs="Arial"/>
              </w:rPr>
              <w:fldChar w:fldCharType="end"/>
            </w:r>
            <w:r w:rsidRPr="00587DF1">
              <w:rPr>
                <w:rFonts w:ascii="Arial" w:eastAsia="Arial" w:hAnsi="Arial" w:cs="Arial"/>
              </w:rPr>
              <w:t>.</w:t>
            </w:r>
          </w:p>
        </w:tc>
      </w:tr>
      <w:tr w:rsidR="00C01CEF" w:rsidRPr="00587DF1" w14:paraId="26BC39DF" w14:textId="77777777" w:rsidTr="00BC5C16">
        <w:tc>
          <w:tcPr>
            <w:tcW w:w="2093" w:type="dxa"/>
          </w:tcPr>
          <w:p w14:paraId="0F16A614" w14:textId="77777777" w:rsidR="00C01CEF" w:rsidRPr="00587DF1" w:rsidRDefault="00C01CEF" w:rsidP="001A3620">
            <w:pPr>
              <w:spacing w:after="0"/>
              <w:rPr>
                <w:rFonts w:ascii="Arial" w:eastAsia="Arial" w:hAnsi="Arial" w:cs="Arial"/>
              </w:rPr>
            </w:pPr>
            <w:r w:rsidRPr="00587DF1">
              <w:rPr>
                <w:rFonts w:ascii="Arial" w:eastAsia="Arial" w:hAnsi="Arial" w:cs="Arial"/>
              </w:rPr>
              <w:lastRenderedPageBreak/>
              <w:t>Options appraisal workshops</w:t>
            </w:r>
          </w:p>
        </w:tc>
        <w:tc>
          <w:tcPr>
            <w:tcW w:w="7149" w:type="dxa"/>
          </w:tcPr>
          <w:p w14:paraId="72EE071C" w14:textId="77777777" w:rsidR="00C01CEF" w:rsidRPr="00587DF1" w:rsidRDefault="00C01CEF" w:rsidP="001A3620">
            <w:pPr>
              <w:spacing w:after="0" w:line="259" w:lineRule="auto"/>
              <w:rPr>
                <w:rFonts w:ascii="Arial" w:hAnsi="Arial" w:cs="Arial"/>
              </w:rPr>
            </w:pPr>
            <w:r w:rsidRPr="00587DF1">
              <w:rPr>
                <w:rFonts w:ascii="Arial" w:hAnsi="Arial" w:cs="Arial"/>
              </w:rPr>
              <w:t>Workshops were held to develop the SOC, refreshing the options appraisal for the PCBC, and validate the outcome of the options appraisal following the public consultation. The purpose of these was to agree the critical success factors and options. These have involved representatives from:</w:t>
            </w:r>
          </w:p>
          <w:p w14:paraId="30939FB4" w14:textId="77777777" w:rsidR="00C01CEF" w:rsidRPr="00587DF1" w:rsidRDefault="00C01CEF" w:rsidP="005E0D57">
            <w:pPr>
              <w:pStyle w:val="ListParagraph"/>
              <w:numPr>
                <w:ilvl w:val="0"/>
                <w:numId w:val="51"/>
              </w:numPr>
              <w:spacing w:after="0" w:line="259" w:lineRule="auto"/>
              <w:rPr>
                <w:rFonts w:ascii="Arial" w:hAnsi="Arial" w:cs="Arial"/>
              </w:rPr>
            </w:pPr>
            <w:r w:rsidRPr="00587DF1">
              <w:rPr>
                <w:rFonts w:ascii="Arial" w:hAnsi="Arial" w:cs="Arial"/>
              </w:rPr>
              <w:t>Moorfields trust executive</w:t>
            </w:r>
          </w:p>
          <w:p w14:paraId="2A6290D6" w14:textId="77777777" w:rsidR="00C01CEF" w:rsidRPr="00587DF1" w:rsidRDefault="00C01CEF" w:rsidP="005E0D57">
            <w:pPr>
              <w:pStyle w:val="ListParagraph"/>
              <w:numPr>
                <w:ilvl w:val="0"/>
                <w:numId w:val="51"/>
              </w:numPr>
              <w:spacing w:after="0" w:line="259" w:lineRule="auto"/>
              <w:rPr>
                <w:rFonts w:ascii="Arial" w:hAnsi="Arial" w:cs="Arial"/>
              </w:rPr>
            </w:pPr>
            <w:r w:rsidRPr="00587DF1">
              <w:rPr>
                <w:rFonts w:ascii="Arial" w:hAnsi="Arial" w:cs="Arial"/>
              </w:rPr>
              <w:t>Moorfields trust senior clinical and operational leaders</w:t>
            </w:r>
          </w:p>
          <w:p w14:paraId="225B306B" w14:textId="77777777" w:rsidR="00A53AD9" w:rsidRPr="00587DF1" w:rsidRDefault="00A53AD9" w:rsidP="005E0D57">
            <w:pPr>
              <w:pStyle w:val="ListParagraph"/>
              <w:numPr>
                <w:ilvl w:val="0"/>
                <w:numId w:val="51"/>
              </w:numPr>
              <w:spacing w:after="0" w:line="259" w:lineRule="auto"/>
              <w:rPr>
                <w:rFonts w:ascii="Arial" w:hAnsi="Arial" w:cs="Arial"/>
              </w:rPr>
            </w:pPr>
            <w:r w:rsidRPr="00587DF1">
              <w:rPr>
                <w:rFonts w:ascii="Arial" w:hAnsi="Arial" w:cs="Arial"/>
              </w:rPr>
              <w:t>UCL leaders in education and research</w:t>
            </w:r>
          </w:p>
          <w:p w14:paraId="1F5D4813" w14:textId="77777777" w:rsidR="00C01CEF" w:rsidRPr="00587DF1" w:rsidRDefault="00C01CEF" w:rsidP="005E0D57">
            <w:pPr>
              <w:pStyle w:val="ListParagraph"/>
              <w:numPr>
                <w:ilvl w:val="0"/>
                <w:numId w:val="51"/>
              </w:numPr>
              <w:spacing w:after="0" w:line="259" w:lineRule="auto"/>
              <w:rPr>
                <w:rFonts w:ascii="Arial" w:hAnsi="Arial" w:cs="Arial"/>
              </w:rPr>
            </w:pPr>
            <w:r w:rsidRPr="00587DF1">
              <w:rPr>
                <w:rFonts w:ascii="Arial" w:hAnsi="Arial" w:cs="Arial"/>
              </w:rPr>
              <w:t>NCL CCGs to represent CCG commissioners</w:t>
            </w:r>
          </w:p>
          <w:p w14:paraId="58A2B427" w14:textId="77777777" w:rsidR="00C01CEF" w:rsidRPr="00587DF1" w:rsidRDefault="00C01CEF" w:rsidP="005E0D57">
            <w:pPr>
              <w:pStyle w:val="ListParagraph"/>
              <w:numPr>
                <w:ilvl w:val="0"/>
                <w:numId w:val="51"/>
              </w:numPr>
              <w:spacing w:after="0" w:line="259" w:lineRule="auto"/>
              <w:rPr>
                <w:rFonts w:ascii="Arial" w:hAnsi="Arial" w:cs="Arial"/>
              </w:rPr>
            </w:pPr>
            <w:r w:rsidRPr="00587DF1">
              <w:rPr>
                <w:rFonts w:ascii="Arial" w:hAnsi="Arial" w:cs="Arial"/>
              </w:rPr>
              <w:t>NCL STP</w:t>
            </w:r>
          </w:p>
          <w:p w14:paraId="74E61F4C" w14:textId="77777777" w:rsidR="00C01CEF" w:rsidRPr="00587DF1" w:rsidRDefault="00C01CEF" w:rsidP="005E0D57">
            <w:pPr>
              <w:pStyle w:val="ListParagraph"/>
              <w:numPr>
                <w:ilvl w:val="0"/>
                <w:numId w:val="51"/>
              </w:numPr>
              <w:spacing w:after="0" w:line="259" w:lineRule="auto"/>
              <w:rPr>
                <w:rFonts w:ascii="Arial" w:hAnsi="Arial" w:cs="Arial"/>
              </w:rPr>
            </w:pPr>
            <w:r w:rsidRPr="00587DF1">
              <w:rPr>
                <w:rFonts w:ascii="Arial" w:hAnsi="Arial" w:cs="Arial"/>
              </w:rPr>
              <w:t>NHS England Specialised Commissioning</w:t>
            </w:r>
          </w:p>
          <w:p w14:paraId="3B4B8C5D" w14:textId="77777777" w:rsidR="00C01CEF" w:rsidRPr="00587DF1" w:rsidRDefault="00C01CEF" w:rsidP="005E0D57">
            <w:pPr>
              <w:pStyle w:val="ListParagraph"/>
              <w:numPr>
                <w:ilvl w:val="0"/>
                <w:numId w:val="51"/>
              </w:numPr>
              <w:spacing w:after="0" w:line="259" w:lineRule="auto"/>
              <w:rPr>
                <w:rFonts w:ascii="Arial" w:hAnsi="Arial" w:cs="Arial"/>
              </w:rPr>
            </w:pPr>
            <w:r w:rsidRPr="00587DF1">
              <w:rPr>
                <w:rFonts w:ascii="Arial" w:hAnsi="Arial" w:cs="Arial"/>
              </w:rPr>
              <w:t>Patient groups</w:t>
            </w:r>
          </w:p>
          <w:p w14:paraId="5C549909" w14:textId="77777777" w:rsidR="00C01CEF" w:rsidRPr="00587DF1" w:rsidRDefault="00C01CEF" w:rsidP="005E0D57">
            <w:pPr>
              <w:pStyle w:val="ListParagraph"/>
              <w:numPr>
                <w:ilvl w:val="0"/>
                <w:numId w:val="51"/>
              </w:numPr>
              <w:pBdr>
                <w:top w:val="nil"/>
                <w:left w:val="nil"/>
                <w:bottom w:val="nil"/>
                <w:right w:val="nil"/>
                <w:between w:val="nil"/>
              </w:pBdr>
              <w:spacing w:after="0" w:line="259" w:lineRule="auto"/>
              <w:rPr>
                <w:rFonts w:ascii="Arial" w:hAnsi="Arial" w:cs="Arial"/>
              </w:rPr>
            </w:pPr>
            <w:r w:rsidRPr="00587DF1">
              <w:rPr>
                <w:rFonts w:ascii="Arial" w:hAnsi="Arial" w:cs="Arial"/>
              </w:rPr>
              <w:t>Local authorities</w:t>
            </w:r>
          </w:p>
          <w:p w14:paraId="347FD286" w14:textId="77777777" w:rsidR="00C01CEF" w:rsidRPr="00587DF1" w:rsidRDefault="00C01CEF" w:rsidP="005E0D57">
            <w:pPr>
              <w:pStyle w:val="ListParagraph"/>
              <w:numPr>
                <w:ilvl w:val="0"/>
                <w:numId w:val="51"/>
              </w:numPr>
              <w:pBdr>
                <w:top w:val="nil"/>
                <w:left w:val="nil"/>
                <w:bottom w:val="nil"/>
                <w:right w:val="nil"/>
                <w:between w:val="nil"/>
              </w:pBdr>
              <w:spacing w:after="0" w:line="259" w:lineRule="auto"/>
              <w:rPr>
                <w:rFonts w:ascii="Arial" w:hAnsi="Arial" w:cs="Arial"/>
              </w:rPr>
            </w:pPr>
            <w:r w:rsidRPr="00587DF1">
              <w:rPr>
                <w:rFonts w:ascii="Arial" w:hAnsi="Arial" w:cs="Arial"/>
              </w:rPr>
              <w:t>The voluntary sector</w:t>
            </w:r>
          </w:p>
        </w:tc>
      </w:tr>
      <w:tr w:rsidR="00C01CEF" w:rsidRPr="00587DF1" w14:paraId="30FEE1D9" w14:textId="77777777" w:rsidTr="00BC5C16">
        <w:tc>
          <w:tcPr>
            <w:tcW w:w="2093" w:type="dxa"/>
          </w:tcPr>
          <w:p w14:paraId="1E04D5AA" w14:textId="77777777" w:rsidR="00C01CEF" w:rsidRPr="00587DF1" w:rsidRDefault="00A53AD9" w:rsidP="001A3620">
            <w:pPr>
              <w:spacing w:after="0"/>
              <w:rPr>
                <w:rFonts w:ascii="Arial" w:eastAsia="Arial" w:hAnsi="Arial" w:cs="Arial"/>
              </w:rPr>
            </w:pPr>
            <w:r w:rsidRPr="00587DF1">
              <w:rPr>
                <w:rFonts w:ascii="Arial" w:eastAsia="Arial" w:hAnsi="Arial" w:cs="Arial"/>
              </w:rPr>
              <w:t>Oriel governance</w:t>
            </w:r>
          </w:p>
        </w:tc>
        <w:tc>
          <w:tcPr>
            <w:tcW w:w="7149" w:type="dxa"/>
          </w:tcPr>
          <w:p w14:paraId="3A859055" w14:textId="12482553" w:rsidR="00C01CEF" w:rsidRPr="00587DF1" w:rsidRDefault="00A53AD9" w:rsidP="001A3620">
            <w:pPr>
              <w:spacing w:after="0"/>
              <w:rPr>
                <w:rFonts w:ascii="Arial" w:eastAsia="Arial" w:hAnsi="Arial" w:cs="Arial"/>
              </w:rPr>
            </w:pPr>
            <w:r w:rsidRPr="00587DF1">
              <w:rPr>
                <w:rFonts w:ascii="Arial" w:eastAsia="Arial" w:hAnsi="Arial" w:cs="Arial"/>
              </w:rPr>
              <w:t xml:space="preserve">Through the governance structure described in the Management Case (section </w:t>
            </w:r>
            <w:r w:rsidR="00481D35">
              <w:rPr>
                <w:rFonts w:ascii="Arial" w:eastAsia="Arial" w:hAnsi="Arial" w:cs="Arial"/>
              </w:rPr>
              <w:fldChar w:fldCharType="begin"/>
            </w:r>
            <w:r w:rsidR="00481D35">
              <w:rPr>
                <w:rFonts w:ascii="Arial" w:eastAsia="Arial" w:hAnsi="Arial" w:cs="Arial"/>
              </w:rPr>
              <w:instrText xml:space="preserve"> REF _Ref32503570 \r \h </w:instrText>
            </w:r>
            <w:r w:rsidR="00481D35">
              <w:rPr>
                <w:rFonts w:ascii="Arial" w:eastAsia="Arial" w:hAnsi="Arial" w:cs="Arial"/>
              </w:rPr>
            </w:r>
            <w:r w:rsidR="00481D35">
              <w:rPr>
                <w:rFonts w:ascii="Arial" w:eastAsia="Arial" w:hAnsi="Arial" w:cs="Arial"/>
              </w:rPr>
              <w:fldChar w:fldCharType="separate"/>
            </w:r>
            <w:r w:rsidR="00A936CD">
              <w:rPr>
                <w:rFonts w:ascii="Arial" w:eastAsia="Arial" w:hAnsi="Arial" w:cs="Arial"/>
              </w:rPr>
              <w:t>8.1</w:t>
            </w:r>
            <w:r w:rsidR="00481D35">
              <w:rPr>
                <w:rFonts w:ascii="Arial" w:eastAsia="Arial" w:hAnsi="Arial" w:cs="Arial"/>
              </w:rPr>
              <w:fldChar w:fldCharType="end"/>
            </w:r>
            <w:r w:rsidRPr="00587DF1">
              <w:rPr>
                <w:rFonts w:ascii="Arial" w:eastAsia="Arial" w:hAnsi="Arial" w:cs="Arial"/>
              </w:rPr>
              <w:t>), Moorfields and UCL executives and clinical and operational leads have been involved in developing all aspects of the business case for Oriel</w:t>
            </w:r>
            <w:r w:rsidR="00481D35">
              <w:rPr>
                <w:rFonts w:ascii="Arial" w:eastAsia="Arial" w:hAnsi="Arial" w:cs="Arial"/>
              </w:rPr>
              <w:t>.</w:t>
            </w:r>
          </w:p>
        </w:tc>
      </w:tr>
      <w:tr w:rsidR="00A53AD9" w:rsidRPr="00587DF1" w14:paraId="4D13DA5E" w14:textId="77777777" w:rsidTr="00BC5C16">
        <w:tc>
          <w:tcPr>
            <w:tcW w:w="2093" w:type="dxa"/>
          </w:tcPr>
          <w:p w14:paraId="3D2B1AEC" w14:textId="77777777" w:rsidR="00A53AD9" w:rsidRPr="00587DF1" w:rsidRDefault="00A53AD9" w:rsidP="001A3620">
            <w:pPr>
              <w:spacing w:after="0"/>
              <w:rPr>
                <w:rFonts w:ascii="Arial" w:eastAsia="Arial" w:hAnsi="Arial" w:cs="Arial"/>
              </w:rPr>
            </w:pPr>
            <w:r w:rsidRPr="00587DF1">
              <w:rPr>
                <w:rFonts w:ascii="Arial" w:eastAsia="Arial" w:hAnsi="Arial" w:cs="Arial"/>
              </w:rPr>
              <w:t xml:space="preserve">Additional support </w:t>
            </w:r>
          </w:p>
        </w:tc>
        <w:tc>
          <w:tcPr>
            <w:tcW w:w="7149" w:type="dxa"/>
          </w:tcPr>
          <w:p w14:paraId="39B4A873" w14:textId="77777777" w:rsidR="00A53AD9" w:rsidRPr="00587DF1" w:rsidRDefault="00A53AD9" w:rsidP="001A3620">
            <w:pPr>
              <w:spacing w:after="0"/>
              <w:rPr>
                <w:rFonts w:ascii="Arial" w:eastAsia="Arial" w:hAnsi="Arial" w:cs="Arial"/>
              </w:rPr>
            </w:pPr>
            <w:r w:rsidRPr="00587DF1">
              <w:rPr>
                <w:rFonts w:ascii="Arial" w:eastAsia="Arial" w:hAnsi="Arial" w:cs="Arial"/>
              </w:rPr>
              <w:t>Letters or statements of support have been provided by:</w:t>
            </w:r>
          </w:p>
          <w:p w14:paraId="62AF2003" w14:textId="1AD88C94" w:rsidR="00A53AD9" w:rsidRPr="00587DF1" w:rsidRDefault="00A53AD9" w:rsidP="005E0D57">
            <w:pPr>
              <w:pStyle w:val="ListParagraph"/>
              <w:numPr>
                <w:ilvl w:val="0"/>
                <w:numId w:val="51"/>
              </w:numPr>
              <w:spacing w:after="0" w:line="259" w:lineRule="auto"/>
              <w:rPr>
                <w:rFonts w:ascii="Arial" w:hAnsi="Arial" w:cs="Arial"/>
              </w:rPr>
            </w:pPr>
            <w:r w:rsidRPr="00587DF1">
              <w:rPr>
                <w:rFonts w:ascii="Arial" w:hAnsi="Arial" w:cs="Arial"/>
              </w:rPr>
              <w:t>The Mayor of London (</w:t>
            </w:r>
            <w:r w:rsidR="00AF5666">
              <w:rPr>
                <w:rFonts w:ascii="Arial" w:hAnsi="Arial" w:cs="Arial"/>
              </w:rPr>
              <w:t>A</w:t>
            </w:r>
            <w:r w:rsidRPr="00587DF1">
              <w:rPr>
                <w:rFonts w:ascii="Arial" w:hAnsi="Arial" w:cs="Arial"/>
              </w:rPr>
              <w:t xml:space="preserve">ppendix </w:t>
            </w:r>
            <w:r w:rsidR="00AF5666">
              <w:rPr>
                <w:rFonts w:ascii="Arial" w:hAnsi="Arial" w:cs="Arial"/>
              </w:rPr>
              <w:t>3E</w:t>
            </w:r>
            <w:r w:rsidRPr="00587DF1">
              <w:rPr>
                <w:rFonts w:ascii="Arial" w:hAnsi="Arial" w:cs="Arial"/>
              </w:rPr>
              <w:t>)</w:t>
            </w:r>
          </w:p>
          <w:p w14:paraId="736C03EE" w14:textId="2B079BD8" w:rsidR="00A53AD9" w:rsidRDefault="00A53AD9" w:rsidP="005E0D57">
            <w:pPr>
              <w:pStyle w:val="ListParagraph"/>
              <w:numPr>
                <w:ilvl w:val="0"/>
                <w:numId w:val="51"/>
              </w:numPr>
              <w:spacing w:after="0" w:line="259" w:lineRule="auto"/>
              <w:rPr>
                <w:rFonts w:ascii="Arial" w:hAnsi="Arial" w:cs="Arial"/>
              </w:rPr>
            </w:pPr>
            <w:r w:rsidRPr="00AF5666">
              <w:rPr>
                <w:rFonts w:ascii="Arial" w:hAnsi="Arial" w:cs="Arial"/>
              </w:rPr>
              <w:t>LB Camden (</w:t>
            </w:r>
            <w:r w:rsidR="00AF5666" w:rsidRPr="00AF5666">
              <w:rPr>
                <w:rFonts w:ascii="Arial" w:hAnsi="Arial" w:cs="Arial"/>
              </w:rPr>
              <w:t>A</w:t>
            </w:r>
            <w:r w:rsidRPr="00AF5666">
              <w:rPr>
                <w:rFonts w:ascii="Arial" w:hAnsi="Arial" w:cs="Arial"/>
              </w:rPr>
              <w:t xml:space="preserve">ppendix </w:t>
            </w:r>
            <w:r w:rsidR="00AF5666" w:rsidRPr="00AF5666">
              <w:rPr>
                <w:rFonts w:ascii="Arial" w:hAnsi="Arial" w:cs="Arial"/>
              </w:rPr>
              <w:t>3E</w:t>
            </w:r>
            <w:r w:rsidRPr="00AF5666">
              <w:rPr>
                <w:rFonts w:ascii="Arial" w:hAnsi="Arial" w:cs="Arial"/>
              </w:rPr>
              <w:t>)</w:t>
            </w:r>
          </w:p>
          <w:p w14:paraId="5DF276F9" w14:textId="087B722D" w:rsidR="00127D77" w:rsidRDefault="00127D77" w:rsidP="005E0D57">
            <w:pPr>
              <w:pStyle w:val="ListParagraph"/>
              <w:numPr>
                <w:ilvl w:val="0"/>
                <w:numId w:val="51"/>
              </w:numPr>
              <w:spacing w:after="0" w:line="259" w:lineRule="auto"/>
              <w:rPr>
                <w:rFonts w:ascii="Arial" w:hAnsi="Arial" w:cs="Arial"/>
              </w:rPr>
            </w:pPr>
            <w:r>
              <w:rPr>
                <w:rFonts w:ascii="Arial" w:hAnsi="Arial" w:cs="Arial"/>
              </w:rPr>
              <w:t>The trust Medical Director (Appendix 3E)</w:t>
            </w:r>
          </w:p>
          <w:p w14:paraId="11DFB06F" w14:textId="77777777" w:rsidR="00A53AD9" w:rsidRPr="00587DF1" w:rsidRDefault="00A53AD9" w:rsidP="005E0D57">
            <w:pPr>
              <w:pStyle w:val="ListParagraph"/>
              <w:numPr>
                <w:ilvl w:val="0"/>
                <w:numId w:val="51"/>
              </w:numPr>
              <w:spacing w:after="0" w:line="259" w:lineRule="auto"/>
              <w:rPr>
                <w:rFonts w:ascii="Arial" w:hAnsi="Arial" w:cs="Arial"/>
              </w:rPr>
            </w:pPr>
            <w:r w:rsidRPr="00587DF1">
              <w:rPr>
                <w:rFonts w:ascii="Arial" w:hAnsi="Arial" w:cs="Arial"/>
              </w:rPr>
              <w:t>England’s Chief Medical Officer (see below)</w:t>
            </w:r>
          </w:p>
          <w:p w14:paraId="4D804640" w14:textId="7770810C" w:rsidR="00A53AD9" w:rsidRPr="00587DF1" w:rsidRDefault="00A53AD9" w:rsidP="005E0D57">
            <w:pPr>
              <w:pStyle w:val="ListParagraph"/>
              <w:numPr>
                <w:ilvl w:val="0"/>
                <w:numId w:val="51"/>
              </w:numPr>
              <w:spacing w:after="0" w:line="259" w:lineRule="auto"/>
              <w:rPr>
                <w:rFonts w:ascii="Arial" w:hAnsi="Arial" w:cs="Arial"/>
              </w:rPr>
            </w:pPr>
            <w:r w:rsidRPr="00587DF1">
              <w:rPr>
                <w:rFonts w:ascii="Arial" w:hAnsi="Arial" w:cs="Arial"/>
              </w:rPr>
              <w:t xml:space="preserve">The London Clinical Senate following a review of the clinical case for change (see section </w:t>
            </w:r>
            <w:r w:rsidR="00AF5666">
              <w:rPr>
                <w:rFonts w:ascii="Arial" w:hAnsi="Arial" w:cs="Arial"/>
              </w:rPr>
              <w:fldChar w:fldCharType="begin"/>
            </w:r>
            <w:r w:rsidR="00AF5666">
              <w:rPr>
                <w:rFonts w:ascii="Arial" w:hAnsi="Arial" w:cs="Arial"/>
              </w:rPr>
              <w:instrText xml:space="preserve"> REF _Ref32936953 \r \h </w:instrText>
            </w:r>
            <w:r w:rsidR="00AF5666">
              <w:rPr>
                <w:rFonts w:ascii="Arial" w:hAnsi="Arial" w:cs="Arial"/>
              </w:rPr>
            </w:r>
            <w:r w:rsidR="00AF5666">
              <w:rPr>
                <w:rFonts w:ascii="Arial" w:hAnsi="Arial" w:cs="Arial"/>
              </w:rPr>
              <w:fldChar w:fldCharType="separate"/>
            </w:r>
            <w:r w:rsidR="00A936CD">
              <w:rPr>
                <w:rFonts w:ascii="Arial" w:hAnsi="Arial" w:cs="Arial"/>
              </w:rPr>
              <w:t>3.8.1</w:t>
            </w:r>
            <w:r w:rsidR="00AF5666">
              <w:rPr>
                <w:rFonts w:ascii="Arial" w:hAnsi="Arial" w:cs="Arial"/>
              </w:rPr>
              <w:fldChar w:fldCharType="end"/>
            </w:r>
            <w:r w:rsidR="00AF5666">
              <w:rPr>
                <w:rFonts w:ascii="Arial" w:hAnsi="Arial" w:cs="Arial"/>
              </w:rPr>
              <w:t xml:space="preserve"> and </w:t>
            </w:r>
            <w:r w:rsidR="00127D77">
              <w:rPr>
                <w:rFonts w:ascii="Arial" w:hAnsi="Arial" w:cs="Arial"/>
              </w:rPr>
              <w:fldChar w:fldCharType="begin"/>
            </w:r>
            <w:r w:rsidR="00127D77">
              <w:rPr>
                <w:rFonts w:ascii="Arial" w:hAnsi="Arial" w:cs="Arial"/>
              </w:rPr>
              <w:instrText xml:space="preserve"> REF _Ref27729515 \r \h </w:instrText>
            </w:r>
            <w:r w:rsidR="00127D77">
              <w:rPr>
                <w:rFonts w:ascii="Arial" w:hAnsi="Arial" w:cs="Arial"/>
              </w:rPr>
            </w:r>
            <w:r w:rsidR="00127D77">
              <w:rPr>
                <w:rFonts w:ascii="Arial" w:hAnsi="Arial" w:cs="Arial"/>
              </w:rPr>
              <w:fldChar w:fldCharType="separate"/>
            </w:r>
            <w:r w:rsidR="00A936CD">
              <w:rPr>
                <w:rFonts w:ascii="Arial" w:hAnsi="Arial" w:cs="Arial"/>
              </w:rPr>
              <w:t>5.3</w:t>
            </w:r>
            <w:r w:rsidR="00127D77">
              <w:rPr>
                <w:rFonts w:ascii="Arial" w:hAnsi="Arial" w:cs="Arial"/>
              </w:rPr>
              <w:fldChar w:fldCharType="end"/>
            </w:r>
            <w:r w:rsidRPr="00587DF1">
              <w:rPr>
                <w:rFonts w:ascii="Arial" w:hAnsi="Arial" w:cs="Arial"/>
              </w:rPr>
              <w:t>)</w:t>
            </w:r>
          </w:p>
        </w:tc>
      </w:tr>
    </w:tbl>
    <w:p w14:paraId="0DAD2F2E" w14:textId="77777777" w:rsidR="00C01CEF" w:rsidRPr="00587DF1" w:rsidRDefault="00A53AD9" w:rsidP="00F655AE">
      <w:pPr>
        <w:spacing w:after="0"/>
        <w:rPr>
          <w:rFonts w:ascii="Arial" w:eastAsia="Arial" w:hAnsi="Arial" w:cs="Arial"/>
          <w:highlight w:val="yellow"/>
        </w:rPr>
      </w:pPr>
      <w:r w:rsidRPr="00587DF1">
        <w:rPr>
          <w:rFonts w:ascii="Arial" w:hAnsi="Arial" w:cs="Arial"/>
          <w:noProof/>
        </w:rPr>
        <mc:AlternateContent>
          <mc:Choice Requires="wps">
            <w:drawing>
              <wp:anchor distT="45720" distB="45720" distL="114300" distR="114300" simplePos="0" relativeHeight="251660288" behindDoc="0" locked="0" layoutInCell="1" allowOverlap="1" wp14:anchorId="799D8205" wp14:editId="6DF4D11D">
                <wp:simplePos x="0" y="0"/>
                <wp:positionH relativeFrom="column">
                  <wp:posOffset>2304</wp:posOffset>
                </wp:positionH>
                <wp:positionV relativeFrom="paragraph">
                  <wp:posOffset>247074</wp:posOffset>
                </wp:positionV>
                <wp:extent cx="5729605" cy="1404620"/>
                <wp:effectExtent l="0" t="0" r="23495" b="1460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9605" cy="1404620"/>
                        </a:xfrm>
                        <a:prstGeom prst="rect">
                          <a:avLst/>
                        </a:prstGeom>
                        <a:solidFill>
                          <a:srgbClr val="DEECEF"/>
                        </a:solidFill>
                        <a:ln w="9525">
                          <a:solidFill>
                            <a:srgbClr val="5AA0AE"/>
                          </a:solidFill>
                          <a:miter lim="800000"/>
                          <a:headEnd/>
                          <a:tailEnd/>
                        </a:ln>
                      </wps:spPr>
                      <wps:txbx>
                        <w:txbxContent>
                          <w:p w14:paraId="5F60D86C" w14:textId="77777777" w:rsidR="005A7607" w:rsidRPr="00806A24" w:rsidRDefault="005A7607" w:rsidP="00A53AD9">
                            <w:pPr>
                              <w:pStyle w:val="NormalWeb"/>
                              <w:spacing w:line="276" w:lineRule="auto"/>
                              <w:rPr>
                                <w:rFonts w:ascii="Arial" w:eastAsia="Cambria" w:hAnsi="Arial" w:cs="Arial"/>
                                <w:i/>
                                <w:iCs/>
                                <w:sz w:val="20"/>
                                <w:szCs w:val="20"/>
                                <w:lang w:val="en-US" w:eastAsia="en-US"/>
                              </w:rPr>
                            </w:pPr>
                            <w:r w:rsidRPr="00806A24">
                              <w:rPr>
                                <w:rFonts w:ascii="Arial" w:hAnsi="Arial" w:cs="Arial"/>
                                <w:i/>
                                <w:iCs/>
                                <w:sz w:val="20"/>
                                <w:szCs w:val="20"/>
                              </w:rPr>
                              <w:t>“</w:t>
                            </w:r>
                            <w:r w:rsidRPr="00806A24">
                              <w:rPr>
                                <w:rFonts w:ascii="Arial" w:eastAsia="Arial" w:hAnsi="Arial" w:cs="Arial"/>
                                <w:i/>
                                <w:iCs/>
                                <w:sz w:val="22"/>
                                <w:szCs w:val="22"/>
                              </w:rPr>
                              <w:t>I am pleased to give my support to…Oriel…This will build on their [the trust and the Institute’s] current expertise to the benefit of patients, health professionals and the wider system. I hope this will result in global developments to better understand and treat eye conditions, helping to transform the lives of people with even the most complex needs. It could also have a positive impact on the system by leading the development of new practice, new technologies and models of care</w:t>
                            </w:r>
                            <w:r w:rsidRPr="00806A24">
                              <w:rPr>
                                <w:rFonts w:ascii="Arial" w:eastAsia="Cambria" w:hAnsi="Arial" w:cs="Arial"/>
                                <w:i/>
                                <w:iCs/>
                                <w:sz w:val="20"/>
                                <w:szCs w:val="20"/>
                                <w:lang w:val="en-US" w:eastAsia="en-US"/>
                              </w:rPr>
                              <w:t>.”</w:t>
                            </w:r>
                          </w:p>
                          <w:p w14:paraId="215B8F50" w14:textId="77777777" w:rsidR="005A7607" w:rsidRPr="00A53AD9" w:rsidRDefault="005A7607" w:rsidP="00A53AD9">
                            <w:pPr>
                              <w:spacing w:after="0" w:line="240" w:lineRule="auto"/>
                              <w:jc w:val="right"/>
                              <w:rPr>
                                <w:rFonts w:ascii="Arial" w:eastAsia="Arial" w:hAnsi="Arial" w:cs="Arial"/>
                                <w:b/>
                                <w:bCs/>
                                <w:i/>
                                <w:iCs/>
                                <w:color w:val="FF0000"/>
                              </w:rPr>
                            </w:pPr>
                            <w:r w:rsidRPr="00A53AD9">
                              <w:rPr>
                                <w:rFonts w:ascii="Arial" w:eastAsia="Arial" w:hAnsi="Arial" w:cs="Arial"/>
                                <w:b/>
                                <w:bCs/>
                                <w:i/>
                                <w:iCs/>
                              </w:rPr>
                              <w:t>Professor Dame Sally Davies, England’s Chief Medical Officer</w:t>
                            </w:r>
                            <w:r>
                              <w:rPr>
                                <w:rFonts w:ascii="Arial" w:eastAsia="Arial" w:hAnsi="Arial" w:cs="Arial"/>
                                <w:b/>
                                <w:bCs/>
                                <w:i/>
                                <w:iCs/>
                              </w:rPr>
                              <w:t xml:space="preserve"> (2010 –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9D8205" id="_x0000_t202" coordsize="21600,21600" o:spt="202" path="m,l,21600r21600,l21600,xe">
                <v:stroke joinstyle="miter"/>
                <v:path gradientshapeok="t" o:connecttype="rect"/>
              </v:shapetype>
              <v:shape id="Text Box 2" o:spid="_x0000_s1028" type="#_x0000_t202" style="position:absolute;margin-left:.2pt;margin-top:19.45pt;width:451.1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rm2LQIAAE0EAAAOAAAAZHJzL2Uyb0RvYy54bWysVNtu2zAMfR+wfxD0vviCJGuMOkWWyzCg&#13;&#10;6wa0+wBZlmNhsqhJSuzs60fJaRp028swPwikSB6Rh6Rv74ZOkaOwToIuaTZJKRGaQy31vqTfnnbv&#13;&#10;bihxnumaKdCipCfh6N3y7Zvb3hQihxZULSxBEO2K3pS09d4USeJ4KzrmJmCERmMDtmMeVbtPast6&#13;&#10;RO9UkqfpPOnB1sYCF87h7WY00mXEbxrB/ZemccITVVLMzcfTxrMKZ7K8ZcXeMtNKfk6D/UMWHZMa&#13;&#10;H71AbZhn5GDlb1Cd5BYcNH7CoUugaSQXsQasJktfVfPYMiNiLUiOMxea3P+D5Q/Hr5bIuqR5Rolm&#13;&#10;HfboSQyefICB5IGe3rgCvR4N+vkBr7HNsVRn7oF/d0TDumV6L1bWQt8KVmN6WYhMrkJHHBdAqv4z&#13;&#10;1PgMO3iIQENju8AdskEQHdt0urQmpMLxcvY+X8zTGSUcbdk0nc7z2LyEFc/hxjr/UUBHglBSi72P&#13;&#10;8Ox473xIhxXPLuE1B0rWO6lUVOy+WitLjgznZLPdrre7WMErN6VJX9LFLJ+NDPwVYrZapavtnyA6&#13;&#10;6XHglexKepOGLzixIvC21XWUPZNqlDFlpc9EBu5GFv1QDWPLQmwguYL6hMxaGOcb9xGFFuxPSnqc&#13;&#10;7ZK6HwdmBSXqk8buLLLpNCxDVKZILSr22lJdW5jmCFVST8korn1coMibWWEXdzLy+5LJOWWc2Uj7&#13;&#10;eb/CUlzr0evlL7D8BQAA//8DAFBLAwQUAAYACAAAACEA3KaZmeIAAAAMAQAADwAAAGRycy9kb3du&#13;&#10;cmV2LnhtbExPy07DMBC8I/EP1iJxQdRuQE2TxqmiIi6AkCgcOLrxkhj8iGK3CX/PcoLLSqN57Ey1&#13;&#10;nZ1lJxyjCV7CciGAoW+DNr6T8PZ6f70GFpPyWtngUcI3RtjW52eVKnWY/Aue9qljFOJjqST0KQ0l&#13;&#10;57Ht0am4CAN64j7C6FQiOHZcj2qicGd5JsSKO2U8fejVgLse26/90Ul4eG9M/pTv8s8idraZxPOj&#13;&#10;4VdSXl7Mdxs6zQZYwjn9OeB3A/WHmoodwtHryKyEW9JJuFkXwIgtRJYDO0jIVmIJvK74/xH1DwAA&#13;&#10;AP//AwBQSwECLQAUAAYACAAAACEAtoM4kv4AAADhAQAAEwAAAAAAAAAAAAAAAAAAAAAAW0NvbnRl&#13;&#10;bnRfVHlwZXNdLnhtbFBLAQItABQABgAIAAAAIQA4/SH/1gAAAJQBAAALAAAAAAAAAAAAAAAAAC8B&#13;&#10;AABfcmVscy8ucmVsc1BLAQItABQABgAIAAAAIQCHjrm2LQIAAE0EAAAOAAAAAAAAAAAAAAAAAC4C&#13;&#10;AABkcnMvZTJvRG9jLnhtbFBLAQItABQABgAIAAAAIQDcppmZ4gAAAAwBAAAPAAAAAAAAAAAAAAAA&#13;&#10;AIcEAABkcnMvZG93bnJldi54bWxQSwUGAAAAAAQABADzAAAAlgUAAAAA&#13;&#10;" fillcolor="#deecef" strokecolor="#5aa0ae">
                <v:textbox style="mso-fit-shape-to-text:t">
                  <w:txbxContent>
                    <w:p w14:paraId="5F60D86C" w14:textId="77777777" w:rsidR="005A7607" w:rsidRPr="00806A24" w:rsidRDefault="005A7607" w:rsidP="00A53AD9">
                      <w:pPr>
                        <w:pStyle w:val="NormalWeb"/>
                        <w:spacing w:line="276" w:lineRule="auto"/>
                        <w:rPr>
                          <w:rFonts w:ascii="Arial" w:eastAsia="Cambria" w:hAnsi="Arial" w:cs="Arial"/>
                          <w:i/>
                          <w:iCs/>
                          <w:sz w:val="20"/>
                          <w:szCs w:val="20"/>
                          <w:lang w:val="en-US" w:eastAsia="en-US"/>
                        </w:rPr>
                      </w:pPr>
                      <w:r w:rsidRPr="00806A24">
                        <w:rPr>
                          <w:rFonts w:ascii="Arial" w:hAnsi="Arial" w:cs="Arial"/>
                          <w:i/>
                          <w:iCs/>
                          <w:sz w:val="20"/>
                          <w:szCs w:val="20"/>
                        </w:rPr>
                        <w:t>“</w:t>
                      </w:r>
                      <w:r w:rsidRPr="00806A24">
                        <w:rPr>
                          <w:rFonts w:ascii="Arial" w:eastAsia="Arial" w:hAnsi="Arial" w:cs="Arial"/>
                          <w:i/>
                          <w:iCs/>
                          <w:sz w:val="22"/>
                          <w:szCs w:val="22"/>
                        </w:rPr>
                        <w:t>I am pleased to give my support to…Oriel…This will build on their [the trust and the Institute’s] current expertise to the benefit of patients, health professionals and the wider system. I hope this will result in global developments to better understand and treat eye conditions, helping to transform the lives of people with even the most complex needs. It could also have a positive impact on the system by leading the development of new practice, new technologies and models of care</w:t>
                      </w:r>
                      <w:r w:rsidRPr="00806A24">
                        <w:rPr>
                          <w:rFonts w:ascii="Arial" w:eastAsia="Cambria" w:hAnsi="Arial" w:cs="Arial"/>
                          <w:i/>
                          <w:iCs/>
                          <w:sz w:val="20"/>
                          <w:szCs w:val="20"/>
                          <w:lang w:val="en-US" w:eastAsia="en-US"/>
                        </w:rPr>
                        <w:t>.”</w:t>
                      </w:r>
                    </w:p>
                    <w:p w14:paraId="215B8F50" w14:textId="77777777" w:rsidR="005A7607" w:rsidRPr="00A53AD9" w:rsidRDefault="005A7607" w:rsidP="00A53AD9">
                      <w:pPr>
                        <w:spacing w:after="0" w:line="240" w:lineRule="auto"/>
                        <w:jc w:val="right"/>
                        <w:rPr>
                          <w:rFonts w:ascii="Arial" w:eastAsia="Arial" w:hAnsi="Arial" w:cs="Arial"/>
                          <w:b/>
                          <w:bCs/>
                          <w:i/>
                          <w:iCs/>
                          <w:color w:val="FF0000"/>
                        </w:rPr>
                      </w:pPr>
                      <w:r w:rsidRPr="00A53AD9">
                        <w:rPr>
                          <w:rFonts w:ascii="Arial" w:eastAsia="Arial" w:hAnsi="Arial" w:cs="Arial"/>
                          <w:b/>
                          <w:bCs/>
                          <w:i/>
                          <w:iCs/>
                        </w:rPr>
                        <w:t>Professor Dame Sally Davies, England’s Chief Medical Officer</w:t>
                      </w:r>
                      <w:r>
                        <w:rPr>
                          <w:rFonts w:ascii="Arial" w:eastAsia="Arial" w:hAnsi="Arial" w:cs="Arial"/>
                          <w:b/>
                          <w:bCs/>
                          <w:i/>
                          <w:iCs/>
                        </w:rPr>
                        <w:t xml:space="preserve"> (2010 – 2019)</w:t>
                      </w:r>
                    </w:p>
                  </w:txbxContent>
                </v:textbox>
                <w10:wrap type="square"/>
              </v:shape>
            </w:pict>
          </mc:Fallback>
        </mc:AlternateContent>
      </w:r>
    </w:p>
    <w:p w14:paraId="47F7A1D2" w14:textId="77777777" w:rsidR="00A53AD9" w:rsidRPr="00587DF1" w:rsidRDefault="00A53AD9" w:rsidP="00F655AE">
      <w:pPr>
        <w:spacing w:after="0"/>
        <w:rPr>
          <w:rFonts w:ascii="Arial" w:eastAsia="Arial" w:hAnsi="Arial" w:cs="Arial"/>
          <w:highlight w:val="yellow"/>
        </w:rPr>
      </w:pPr>
    </w:p>
    <w:p w14:paraId="0207D247" w14:textId="77777777" w:rsidR="00A53AD9" w:rsidRPr="00587DF1" w:rsidRDefault="00A53AD9" w:rsidP="005E0D57">
      <w:pPr>
        <w:numPr>
          <w:ilvl w:val="2"/>
          <w:numId w:val="1"/>
        </w:numPr>
        <w:pBdr>
          <w:top w:val="nil"/>
          <w:left w:val="nil"/>
          <w:bottom w:val="nil"/>
          <w:right w:val="nil"/>
          <w:between w:val="nil"/>
        </w:pBdr>
        <w:spacing w:after="0"/>
        <w:jc w:val="both"/>
        <w:rPr>
          <w:rFonts w:ascii="Arial" w:eastAsia="Arial" w:hAnsi="Arial" w:cs="Arial"/>
          <w:b/>
          <w:color w:val="000000"/>
        </w:rPr>
      </w:pPr>
      <w:bookmarkStart w:id="70" w:name="_Ref32936953"/>
      <w:r w:rsidRPr="00587DF1">
        <w:rPr>
          <w:rFonts w:ascii="Arial" w:eastAsia="Arial" w:hAnsi="Arial" w:cs="Arial"/>
          <w:b/>
          <w:color w:val="000000"/>
        </w:rPr>
        <w:t>London Clinical Senate review</w:t>
      </w:r>
      <w:bookmarkEnd w:id="70"/>
    </w:p>
    <w:p w14:paraId="011AB13C" w14:textId="77777777" w:rsidR="00A53AD9" w:rsidRPr="00587DF1" w:rsidRDefault="00A53AD9" w:rsidP="00F655AE">
      <w:pPr>
        <w:spacing w:after="0"/>
        <w:rPr>
          <w:rFonts w:ascii="Arial" w:eastAsia="Arial" w:hAnsi="Arial" w:cs="Arial"/>
          <w:b/>
          <w:color w:val="000000"/>
          <w:highlight w:val="yellow"/>
        </w:rPr>
      </w:pPr>
    </w:p>
    <w:p w14:paraId="780DEA31" w14:textId="77777777" w:rsidR="007338B5" w:rsidRPr="00587DF1" w:rsidRDefault="007338B5" w:rsidP="007338B5">
      <w:pPr>
        <w:rPr>
          <w:rFonts w:ascii="Arial" w:hAnsi="Arial" w:cs="Arial"/>
        </w:rPr>
      </w:pPr>
      <w:r w:rsidRPr="00587DF1">
        <w:rPr>
          <w:rFonts w:ascii="Arial" w:hAnsi="Arial" w:cs="Arial"/>
        </w:rPr>
        <w:t xml:space="preserve">The </w:t>
      </w:r>
      <w:r w:rsidR="00C46FBB" w:rsidRPr="00587DF1">
        <w:rPr>
          <w:rFonts w:ascii="Arial" w:hAnsi="Arial" w:cs="Arial"/>
        </w:rPr>
        <w:t xml:space="preserve">Oriel </w:t>
      </w:r>
      <w:r w:rsidRPr="00587DF1">
        <w:rPr>
          <w:rFonts w:ascii="Arial" w:hAnsi="Arial" w:cs="Arial"/>
        </w:rPr>
        <w:t xml:space="preserve">proposals were reviewed by the London Clinical Senate at a panel in November 2018. Following the Review Panel, the London Clinical Senate submitted a report on its findings to </w:t>
      </w:r>
      <w:r w:rsidR="00C46FBB" w:rsidRPr="00587DF1">
        <w:rPr>
          <w:rFonts w:ascii="Arial" w:hAnsi="Arial" w:cs="Arial"/>
        </w:rPr>
        <w:t xml:space="preserve">commissioners </w:t>
      </w:r>
      <w:r w:rsidRPr="00587DF1">
        <w:rPr>
          <w:rFonts w:ascii="Arial" w:hAnsi="Arial" w:cs="Arial"/>
        </w:rPr>
        <w:t>in which it confirmed that it found “that there was a clear, clinical evidence base to support the proposed move of the services at City Road to the new site at St Pancras Hospital.”</w:t>
      </w:r>
    </w:p>
    <w:p w14:paraId="48DE4EC2" w14:textId="42388ADF" w:rsidR="007338B5" w:rsidRPr="00587DF1" w:rsidRDefault="007338B5" w:rsidP="00C46FBB">
      <w:pPr>
        <w:rPr>
          <w:rFonts w:ascii="Arial" w:hAnsi="Arial" w:cs="Arial"/>
        </w:rPr>
      </w:pPr>
      <w:r w:rsidRPr="00587DF1">
        <w:rPr>
          <w:rFonts w:ascii="Arial" w:hAnsi="Arial" w:cs="Arial"/>
        </w:rPr>
        <w:t xml:space="preserve">The panel made recommendations to which commissioners have responded (summarised in </w:t>
      </w:r>
      <w:r w:rsidR="00C46FBB" w:rsidRPr="00587DF1">
        <w:rPr>
          <w:rFonts w:ascii="Arial" w:hAnsi="Arial" w:cs="Arial"/>
        </w:rPr>
        <w:t>the DMBC</w:t>
      </w:r>
      <w:r w:rsidRPr="00587DF1">
        <w:rPr>
          <w:rFonts w:ascii="Arial" w:hAnsi="Arial" w:cs="Arial"/>
        </w:rPr>
        <w:t xml:space="preserve">). Its report, and subsequent correspondence, was published by commissioners </w:t>
      </w:r>
      <w:r w:rsidRPr="00587DF1">
        <w:rPr>
          <w:rFonts w:ascii="Arial" w:hAnsi="Arial" w:cs="Arial"/>
        </w:rPr>
        <w:lastRenderedPageBreak/>
        <w:t xml:space="preserve">as part of the formal consultation, which notes that all recommendations have now been addressed. They are available at </w:t>
      </w:r>
      <w:hyperlink r:id="rId21" w:history="1">
        <w:r w:rsidRPr="00587DF1">
          <w:rPr>
            <w:rFonts w:ascii="Arial" w:hAnsi="Arial" w:cs="Arial"/>
          </w:rPr>
          <w:t>www.oriel-london.org.uk</w:t>
        </w:r>
      </w:hyperlink>
      <w:r w:rsidRPr="00587DF1">
        <w:rPr>
          <w:rFonts w:ascii="Arial" w:hAnsi="Arial" w:cs="Arial"/>
        </w:rPr>
        <w:t>.</w:t>
      </w:r>
    </w:p>
    <w:p w14:paraId="138043F8" w14:textId="77777777" w:rsidR="00C01CEF" w:rsidRPr="00587DF1" w:rsidRDefault="00C01CEF" w:rsidP="00F655AE">
      <w:pPr>
        <w:spacing w:after="0"/>
        <w:rPr>
          <w:rFonts w:ascii="Arial" w:eastAsia="Arial" w:hAnsi="Arial" w:cs="Arial"/>
          <w:highlight w:val="yellow"/>
        </w:rPr>
      </w:pPr>
    </w:p>
    <w:p w14:paraId="3ABC2C41" w14:textId="77777777" w:rsidR="00C01CEF" w:rsidRPr="00587DF1" w:rsidRDefault="00C01CEF" w:rsidP="005E0D57">
      <w:pPr>
        <w:numPr>
          <w:ilvl w:val="2"/>
          <w:numId w:val="1"/>
        </w:numPr>
        <w:pBdr>
          <w:top w:val="nil"/>
          <w:left w:val="nil"/>
          <w:bottom w:val="nil"/>
          <w:right w:val="nil"/>
          <w:between w:val="nil"/>
        </w:pBdr>
        <w:spacing w:after="0"/>
        <w:jc w:val="both"/>
        <w:rPr>
          <w:rFonts w:ascii="Arial" w:eastAsia="Arial" w:hAnsi="Arial" w:cs="Arial"/>
          <w:b/>
          <w:color w:val="000000"/>
        </w:rPr>
      </w:pPr>
      <w:r w:rsidRPr="00587DF1">
        <w:rPr>
          <w:rFonts w:ascii="Arial" w:eastAsia="Arial" w:hAnsi="Arial" w:cs="Arial"/>
          <w:b/>
          <w:color w:val="000000"/>
        </w:rPr>
        <w:t>Working with health and social care partners</w:t>
      </w:r>
    </w:p>
    <w:p w14:paraId="5FFA8510" w14:textId="77777777" w:rsidR="00C01CEF" w:rsidRPr="00587DF1" w:rsidRDefault="00C01CEF" w:rsidP="00C01CEF">
      <w:pPr>
        <w:spacing w:after="0"/>
        <w:rPr>
          <w:rFonts w:ascii="Arial" w:eastAsia="Arial" w:hAnsi="Arial" w:cs="Arial"/>
          <w:highlight w:val="yellow"/>
        </w:rPr>
      </w:pPr>
    </w:p>
    <w:p w14:paraId="28CFB3A5" w14:textId="77777777" w:rsidR="00C01CEF" w:rsidRPr="00587DF1" w:rsidRDefault="00C01CEF" w:rsidP="00C01CEF">
      <w:pPr>
        <w:rPr>
          <w:rFonts w:ascii="Arial" w:hAnsi="Arial" w:cs="Arial"/>
        </w:rPr>
      </w:pPr>
      <w:r w:rsidRPr="00587DF1">
        <w:rPr>
          <w:rFonts w:ascii="Arial" w:hAnsi="Arial" w:cs="Arial"/>
          <w:b/>
          <w:bCs/>
        </w:rPr>
        <w:t>Social care and integrated patient support offer</w:t>
      </w:r>
    </w:p>
    <w:p w14:paraId="432B8BF2" w14:textId="0CC6A876" w:rsidR="00C01CEF" w:rsidRPr="00587DF1" w:rsidRDefault="00C01CEF" w:rsidP="00C01CEF">
      <w:pPr>
        <w:rPr>
          <w:rFonts w:ascii="Arial" w:hAnsi="Arial" w:cs="Arial"/>
        </w:rPr>
      </w:pPr>
      <w:r w:rsidRPr="00587DF1">
        <w:rPr>
          <w:rFonts w:ascii="Arial" w:hAnsi="Arial" w:cs="Arial"/>
        </w:rPr>
        <w:t xml:space="preserve">Almost all of the trust’s services are ambulatory, and those provided from City Road are a combination of secondary ophthalmic care for the local catchment population, or tertiary and specialist care provided on a national basis. Moorfields therefore does not experience the same challenges as a local acute or district general hospital, associated with bed blocking and requiring co-ordination with health and social care providers. The </w:t>
      </w:r>
      <w:r w:rsidR="00A96CC8" w:rsidRPr="00587DF1">
        <w:rPr>
          <w:rFonts w:ascii="Arial" w:hAnsi="Arial" w:cs="Arial"/>
        </w:rPr>
        <w:t>t</w:t>
      </w:r>
      <w:r w:rsidRPr="00587DF1">
        <w:rPr>
          <w:rFonts w:ascii="Arial" w:hAnsi="Arial" w:cs="Arial"/>
        </w:rPr>
        <w:t>rust has Eye Care Liaison Officers</w:t>
      </w:r>
      <w:r w:rsidR="00481D35">
        <w:rPr>
          <w:rFonts w:ascii="Arial" w:hAnsi="Arial" w:cs="Arial"/>
        </w:rPr>
        <w:t xml:space="preserve"> (ECLOs)</w:t>
      </w:r>
      <w:r w:rsidRPr="00587DF1">
        <w:rPr>
          <w:rFonts w:ascii="Arial" w:hAnsi="Arial" w:cs="Arial"/>
        </w:rPr>
        <w:t xml:space="preserve"> who direct patients to support services where required, including health and social care providers. When developing plans for Oriel, it has been noted that the wide range of support services can be difficult to navigate for patients. The importance of this service will be reflected in Oriel, and will be visible in the main entrance to offer patients support when they arrive or leave the building. This will promote events and patient support groups as well as services provided by the</w:t>
      </w:r>
      <w:r w:rsidR="00A96CC8" w:rsidRPr="00587DF1">
        <w:rPr>
          <w:rFonts w:ascii="Arial" w:hAnsi="Arial" w:cs="Arial"/>
        </w:rPr>
        <w:t xml:space="preserve"> trust</w:t>
      </w:r>
      <w:r w:rsidRPr="00587DF1">
        <w:rPr>
          <w:rFonts w:ascii="Arial" w:hAnsi="Arial" w:cs="Arial"/>
        </w:rPr>
        <w:t xml:space="preserve">’s charitable partners. ECLOs will have quiet spaces where they can offer support to patients immediately before or after an appointment. More information on integrated patient support services is provided in </w:t>
      </w:r>
      <w:r w:rsidR="0004407D">
        <w:rPr>
          <w:rFonts w:ascii="Arial" w:hAnsi="Arial" w:cs="Arial"/>
        </w:rPr>
        <w:t>Appendix 5A (service models)</w:t>
      </w:r>
      <w:r w:rsidRPr="00587DF1">
        <w:rPr>
          <w:rFonts w:ascii="Arial" w:hAnsi="Arial" w:cs="Arial"/>
        </w:rPr>
        <w:t>.</w:t>
      </w:r>
    </w:p>
    <w:p w14:paraId="78A495EE" w14:textId="77777777" w:rsidR="00C01CEF" w:rsidRPr="00587DF1" w:rsidRDefault="00C01CEF" w:rsidP="00C01CEF">
      <w:pPr>
        <w:rPr>
          <w:rFonts w:ascii="Arial" w:hAnsi="Arial" w:cs="Arial"/>
        </w:rPr>
      </w:pPr>
      <w:r w:rsidRPr="00587DF1">
        <w:rPr>
          <w:rFonts w:ascii="Arial" w:hAnsi="Arial" w:cs="Arial"/>
          <w:b/>
          <w:bCs/>
        </w:rPr>
        <w:t>Public health</w:t>
      </w:r>
    </w:p>
    <w:p w14:paraId="5D18D58D" w14:textId="42649BE1" w:rsidR="00C01CEF" w:rsidRPr="00587DF1" w:rsidRDefault="00C01CEF" w:rsidP="00C01CEF">
      <w:pPr>
        <w:rPr>
          <w:rFonts w:ascii="Arial" w:hAnsi="Arial" w:cs="Arial"/>
        </w:rPr>
      </w:pPr>
      <w:r w:rsidRPr="00587DF1">
        <w:rPr>
          <w:rFonts w:ascii="Arial" w:hAnsi="Arial" w:cs="Arial"/>
        </w:rPr>
        <w:t>The</w:t>
      </w:r>
      <w:r w:rsidR="00A96CC8" w:rsidRPr="00587DF1">
        <w:rPr>
          <w:rFonts w:ascii="Arial" w:hAnsi="Arial" w:cs="Arial"/>
        </w:rPr>
        <w:t xml:space="preserve"> trust</w:t>
      </w:r>
      <w:r w:rsidRPr="00587DF1">
        <w:rPr>
          <w:rFonts w:ascii="Arial" w:hAnsi="Arial" w:cs="Arial"/>
        </w:rPr>
        <w:t xml:space="preserve"> continues to work with Local Authorities on ophthalmology public health initiatives such as National Eye Week. Moorfields works to raise awareness of the causes of preventable sight loss, and provides educational materials such as videos showing how to put in eye drops. The</w:t>
      </w:r>
      <w:r w:rsidR="00A96CC8" w:rsidRPr="00587DF1">
        <w:rPr>
          <w:rFonts w:ascii="Arial" w:hAnsi="Arial" w:cs="Arial"/>
        </w:rPr>
        <w:t xml:space="preserve"> trust</w:t>
      </w:r>
      <w:r w:rsidRPr="00587DF1">
        <w:rPr>
          <w:rFonts w:ascii="Arial" w:hAnsi="Arial" w:cs="Arial"/>
        </w:rPr>
        <w:t xml:space="preserve"> </w:t>
      </w:r>
      <w:r w:rsidR="00481D35">
        <w:rPr>
          <w:rFonts w:ascii="Arial" w:hAnsi="Arial" w:cs="Arial"/>
        </w:rPr>
        <w:t>supports</w:t>
      </w:r>
      <w:r w:rsidRPr="00587DF1">
        <w:rPr>
          <w:rFonts w:ascii="Arial" w:hAnsi="Arial" w:cs="Arial"/>
        </w:rPr>
        <w:t xml:space="preserve"> a campaign called Eye Heroes which runs workshops in school on the importance of regular eye tests, and works closely with charities such as the Moorfields Eye Charity (MEC), Royal National Institute for the Blind (RNIB) and the International Glaucoma Association.</w:t>
      </w:r>
    </w:p>
    <w:p w14:paraId="1CC57970" w14:textId="708350D9" w:rsidR="00C01CEF" w:rsidRPr="00587DF1" w:rsidRDefault="00C01CEF" w:rsidP="00C01CEF">
      <w:pPr>
        <w:rPr>
          <w:rFonts w:ascii="Arial" w:hAnsi="Arial" w:cs="Arial"/>
        </w:rPr>
      </w:pPr>
      <w:r w:rsidRPr="00587DF1">
        <w:rPr>
          <w:rFonts w:ascii="Arial" w:hAnsi="Arial" w:cs="Arial"/>
        </w:rPr>
        <w:t xml:space="preserve">The Know Your Drops campaign is a further example of how Moorfields is promoting public health. This was launched in August 2016 to give people practical advice on how to use eye drops correctly. This responded to a concern the trust identified that many people struggle to use eye drops, </w:t>
      </w:r>
      <w:r w:rsidR="00481D35">
        <w:rPr>
          <w:rFonts w:ascii="Arial" w:hAnsi="Arial" w:cs="Arial"/>
        </w:rPr>
        <w:t>which</w:t>
      </w:r>
      <w:r w:rsidRPr="00587DF1">
        <w:rPr>
          <w:rFonts w:ascii="Arial" w:hAnsi="Arial" w:cs="Arial"/>
        </w:rPr>
        <w:t xml:space="preserve"> therefore limit</w:t>
      </w:r>
      <w:r w:rsidR="00481D35">
        <w:rPr>
          <w:rFonts w:ascii="Arial" w:hAnsi="Arial" w:cs="Arial"/>
        </w:rPr>
        <w:t>s</w:t>
      </w:r>
      <w:r w:rsidRPr="00587DF1">
        <w:rPr>
          <w:rFonts w:ascii="Arial" w:hAnsi="Arial" w:cs="Arial"/>
        </w:rPr>
        <w:t xml:space="preserve"> the effectiveness of their treatment. The trust ran over 60 roadshow events at Moorfields sites across London in the first year alone, helping over 1000 patients. Video tutorials and other educational materials are also available on the trust website.</w:t>
      </w:r>
    </w:p>
    <w:p w14:paraId="5ED070C9" w14:textId="77777777" w:rsidR="00C01CEF" w:rsidRPr="00587DF1" w:rsidRDefault="00C01CEF" w:rsidP="00C01CEF">
      <w:pPr>
        <w:rPr>
          <w:rFonts w:ascii="Arial" w:hAnsi="Arial" w:cs="Arial"/>
        </w:rPr>
      </w:pPr>
      <w:r w:rsidRPr="00587DF1">
        <w:rPr>
          <w:rFonts w:ascii="Arial" w:hAnsi="Arial" w:cs="Arial"/>
          <w:b/>
          <w:bCs/>
        </w:rPr>
        <w:t>Moving care closer to home</w:t>
      </w:r>
    </w:p>
    <w:p w14:paraId="7D83CA93" w14:textId="1435B59A" w:rsidR="00C01CEF" w:rsidRPr="00587DF1" w:rsidRDefault="00C01CEF" w:rsidP="00C01CEF">
      <w:pPr>
        <w:rPr>
          <w:rFonts w:ascii="Arial" w:hAnsi="Arial" w:cs="Arial"/>
        </w:rPr>
      </w:pPr>
      <w:r w:rsidRPr="00587DF1">
        <w:rPr>
          <w:rFonts w:ascii="Arial" w:hAnsi="Arial" w:cs="Arial"/>
        </w:rPr>
        <w:t xml:space="preserve">The Long Term Plan (2019) sets out the need to move more appointments from an acute Outpatient setting into the community. Moorfields already works closely with commissioners to ensure that care is provided in the most appropriate setting. The trust has a network of sites which deliver local services to local people (including City Road which delivers local services to the catchment population in North Central London). In some areas, Moorfields is </w:t>
      </w:r>
      <w:r w:rsidRPr="00587DF1">
        <w:rPr>
          <w:rFonts w:ascii="Arial" w:hAnsi="Arial" w:cs="Arial"/>
        </w:rPr>
        <w:lastRenderedPageBreak/>
        <w:t>also working with commissioners to train local optometrists based on the high-street to provide screening, diagnostic and monitoring services. While proving successful in localities such as Bedford, health partners have found it challenging to replicate in Central London areas due to the relatively high turnover in key staff groups. The</w:t>
      </w:r>
      <w:r w:rsidR="00A96CC8" w:rsidRPr="00587DF1">
        <w:rPr>
          <w:rFonts w:ascii="Arial" w:hAnsi="Arial" w:cs="Arial"/>
        </w:rPr>
        <w:t xml:space="preserve"> trust</w:t>
      </w:r>
      <w:r w:rsidRPr="00587DF1">
        <w:rPr>
          <w:rFonts w:ascii="Arial" w:hAnsi="Arial" w:cs="Arial"/>
        </w:rPr>
        <w:t xml:space="preserve"> has strengthened its relationship with commissioners through the public consultation, and NHS</w:t>
      </w:r>
      <w:r w:rsidR="00052E90" w:rsidRPr="00587DF1">
        <w:rPr>
          <w:rFonts w:ascii="Arial" w:hAnsi="Arial" w:cs="Arial"/>
        </w:rPr>
        <w:t xml:space="preserve"> </w:t>
      </w:r>
      <w:r w:rsidRPr="00587DF1">
        <w:rPr>
          <w:rFonts w:ascii="Arial" w:hAnsi="Arial" w:cs="Arial"/>
        </w:rPr>
        <w:t>E</w:t>
      </w:r>
      <w:r w:rsidR="00052E90" w:rsidRPr="00587DF1">
        <w:rPr>
          <w:rFonts w:ascii="Arial" w:hAnsi="Arial" w:cs="Arial"/>
        </w:rPr>
        <w:t>ngland</w:t>
      </w:r>
      <w:r w:rsidRPr="00587DF1">
        <w:rPr>
          <w:rFonts w:ascii="Arial" w:hAnsi="Arial" w:cs="Arial"/>
        </w:rPr>
        <w:t xml:space="preserve"> Specialised Commissioning and the 14 CCGs who commission over £2m of activity from City Road annually have confirmed that the plans for Oriel align with their commissioning intentions. The</w:t>
      </w:r>
      <w:r w:rsidR="00A96CC8" w:rsidRPr="00587DF1">
        <w:rPr>
          <w:rFonts w:ascii="Arial" w:hAnsi="Arial" w:cs="Arial"/>
        </w:rPr>
        <w:t xml:space="preserve"> trust</w:t>
      </w:r>
      <w:r w:rsidRPr="00587DF1">
        <w:rPr>
          <w:rFonts w:ascii="Arial" w:hAnsi="Arial" w:cs="Arial"/>
        </w:rPr>
        <w:t xml:space="preserve"> will continue to work closely with commissioners to ensure ophthalmology services in London are provided in the most effective and efficient way.</w:t>
      </w:r>
    </w:p>
    <w:p w14:paraId="43FF5766" w14:textId="368534AF" w:rsidR="00C01CEF" w:rsidRPr="00587DF1" w:rsidRDefault="00C01CEF" w:rsidP="00C01CEF">
      <w:pPr>
        <w:rPr>
          <w:rFonts w:ascii="Arial" w:hAnsi="Arial" w:cs="Arial"/>
        </w:rPr>
      </w:pPr>
      <w:r w:rsidRPr="00587DF1">
        <w:rPr>
          <w:rFonts w:ascii="Arial" w:hAnsi="Arial" w:cs="Arial"/>
        </w:rPr>
        <w:t>Many of the services provided at City Road are not appropriate or cost-effective to provide in the community, as they require specialist expertise and equipment. Oriel will enable the</w:t>
      </w:r>
      <w:r w:rsidR="00A96CC8" w:rsidRPr="00587DF1">
        <w:rPr>
          <w:rFonts w:ascii="Arial" w:hAnsi="Arial" w:cs="Arial"/>
        </w:rPr>
        <w:t xml:space="preserve"> trust</w:t>
      </w:r>
      <w:r w:rsidRPr="00587DF1">
        <w:rPr>
          <w:rFonts w:ascii="Arial" w:hAnsi="Arial" w:cs="Arial"/>
        </w:rPr>
        <w:t xml:space="preserve"> to deliver more appointments virtually, providing the infrastructure for digital image sharing and teleconferencing.</w:t>
      </w:r>
      <w:r w:rsidR="00C14576">
        <w:rPr>
          <w:rFonts w:ascii="Arial" w:hAnsi="Arial" w:cs="Arial"/>
        </w:rPr>
        <w:t xml:space="preserve"> The virtual clinic model in ophthalmology will free up consultant time, as patients will not need a face-to-face appointment with a consultant, and imaging results can be reviewed from anywhere. </w:t>
      </w:r>
      <w:r w:rsidRPr="00587DF1">
        <w:rPr>
          <w:rFonts w:ascii="Arial" w:hAnsi="Arial" w:cs="Arial"/>
        </w:rPr>
        <w:t xml:space="preserve">The </w:t>
      </w:r>
      <w:r w:rsidR="0004407D">
        <w:rPr>
          <w:rFonts w:ascii="Arial" w:hAnsi="Arial" w:cs="Arial"/>
        </w:rPr>
        <w:t>demand</w:t>
      </w:r>
      <w:r w:rsidRPr="00587DF1">
        <w:rPr>
          <w:rFonts w:ascii="Arial" w:hAnsi="Arial" w:cs="Arial"/>
        </w:rPr>
        <w:t xml:space="preserve"> modelling (described in section </w:t>
      </w:r>
      <w:r w:rsidR="0004407D">
        <w:rPr>
          <w:rFonts w:ascii="Arial" w:hAnsi="Arial" w:cs="Arial"/>
        </w:rPr>
        <w:fldChar w:fldCharType="begin"/>
      </w:r>
      <w:r w:rsidR="0004407D">
        <w:rPr>
          <w:rFonts w:ascii="Arial" w:hAnsi="Arial" w:cs="Arial"/>
        </w:rPr>
        <w:instrText xml:space="preserve"> REF _Ref27114337 \r \h </w:instrText>
      </w:r>
      <w:r w:rsidR="0004407D">
        <w:rPr>
          <w:rFonts w:ascii="Arial" w:hAnsi="Arial" w:cs="Arial"/>
        </w:rPr>
      </w:r>
      <w:r w:rsidR="0004407D">
        <w:rPr>
          <w:rFonts w:ascii="Arial" w:hAnsi="Arial" w:cs="Arial"/>
        </w:rPr>
        <w:fldChar w:fldCharType="separate"/>
      </w:r>
      <w:r w:rsidR="00A936CD">
        <w:rPr>
          <w:rFonts w:ascii="Arial" w:hAnsi="Arial" w:cs="Arial"/>
        </w:rPr>
        <w:t>3.11</w:t>
      </w:r>
      <w:r w:rsidR="0004407D">
        <w:rPr>
          <w:rFonts w:ascii="Arial" w:hAnsi="Arial" w:cs="Arial"/>
        </w:rPr>
        <w:fldChar w:fldCharType="end"/>
      </w:r>
      <w:r w:rsidRPr="00587DF1">
        <w:rPr>
          <w:rFonts w:ascii="Arial" w:hAnsi="Arial" w:cs="Arial"/>
        </w:rPr>
        <w:t>) demonstrates the limited scope for referral avoidance, and the high number of Moorfields appointments which are necessary follow-ups which cannot be avoided. This is a consequence of the number of City Road patients with long-term conditions which require regular monitoring.</w:t>
      </w:r>
    </w:p>
    <w:p w14:paraId="35C8B068" w14:textId="77777777" w:rsidR="00C01CEF" w:rsidRPr="00587DF1" w:rsidRDefault="00C01CEF" w:rsidP="00C01CEF">
      <w:pPr>
        <w:spacing w:after="0"/>
        <w:rPr>
          <w:rFonts w:ascii="Arial" w:eastAsia="Arial" w:hAnsi="Arial" w:cs="Arial"/>
          <w:highlight w:val="yellow"/>
        </w:rPr>
      </w:pPr>
    </w:p>
    <w:p w14:paraId="6F246324" w14:textId="77777777" w:rsidR="00F655AE" w:rsidRPr="00587DF1" w:rsidRDefault="00F655AE" w:rsidP="005E0D57">
      <w:pPr>
        <w:pStyle w:val="Heading2"/>
        <w:numPr>
          <w:ilvl w:val="1"/>
          <w:numId w:val="1"/>
        </w:numPr>
        <w:rPr>
          <w:rFonts w:ascii="Arial" w:eastAsia="Arial" w:hAnsi="Arial" w:cs="Arial"/>
        </w:rPr>
      </w:pPr>
      <w:bookmarkStart w:id="71" w:name="_Ref30419293"/>
      <w:bookmarkStart w:id="72" w:name="_Toc32842682"/>
      <w:r w:rsidRPr="00587DF1">
        <w:rPr>
          <w:rFonts w:ascii="Arial" w:eastAsia="Arial" w:hAnsi="Arial" w:cs="Arial"/>
        </w:rPr>
        <w:t>Determining investment objectives</w:t>
      </w:r>
      <w:bookmarkEnd w:id="71"/>
      <w:bookmarkEnd w:id="72"/>
    </w:p>
    <w:p w14:paraId="06A15493" w14:textId="77777777" w:rsidR="00AF7894" w:rsidRDefault="00AF7894" w:rsidP="00BC5C16">
      <w:pPr>
        <w:pStyle w:val="Body"/>
        <w:rPr>
          <w:rFonts w:ascii="Arial" w:hAnsi="Arial"/>
          <w:b/>
          <w:bCs/>
          <w:sz w:val="22"/>
          <w:szCs w:val="22"/>
        </w:rPr>
      </w:pPr>
    </w:p>
    <w:p w14:paraId="61FC425A" w14:textId="19FE07F9" w:rsidR="00BC5C16" w:rsidRDefault="00BC5C16" w:rsidP="00BC5C16">
      <w:pPr>
        <w:pStyle w:val="Body"/>
        <w:rPr>
          <w:rFonts w:ascii="Arial" w:hAnsi="Arial" w:cs="Arial"/>
          <w:color w:val="auto"/>
          <w:sz w:val="22"/>
          <w:szCs w:val="22"/>
          <w:bdr w:val="none" w:sz="0" w:space="0" w:color="auto"/>
        </w:rPr>
      </w:pPr>
      <w:r>
        <w:rPr>
          <w:rFonts w:ascii="Arial" w:hAnsi="Arial"/>
          <w:b/>
          <w:bCs/>
          <w:sz w:val="22"/>
          <w:szCs w:val="22"/>
        </w:rPr>
        <w:t xml:space="preserve">Vision: </w:t>
      </w:r>
      <w:r w:rsidR="00320059">
        <w:rPr>
          <w:rFonts w:ascii="Arial" w:hAnsi="Arial" w:cs="Arial"/>
          <w:color w:val="auto"/>
          <w:sz w:val="22"/>
          <w:szCs w:val="22"/>
          <w:bdr w:val="none" w:sz="0" w:space="0" w:color="auto"/>
        </w:rPr>
        <w:t>The</w:t>
      </w:r>
      <w:r w:rsidRPr="00EF31C8">
        <w:rPr>
          <w:rFonts w:ascii="Arial" w:hAnsi="Arial" w:cs="Arial"/>
          <w:color w:val="auto"/>
          <w:sz w:val="22"/>
          <w:szCs w:val="22"/>
          <w:bdr w:val="none" w:sz="0" w:space="0" w:color="auto"/>
        </w:rPr>
        <w:t xml:space="preserve"> </w:t>
      </w:r>
      <w:r w:rsidRPr="00BC5C16">
        <w:rPr>
          <w:rFonts w:ascii="Arial" w:hAnsi="Arial" w:cs="Arial"/>
          <w:color w:val="auto"/>
          <w:sz w:val="22"/>
          <w:szCs w:val="22"/>
          <w:bdr w:val="none" w:sz="0" w:space="0" w:color="auto"/>
        </w:rPr>
        <w:t xml:space="preserve">joint vision between </w:t>
      </w:r>
      <w:r w:rsidRPr="00320059">
        <w:rPr>
          <w:rFonts w:ascii="Arial" w:hAnsi="Arial" w:cs="Arial"/>
          <w:color w:val="auto"/>
          <w:sz w:val="22"/>
          <w:szCs w:val="22"/>
          <w:bdr w:val="none" w:sz="0" w:space="0" w:color="auto"/>
        </w:rPr>
        <w:t>UCL and Moorfields, which has been created for Oriel, is:</w:t>
      </w:r>
    </w:p>
    <w:p w14:paraId="78A545E0" w14:textId="05A5EC8B" w:rsidR="00320059" w:rsidRPr="00320059" w:rsidRDefault="00320059" w:rsidP="00190084">
      <w:pPr>
        <w:numPr>
          <w:ilvl w:val="1"/>
          <w:numId w:val="91"/>
        </w:numPr>
        <w:tabs>
          <w:tab w:val="clear" w:pos="1440"/>
          <w:tab w:val="num" w:pos="1985"/>
        </w:tabs>
        <w:overflowPunct w:val="0"/>
        <w:autoSpaceDE w:val="0"/>
        <w:autoSpaceDN w:val="0"/>
        <w:adjustRightInd w:val="0"/>
        <w:spacing w:after="0" w:line="240" w:lineRule="auto"/>
        <w:ind w:left="567"/>
        <w:textAlignment w:val="baseline"/>
        <w:rPr>
          <w:rFonts w:ascii="Arial" w:eastAsia="Arial" w:hAnsi="Arial" w:cs="Arial"/>
        </w:rPr>
      </w:pPr>
      <w:r w:rsidRPr="00320059">
        <w:rPr>
          <w:rFonts w:ascii="Arial" w:eastAsia="Arial" w:hAnsi="Arial" w:cs="Arial"/>
        </w:rPr>
        <w:t xml:space="preserve">We have a cycle of innovation from </w:t>
      </w:r>
      <w:r>
        <w:rPr>
          <w:rFonts w:ascii="Arial" w:eastAsia="Arial" w:hAnsi="Arial" w:cs="Arial"/>
        </w:rPr>
        <w:t>fundamental</w:t>
      </w:r>
      <w:r w:rsidRPr="00320059">
        <w:rPr>
          <w:rFonts w:ascii="Arial" w:eastAsia="Arial" w:hAnsi="Arial" w:cs="Arial"/>
        </w:rPr>
        <w:t xml:space="preserve"> research, clinical research, translational research into clinical practice, improving outcomes for our patients</w:t>
      </w:r>
      <w:r>
        <w:rPr>
          <w:rFonts w:ascii="Arial" w:eastAsia="Arial" w:hAnsi="Arial" w:cs="Arial"/>
        </w:rPr>
        <w:t>.</w:t>
      </w:r>
    </w:p>
    <w:p w14:paraId="77769B75" w14:textId="49705355" w:rsidR="00320059" w:rsidRPr="00320059" w:rsidRDefault="00320059" w:rsidP="00190084">
      <w:pPr>
        <w:numPr>
          <w:ilvl w:val="1"/>
          <w:numId w:val="91"/>
        </w:numPr>
        <w:tabs>
          <w:tab w:val="clear" w:pos="1440"/>
          <w:tab w:val="num" w:pos="1985"/>
        </w:tabs>
        <w:overflowPunct w:val="0"/>
        <w:autoSpaceDE w:val="0"/>
        <w:autoSpaceDN w:val="0"/>
        <w:adjustRightInd w:val="0"/>
        <w:spacing w:after="0" w:line="240" w:lineRule="auto"/>
        <w:ind w:left="567"/>
        <w:textAlignment w:val="baseline"/>
        <w:rPr>
          <w:rFonts w:ascii="Arial" w:eastAsia="Arial" w:hAnsi="Arial" w:cs="Arial"/>
        </w:rPr>
      </w:pPr>
      <w:r w:rsidRPr="00320059">
        <w:rPr>
          <w:rFonts w:ascii="Arial" w:eastAsia="Arial" w:hAnsi="Arial" w:cs="Arial"/>
        </w:rPr>
        <w:t>Oriel will allow greater interaction between clinicians, researchers and patients by removing the physical barriers</w:t>
      </w:r>
      <w:r>
        <w:rPr>
          <w:rFonts w:ascii="Arial" w:eastAsia="Arial" w:hAnsi="Arial" w:cs="Arial"/>
        </w:rPr>
        <w:t>.</w:t>
      </w:r>
    </w:p>
    <w:p w14:paraId="1C36C5BA" w14:textId="7539BE9D" w:rsidR="00320059" w:rsidRPr="00320059" w:rsidRDefault="00320059" w:rsidP="00190084">
      <w:pPr>
        <w:numPr>
          <w:ilvl w:val="1"/>
          <w:numId w:val="91"/>
        </w:numPr>
        <w:tabs>
          <w:tab w:val="clear" w:pos="1440"/>
          <w:tab w:val="num" w:pos="1985"/>
        </w:tabs>
        <w:overflowPunct w:val="0"/>
        <w:autoSpaceDE w:val="0"/>
        <w:autoSpaceDN w:val="0"/>
        <w:adjustRightInd w:val="0"/>
        <w:spacing w:after="0" w:line="240" w:lineRule="auto"/>
        <w:ind w:left="567"/>
        <w:textAlignment w:val="baseline"/>
        <w:rPr>
          <w:rFonts w:ascii="Arial" w:eastAsia="Arial" w:hAnsi="Arial" w:cs="Arial"/>
        </w:rPr>
      </w:pPr>
      <w:r w:rsidRPr="00320059">
        <w:rPr>
          <w:rFonts w:ascii="Arial" w:eastAsia="Arial" w:hAnsi="Arial" w:cs="Arial"/>
        </w:rPr>
        <w:t>The principles are underpinned by a commitment to education, knowledge sharing and training tomorrow’s experts</w:t>
      </w:r>
      <w:r>
        <w:rPr>
          <w:rFonts w:ascii="Arial" w:eastAsia="Arial" w:hAnsi="Arial" w:cs="Arial"/>
        </w:rPr>
        <w:t>.</w:t>
      </w:r>
    </w:p>
    <w:p w14:paraId="030106D1" w14:textId="77777777" w:rsidR="00320059" w:rsidRPr="00320059" w:rsidRDefault="00320059" w:rsidP="00BC5C16">
      <w:pPr>
        <w:pStyle w:val="Body"/>
        <w:rPr>
          <w:rFonts w:ascii="Arial" w:eastAsia="Arial" w:hAnsi="Arial" w:cs="Arial"/>
          <w:sz w:val="22"/>
          <w:szCs w:val="22"/>
        </w:rPr>
      </w:pPr>
    </w:p>
    <w:p w14:paraId="4C238D57" w14:textId="44001556" w:rsidR="00320059" w:rsidRDefault="00320059" w:rsidP="00320059">
      <w:pPr>
        <w:pStyle w:val="Caption"/>
      </w:pPr>
      <w:r>
        <w:lastRenderedPageBreak/>
        <w:t xml:space="preserve">Figure </w:t>
      </w:r>
      <w:r>
        <w:fldChar w:fldCharType="begin"/>
      </w:r>
      <w:r>
        <w:instrText xml:space="preserve"> SEQ Figure \* ARABIC </w:instrText>
      </w:r>
      <w:r>
        <w:fldChar w:fldCharType="separate"/>
      </w:r>
      <w:r w:rsidR="00A936CD">
        <w:rPr>
          <w:noProof/>
        </w:rPr>
        <w:t>9</w:t>
      </w:r>
      <w:r>
        <w:fldChar w:fldCharType="end"/>
      </w:r>
      <w:r>
        <w:t xml:space="preserve">: </w:t>
      </w:r>
      <w:r>
        <w:rPr>
          <w:b w:val="0"/>
          <w:bCs w:val="0"/>
        </w:rPr>
        <w:t>Vision for Oriel</w:t>
      </w:r>
    </w:p>
    <w:p w14:paraId="73FEB038" w14:textId="77777777" w:rsidR="00320059" w:rsidRDefault="00320059" w:rsidP="00F655AE">
      <w:pPr>
        <w:spacing w:after="0"/>
        <w:rPr>
          <w:rFonts w:ascii="Arial" w:eastAsia="Arial" w:hAnsi="Arial" w:cs="Arial"/>
          <w:color w:val="FF0000"/>
        </w:rPr>
      </w:pPr>
      <w:r>
        <w:rPr>
          <w:noProof/>
        </w:rPr>
        <w:drawing>
          <wp:inline distT="0" distB="0" distL="0" distR="0" wp14:anchorId="3E91D15F" wp14:editId="640734A7">
            <wp:extent cx="4042815" cy="3000375"/>
            <wp:effectExtent l="0" t="0" r="0" b="0"/>
            <wp:docPr id="1483731207" name="Picture 148373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24" t="4427"/>
                    <a:stretch/>
                  </pic:blipFill>
                  <pic:spPr bwMode="auto">
                    <a:xfrm>
                      <a:off x="0" y="0"/>
                      <a:ext cx="4049468" cy="3005312"/>
                    </a:xfrm>
                    <a:prstGeom prst="rect">
                      <a:avLst/>
                    </a:prstGeom>
                    <a:ln>
                      <a:noFill/>
                    </a:ln>
                    <a:extLst>
                      <a:ext uri="{53640926-AAD7-44D8-BBD7-CCE9431645EC}">
                        <a14:shadowObscured xmlns:a14="http://schemas.microsoft.com/office/drawing/2010/main"/>
                      </a:ext>
                    </a:extLst>
                  </pic:spPr>
                </pic:pic>
              </a:graphicData>
            </a:graphic>
          </wp:inline>
        </w:drawing>
      </w:r>
    </w:p>
    <w:p w14:paraId="0AD24329" w14:textId="77777777" w:rsidR="00320059" w:rsidRPr="00320059" w:rsidRDefault="00320059" w:rsidP="00F655AE">
      <w:pPr>
        <w:spacing w:after="0"/>
        <w:rPr>
          <w:rFonts w:ascii="Arial" w:eastAsia="Arial" w:hAnsi="Arial" w:cs="Arial"/>
          <w:color w:val="FF0000"/>
        </w:rPr>
      </w:pPr>
    </w:p>
    <w:p w14:paraId="151CAD68" w14:textId="77777777" w:rsidR="00F655AE" w:rsidRPr="00587DF1" w:rsidRDefault="00F655AE" w:rsidP="00F655AE">
      <w:pPr>
        <w:spacing w:after="0"/>
        <w:rPr>
          <w:rFonts w:ascii="Arial" w:eastAsia="Arial" w:hAnsi="Arial" w:cs="Arial"/>
        </w:rPr>
      </w:pPr>
      <w:r w:rsidRPr="00320059">
        <w:rPr>
          <w:rFonts w:ascii="Arial" w:eastAsia="Arial" w:hAnsi="Arial" w:cs="Arial"/>
        </w:rPr>
        <w:t>The following</w:t>
      </w:r>
      <w:r w:rsidR="00BC5C16" w:rsidRPr="00320059">
        <w:rPr>
          <w:rFonts w:ascii="Arial" w:eastAsia="Arial" w:hAnsi="Arial" w:cs="Arial"/>
        </w:rPr>
        <w:t xml:space="preserve"> joint</w:t>
      </w:r>
      <w:r w:rsidRPr="00320059">
        <w:rPr>
          <w:rFonts w:ascii="Arial" w:eastAsia="Arial" w:hAnsi="Arial" w:cs="Arial"/>
        </w:rPr>
        <w:t xml:space="preserve"> </w:t>
      </w:r>
      <w:r w:rsidRPr="00320059">
        <w:rPr>
          <w:rFonts w:ascii="Arial" w:eastAsia="Arial" w:hAnsi="Arial" w:cs="Arial"/>
          <w:b/>
        </w:rPr>
        <w:t>investment objectives</w:t>
      </w:r>
      <w:r w:rsidRPr="00587DF1">
        <w:rPr>
          <w:rFonts w:ascii="Arial" w:eastAsia="Arial" w:hAnsi="Arial" w:cs="Arial"/>
        </w:rPr>
        <w:t xml:space="preserve"> have been developed for </w:t>
      </w:r>
      <w:r w:rsidR="00BC5C16">
        <w:rPr>
          <w:rFonts w:ascii="Arial" w:eastAsia="Arial" w:hAnsi="Arial" w:cs="Arial"/>
        </w:rPr>
        <w:t>Oriel</w:t>
      </w:r>
      <w:r w:rsidRPr="00587DF1">
        <w:rPr>
          <w:rFonts w:ascii="Arial" w:eastAsia="Arial" w:hAnsi="Arial" w:cs="Arial"/>
        </w:rPr>
        <w:t xml:space="preserve"> in support of this vision. These have been developed from the SOC and PCBC, in consultation with staff, commissioners and other key stakeholders</w:t>
      </w:r>
      <w:r w:rsidR="00BC5C16">
        <w:rPr>
          <w:rFonts w:ascii="Arial" w:eastAsia="Arial" w:hAnsi="Arial" w:cs="Arial"/>
        </w:rPr>
        <w:t xml:space="preserve"> from Moorfields and UCL</w:t>
      </w:r>
      <w:r w:rsidR="00657038" w:rsidRPr="00587DF1">
        <w:rPr>
          <w:rFonts w:ascii="Arial" w:eastAsia="Arial" w:hAnsi="Arial" w:cs="Arial"/>
        </w:rPr>
        <w:t>:</w:t>
      </w:r>
    </w:p>
    <w:p w14:paraId="083518BF" w14:textId="77777777" w:rsidR="00657038" w:rsidRPr="00587DF1" w:rsidRDefault="00657038" w:rsidP="00F655AE">
      <w:pPr>
        <w:spacing w:after="0"/>
        <w:rPr>
          <w:rFonts w:ascii="Arial" w:eastAsia="Arial" w:hAnsi="Arial" w:cs="Arial"/>
        </w:rPr>
      </w:pPr>
    </w:p>
    <w:p w14:paraId="78030012" w14:textId="557D0889" w:rsidR="00657038" w:rsidRPr="00587DF1" w:rsidRDefault="00657038" w:rsidP="00657038">
      <w:pPr>
        <w:pStyle w:val="Caption"/>
      </w:pPr>
      <w:bookmarkStart w:id="73" w:name="_Ref24984658"/>
      <w:r w:rsidRPr="00587DF1">
        <w:t xml:space="preserve">Table </w:t>
      </w:r>
      <w:r w:rsidRPr="00587DF1">
        <w:fldChar w:fldCharType="begin"/>
      </w:r>
      <w:r w:rsidRPr="00587DF1">
        <w:instrText xml:space="preserve"> SEQ Table \* ARABIC </w:instrText>
      </w:r>
      <w:r w:rsidRPr="00587DF1">
        <w:fldChar w:fldCharType="separate"/>
      </w:r>
      <w:r w:rsidR="00A936CD">
        <w:rPr>
          <w:noProof/>
        </w:rPr>
        <w:t>11</w:t>
      </w:r>
      <w:r w:rsidRPr="00587DF1">
        <w:fldChar w:fldCharType="end"/>
      </w:r>
      <w:bookmarkEnd w:id="73"/>
      <w:r w:rsidR="000E08B9">
        <w:t>:</w:t>
      </w:r>
      <w:r w:rsidRPr="00587DF1">
        <w:rPr>
          <w:b w:val="0"/>
          <w:bCs w:val="0"/>
        </w:rPr>
        <w:t xml:space="preserve"> Oriel investment objectives</w:t>
      </w:r>
    </w:p>
    <w:p w14:paraId="2626A495" w14:textId="77777777" w:rsidR="00F655AE" w:rsidRPr="00587DF1" w:rsidRDefault="00F655AE" w:rsidP="00F655AE">
      <w:pPr>
        <w:spacing w:after="0"/>
        <w:rPr>
          <w:rFonts w:ascii="Arial" w:eastAsia="Arial" w:hAnsi="Arial" w:cs="Arial"/>
        </w:rPr>
      </w:pPr>
      <w:r w:rsidRPr="00587DF1">
        <w:rPr>
          <w:rFonts w:ascii="Arial" w:hAnsi="Arial" w:cs="Arial"/>
          <w:noProof/>
        </w:rPr>
        <w:drawing>
          <wp:inline distT="0" distB="0" distL="0" distR="0" wp14:anchorId="3AC19FB4" wp14:editId="037BD2E6">
            <wp:extent cx="5731510" cy="3621384"/>
            <wp:effectExtent l="0" t="0" r="2540" b="0"/>
            <wp:docPr id="1483731226" name="Picture 148373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3621384"/>
                    </a:xfrm>
                    <a:prstGeom prst="rect">
                      <a:avLst/>
                    </a:prstGeom>
                  </pic:spPr>
                </pic:pic>
              </a:graphicData>
            </a:graphic>
          </wp:inline>
        </w:drawing>
      </w:r>
    </w:p>
    <w:p w14:paraId="3384AD4A" w14:textId="77777777" w:rsidR="00F655AE" w:rsidRPr="00587DF1" w:rsidRDefault="00F655AE" w:rsidP="00F655AE">
      <w:pPr>
        <w:spacing w:after="0"/>
        <w:rPr>
          <w:rFonts w:ascii="Arial" w:eastAsia="Arial" w:hAnsi="Arial" w:cs="Arial"/>
        </w:rPr>
      </w:pPr>
    </w:p>
    <w:p w14:paraId="03F8BC77" w14:textId="77777777" w:rsidR="001D71F5" w:rsidRPr="00587DF1" w:rsidRDefault="001D71F5" w:rsidP="00F655AE">
      <w:pPr>
        <w:spacing w:after="0"/>
        <w:rPr>
          <w:rFonts w:ascii="Arial" w:eastAsia="Arial" w:hAnsi="Arial" w:cs="Arial"/>
        </w:rPr>
      </w:pPr>
    </w:p>
    <w:p w14:paraId="7862C6C4" w14:textId="77777777" w:rsidR="001D71F5" w:rsidRPr="00587DF1" w:rsidRDefault="00BC5C16" w:rsidP="005E0D57">
      <w:pPr>
        <w:pStyle w:val="Heading2"/>
        <w:numPr>
          <w:ilvl w:val="1"/>
          <w:numId w:val="1"/>
        </w:numPr>
        <w:rPr>
          <w:rFonts w:ascii="Arial" w:eastAsia="Arial" w:hAnsi="Arial" w:cs="Arial"/>
        </w:rPr>
      </w:pPr>
      <w:bookmarkStart w:id="74" w:name="_Ref27744582"/>
      <w:bookmarkStart w:id="75" w:name="_Toc32842683"/>
      <w:r>
        <w:rPr>
          <w:rFonts w:ascii="Arial" w:eastAsia="Arial" w:hAnsi="Arial" w:cs="Arial"/>
        </w:rPr>
        <w:lastRenderedPageBreak/>
        <w:t>Case for change – e</w:t>
      </w:r>
      <w:r w:rsidR="001D71F5" w:rsidRPr="00587DF1">
        <w:rPr>
          <w:rFonts w:ascii="Arial" w:eastAsia="Arial" w:hAnsi="Arial" w:cs="Arial"/>
        </w:rPr>
        <w:t>xisting arrangements and business needs</w:t>
      </w:r>
      <w:bookmarkEnd w:id="74"/>
      <w:bookmarkEnd w:id="75"/>
    </w:p>
    <w:p w14:paraId="00704D7C" w14:textId="77777777" w:rsidR="00E47761" w:rsidRPr="00587DF1" w:rsidRDefault="00E47761" w:rsidP="00F655AE">
      <w:pPr>
        <w:spacing w:after="0"/>
        <w:rPr>
          <w:rFonts w:ascii="Arial" w:eastAsia="Arial" w:hAnsi="Arial" w:cs="Arial"/>
        </w:rPr>
      </w:pPr>
    </w:p>
    <w:p w14:paraId="6F594052" w14:textId="3D3DA342" w:rsidR="00BC5C16" w:rsidRDefault="00BC5C16" w:rsidP="00BC5C16">
      <w:pPr>
        <w:spacing w:after="0"/>
        <w:rPr>
          <w:rFonts w:ascii="Arial" w:eastAsia="Arial" w:hAnsi="Arial" w:cs="Arial"/>
        </w:rPr>
      </w:pPr>
      <w:r w:rsidRPr="00587DF1">
        <w:rPr>
          <w:rFonts w:ascii="Arial" w:eastAsia="Arial" w:hAnsi="Arial" w:cs="Arial"/>
        </w:rPr>
        <w:t xml:space="preserve">The case for change is primarily a </w:t>
      </w:r>
      <w:r w:rsidRPr="00587DF1">
        <w:rPr>
          <w:rFonts w:ascii="Arial" w:eastAsia="Arial" w:hAnsi="Arial" w:cs="Arial"/>
          <w:b/>
          <w:bCs/>
        </w:rPr>
        <w:t xml:space="preserve">replacement </w:t>
      </w:r>
      <w:r w:rsidRPr="00587DF1">
        <w:rPr>
          <w:rFonts w:ascii="Arial" w:eastAsia="Arial" w:hAnsi="Arial" w:cs="Arial"/>
        </w:rPr>
        <w:t xml:space="preserve">case, as the current City Road site is no longer fit for purpose. Most of the City Road site is over 100 years old, with parts being </w:t>
      </w:r>
      <w:r w:rsidR="004040D3">
        <w:rPr>
          <w:rFonts w:ascii="Arial" w:eastAsia="Arial" w:hAnsi="Arial" w:cs="Arial"/>
        </w:rPr>
        <w:t>around</w:t>
      </w:r>
      <w:r w:rsidRPr="00587DF1">
        <w:rPr>
          <w:rFonts w:ascii="Arial" w:eastAsia="Arial" w:hAnsi="Arial" w:cs="Arial"/>
        </w:rPr>
        <w:t xml:space="preserve"> 125 years old. These have been the subject of incremental modifications, refurbishments and upgrading works over time, however the layout and the quality of the buildings limit the quality of care that can be provided. </w:t>
      </w:r>
      <w:r w:rsidR="00320059">
        <w:rPr>
          <w:rFonts w:ascii="Arial" w:eastAsia="Arial" w:hAnsi="Arial" w:cs="Arial"/>
        </w:rPr>
        <w:t>The sections below describe how c</w:t>
      </w:r>
      <w:r w:rsidRPr="00587DF1">
        <w:rPr>
          <w:rFonts w:ascii="Arial" w:eastAsia="Arial" w:hAnsi="Arial" w:cs="Arial"/>
        </w:rPr>
        <w:t xml:space="preserve">ontinuing to operate from </w:t>
      </w:r>
      <w:r w:rsidR="00320059">
        <w:rPr>
          <w:rFonts w:ascii="Arial" w:eastAsia="Arial" w:hAnsi="Arial" w:cs="Arial"/>
        </w:rPr>
        <w:t xml:space="preserve">the City Road site </w:t>
      </w:r>
      <w:r w:rsidRPr="00587DF1">
        <w:rPr>
          <w:rFonts w:ascii="Arial" w:eastAsia="Arial" w:hAnsi="Arial" w:cs="Arial"/>
        </w:rPr>
        <w:t xml:space="preserve">presents </w:t>
      </w:r>
      <w:r w:rsidR="00320059">
        <w:rPr>
          <w:rFonts w:ascii="Arial" w:eastAsia="Arial" w:hAnsi="Arial" w:cs="Arial"/>
        </w:rPr>
        <w:t>major issues</w:t>
      </w:r>
      <w:r>
        <w:rPr>
          <w:rFonts w:ascii="Arial" w:eastAsia="Arial" w:hAnsi="Arial" w:cs="Arial"/>
        </w:rPr>
        <w:t>, along with how these issues can be addressed and the benefits that would bring</w:t>
      </w:r>
      <w:r w:rsidRPr="00587DF1">
        <w:rPr>
          <w:rFonts w:ascii="Arial" w:eastAsia="Arial" w:hAnsi="Arial" w:cs="Arial"/>
        </w:rPr>
        <w:t xml:space="preserve"> (note, benefits are further detailed in the benefits realisation plan at Appendix </w:t>
      </w:r>
      <w:r w:rsidR="0004407D">
        <w:rPr>
          <w:rFonts w:ascii="Arial" w:eastAsia="Arial" w:hAnsi="Arial" w:cs="Arial"/>
        </w:rPr>
        <w:t>8A</w:t>
      </w:r>
      <w:r w:rsidRPr="00587DF1">
        <w:rPr>
          <w:rFonts w:ascii="Arial" w:eastAsia="Arial" w:hAnsi="Arial" w:cs="Arial"/>
        </w:rPr>
        <w:t>).</w:t>
      </w:r>
    </w:p>
    <w:p w14:paraId="4E05856C" w14:textId="77777777" w:rsidR="00BC5C16" w:rsidRDefault="00BC5C16" w:rsidP="00BC5C16">
      <w:pPr>
        <w:spacing w:after="0"/>
        <w:rPr>
          <w:rFonts w:ascii="Arial" w:eastAsia="Arial" w:hAnsi="Arial" w:cs="Arial"/>
        </w:rPr>
      </w:pPr>
    </w:p>
    <w:p w14:paraId="44DC5A60" w14:textId="77777777" w:rsidR="00BC5C16" w:rsidRPr="00587DF1" w:rsidRDefault="00BC5C16" w:rsidP="00BC5C16">
      <w:pPr>
        <w:spacing w:after="0"/>
        <w:rPr>
          <w:rFonts w:ascii="Arial" w:eastAsia="Arial" w:hAnsi="Arial" w:cs="Arial"/>
        </w:rPr>
      </w:pPr>
      <w:r w:rsidRPr="00587DF1">
        <w:rPr>
          <w:rFonts w:ascii="Arial" w:eastAsia="Arial" w:hAnsi="Arial" w:cs="Arial"/>
        </w:rPr>
        <w:t>The</w:t>
      </w:r>
      <w:r>
        <w:rPr>
          <w:rFonts w:ascii="Arial" w:eastAsia="Arial" w:hAnsi="Arial" w:cs="Arial"/>
        </w:rPr>
        <w:t>se are</w:t>
      </w:r>
      <w:r w:rsidRPr="00587DF1">
        <w:rPr>
          <w:rFonts w:ascii="Arial" w:eastAsia="Arial" w:hAnsi="Arial" w:cs="Arial"/>
        </w:rPr>
        <w:t xml:space="preserve"> linked to the investment objectives, with the exception of objective 6 which relates solely to the UCL IoO.</w:t>
      </w:r>
    </w:p>
    <w:p w14:paraId="5483DC0E" w14:textId="77777777" w:rsidR="001D71F5" w:rsidRPr="00587DF1" w:rsidRDefault="001D71F5" w:rsidP="001D71F5">
      <w:pPr>
        <w:spacing w:after="0"/>
        <w:rPr>
          <w:rFonts w:ascii="Arial" w:eastAsia="Arial" w:hAnsi="Arial" w:cs="Arial"/>
          <w:b/>
          <w:bCs/>
        </w:rPr>
      </w:pPr>
    </w:p>
    <w:p w14:paraId="619DF45A" w14:textId="77777777" w:rsidR="001D71F5" w:rsidRPr="00587DF1" w:rsidRDefault="001D71F5" w:rsidP="005E0D57">
      <w:pPr>
        <w:pStyle w:val="Heading2"/>
        <w:numPr>
          <w:ilvl w:val="2"/>
          <w:numId w:val="1"/>
        </w:numPr>
        <w:rPr>
          <w:rFonts w:ascii="Arial" w:eastAsia="Arial" w:hAnsi="Arial" w:cs="Arial"/>
          <w:sz w:val="22"/>
          <w:szCs w:val="22"/>
        </w:rPr>
      </w:pPr>
      <w:bookmarkStart w:id="76" w:name="_Ref24699418"/>
      <w:bookmarkStart w:id="77" w:name="_Toc27129264"/>
      <w:bookmarkStart w:id="78" w:name="_Toc27746664"/>
      <w:bookmarkStart w:id="79" w:name="_Toc30168729"/>
      <w:bookmarkStart w:id="80" w:name="_Toc30670665"/>
      <w:bookmarkStart w:id="81" w:name="_Toc32842684"/>
      <w:r w:rsidRPr="00587DF1">
        <w:rPr>
          <w:rFonts w:ascii="Arial" w:eastAsia="Arial" w:hAnsi="Arial" w:cs="Arial"/>
          <w:sz w:val="22"/>
          <w:szCs w:val="22"/>
        </w:rPr>
        <w:t>Poor patient experience arising from the estate</w:t>
      </w:r>
      <w:bookmarkEnd w:id="76"/>
      <w:bookmarkEnd w:id="77"/>
      <w:bookmarkEnd w:id="78"/>
      <w:bookmarkEnd w:id="79"/>
      <w:bookmarkEnd w:id="80"/>
      <w:bookmarkEnd w:id="81"/>
    </w:p>
    <w:p w14:paraId="03B416C9" w14:textId="1113D8EF" w:rsidR="00044DCA" w:rsidRPr="00587DF1" w:rsidRDefault="00044DCA" w:rsidP="001D71F5">
      <w:pPr>
        <w:spacing w:after="0"/>
        <w:rPr>
          <w:rFonts w:ascii="Arial" w:eastAsia="Arial" w:hAnsi="Arial" w:cs="Arial"/>
          <w:i/>
          <w:iCs/>
        </w:rPr>
      </w:pPr>
      <w:r w:rsidRPr="00587DF1">
        <w:rPr>
          <w:rFonts w:ascii="Arial" w:eastAsia="Arial" w:hAnsi="Arial" w:cs="Arial"/>
          <w:i/>
          <w:iCs/>
        </w:rPr>
        <w:t>This specifically relates to objectives 1 &amp; 7</w:t>
      </w:r>
      <w:r w:rsidR="00657038" w:rsidRPr="00587DF1">
        <w:rPr>
          <w:rFonts w:ascii="Arial" w:eastAsia="Arial" w:hAnsi="Arial" w:cs="Arial"/>
          <w:i/>
          <w:iCs/>
        </w:rPr>
        <w:t xml:space="preserve"> (</w:t>
      </w:r>
      <w:r w:rsidR="00657038" w:rsidRPr="00587DF1">
        <w:rPr>
          <w:rFonts w:ascii="Arial" w:eastAsia="Arial" w:hAnsi="Arial" w:cs="Arial"/>
          <w:i/>
          <w:iCs/>
        </w:rPr>
        <w:fldChar w:fldCharType="begin"/>
      </w:r>
      <w:r w:rsidR="00657038" w:rsidRPr="00587DF1">
        <w:rPr>
          <w:rFonts w:ascii="Arial" w:eastAsia="Arial" w:hAnsi="Arial" w:cs="Arial"/>
          <w:i/>
          <w:iCs/>
        </w:rPr>
        <w:instrText xml:space="preserve"> REF _Ref24984658 \h  \* MERGEFORMAT </w:instrText>
      </w:r>
      <w:r w:rsidR="00657038" w:rsidRPr="00587DF1">
        <w:rPr>
          <w:rFonts w:ascii="Arial" w:eastAsia="Arial" w:hAnsi="Arial" w:cs="Arial"/>
          <w:i/>
          <w:iCs/>
        </w:rPr>
      </w:r>
      <w:r w:rsidR="00657038" w:rsidRPr="00587DF1">
        <w:rPr>
          <w:rFonts w:ascii="Arial" w:eastAsia="Arial" w:hAnsi="Arial" w:cs="Arial"/>
          <w:i/>
          <w:iCs/>
        </w:rPr>
        <w:fldChar w:fldCharType="separate"/>
      </w:r>
      <w:r w:rsidR="00A936CD" w:rsidRPr="00A936CD">
        <w:rPr>
          <w:rFonts w:ascii="Arial" w:eastAsia="Arial" w:hAnsi="Arial" w:cs="Arial"/>
          <w:i/>
          <w:iCs/>
        </w:rPr>
        <w:t>Table 11</w:t>
      </w:r>
      <w:r w:rsidR="00657038" w:rsidRPr="00587DF1">
        <w:rPr>
          <w:rFonts w:ascii="Arial" w:eastAsia="Arial" w:hAnsi="Arial" w:cs="Arial"/>
          <w:i/>
          <w:iCs/>
        </w:rPr>
        <w:fldChar w:fldCharType="end"/>
      </w:r>
      <w:r w:rsidR="00657038" w:rsidRPr="00587DF1">
        <w:rPr>
          <w:rFonts w:ascii="Arial" w:eastAsia="Arial" w:hAnsi="Arial" w:cs="Arial"/>
          <w:i/>
          <w:iCs/>
        </w:rPr>
        <w:t>).</w:t>
      </w:r>
    </w:p>
    <w:p w14:paraId="2EDADAB0" w14:textId="77777777" w:rsidR="00044DCA" w:rsidRPr="00587DF1" w:rsidRDefault="00044DCA" w:rsidP="001D71F5">
      <w:pPr>
        <w:spacing w:after="0"/>
        <w:rPr>
          <w:rFonts w:ascii="Arial" w:eastAsia="Arial" w:hAnsi="Arial" w:cs="Arial"/>
          <w:b/>
          <w:bCs/>
          <w:i/>
          <w:iCs/>
          <w:color w:val="00A09D"/>
        </w:rPr>
      </w:pPr>
    </w:p>
    <w:p w14:paraId="1D045839" w14:textId="77777777" w:rsidR="001D71F5" w:rsidRPr="00587DF1" w:rsidRDefault="001D71F5" w:rsidP="001D71F5">
      <w:pPr>
        <w:spacing w:after="0"/>
        <w:rPr>
          <w:rFonts w:ascii="Arial" w:eastAsia="Arial" w:hAnsi="Arial" w:cs="Arial"/>
          <w:color w:val="00A09D"/>
        </w:rPr>
      </w:pPr>
      <w:r w:rsidRPr="00587DF1">
        <w:rPr>
          <w:rFonts w:ascii="Arial" w:eastAsia="Arial" w:hAnsi="Arial" w:cs="Arial"/>
          <w:b/>
          <w:bCs/>
          <w:i/>
          <w:iCs/>
          <w:color w:val="00A09D"/>
        </w:rPr>
        <w:t>Where are we now?</w:t>
      </w:r>
    </w:p>
    <w:p w14:paraId="4AB944B8" w14:textId="6112712C" w:rsidR="001D71F5" w:rsidRPr="00587DF1" w:rsidRDefault="00C25F02" w:rsidP="001D71F5">
      <w:pPr>
        <w:spacing w:after="0"/>
        <w:rPr>
          <w:rFonts w:ascii="Arial" w:eastAsia="Arial" w:hAnsi="Arial" w:cs="Arial"/>
        </w:rPr>
      </w:pPr>
      <w:r w:rsidRPr="00587DF1">
        <w:rPr>
          <w:rFonts w:ascii="Arial" w:eastAsia="Arial" w:hAnsi="Arial" w:cs="Arial"/>
        </w:rPr>
        <w:t xml:space="preserve">The City Road site is not fit-for-purpose for patients with sight-loss, </w:t>
      </w:r>
      <w:r w:rsidR="001D0A5D">
        <w:rPr>
          <w:rFonts w:ascii="Arial" w:eastAsia="Arial" w:hAnsi="Arial" w:cs="Arial"/>
        </w:rPr>
        <w:t xml:space="preserve">which has a negative impact on </w:t>
      </w:r>
      <w:r w:rsidRPr="00587DF1">
        <w:rPr>
          <w:rFonts w:ascii="Arial" w:eastAsia="Arial" w:hAnsi="Arial" w:cs="Arial"/>
        </w:rPr>
        <w:t xml:space="preserve">patient experience. </w:t>
      </w:r>
      <w:r w:rsidR="001D71F5" w:rsidRPr="00587DF1">
        <w:rPr>
          <w:rFonts w:ascii="Arial" w:eastAsia="Arial" w:hAnsi="Arial" w:cs="Arial"/>
        </w:rPr>
        <w:t>While patients give positive feedback on the quality of the care they receive at Moorfields, the estate presents a number of issues:</w:t>
      </w:r>
    </w:p>
    <w:p w14:paraId="408E21A8" w14:textId="13399BCB" w:rsidR="001D71F5" w:rsidRPr="00587DF1" w:rsidRDefault="00D90233" w:rsidP="005E0D57">
      <w:pPr>
        <w:pStyle w:val="ListParagraph"/>
        <w:numPr>
          <w:ilvl w:val="0"/>
          <w:numId w:val="57"/>
        </w:numPr>
        <w:spacing w:after="0"/>
        <w:rPr>
          <w:rFonts w:ascii="Arial" w:eastAsia="Arial" w:hAnsi="Arial" w:cs="Arial"/>
        </w:rPr>
      </w:pPr>
      <w:r w:rsidRPr="00587DF1">
        <w:rPr>
          <w:rFonts w:ascii="Arial" w:hAnsi="Arial" w:cs="Arial"/>
          <w:noProof/>
        </w:rPr>
        <mc:AlternateContent>
          <mc:Choice Requires="wps">
            <w:drawing>
              <wp:anchor distT="45720" distB="45720" distL="114300" distR="114300" simplePos="0" relativeHeight="251657216" behindDoc="0" locked="0" layoutInCell="1" allowOverlap="1" wp14:anchorId="1556DD7B" wp14:editId="40566811">
                <wp:simplePos x="0" y="0"/>
                <wp:positionH relativeFrom="column">
                  <wp:posOffset>4110990</wp:posOffset>
                </wp:positionH>
                <wp:positionV relativeFrom="paragraph">
                  <wp:posOffset>332105</wp:posOffset>
                </wp:positionV>
                <wp:extent cx="1977390" cy="1404620"/>
                <wp:effectExtent l="0" t="0" r="22860" b="273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1404620"/>
                        </a:xfrm>
                        <a:prstGeom prst="rect">
                          <a:avLst/>
                        </a:prstGeom>
                        <a:solidFill>
                          <a:srgbClr val="DEECEF"/>
                        </a:solidFill>
                        <a:ln w="9525">
                          <a:solidFill>
                            <a:srgbClr val="5AA0AE"/>
                          </a:solidFill>
                          <a:miter lim="800000"/>
                          <a:headEnd/>
                          <a:tailEnd/>
                        </a:ln>
                      </wps:spPr>
                      <wps:txbx>
                        <w:txbxContent>
                          <w:p w14:paraId="19678305" w14:textId="77777777" w:rsidR="005A7607" w:rsidRPr="00937174" w:rsidRDefault="005A7607" w:rsidP="00937174">
                            <w:pPr>
                              <w:pStyle w:val="NormalWeb"/>
                              <w:spacing w:line="276" w:lineRule="auto"/>
                              <w:rPr>
                                <w:rFonts w:ascii="Arial" w:eastAsia="Cambria" w:hAnsi="Arial" w:cs="Arial"/>
                                <w:i/>
                                <w:iCs/>
                                <w:sz w:val="22"/>
                                <w:szCs w:val="22"/>
                                <w:lang w:val="en-US" w:eastAsia="en-US"/>
                              </w:rPr>
                            </w:pPr>
                            <w:r w:rsidRPr="00937174">
                              <w:rPr>
                                <w:rFonts w:ascii="Arial" w:hAnsi="Arial" w:cs="Arial"/>
                                <w:i/>
                                <w:iCs/>
                                <w:sz w:val="22"/>
                                <w:szCs w:val="22"/>
                              </w:rPr>
                              <w:t>“</w:t>
                            </w:r>
                            <w:r w:rsidRPr="00937174">
                              <w:rPr>
                                <w:rFonts w:ascii="Arial" w:eastAsia="Cambria" w:hAnsi="Arial" w:cs="Arial"/>
                                <w:i/>
                                <w:iCs/>
                                <w:sz w:val="22"/>
                                <w:szCs w:val="22"/>
                                <w:lang w:val="en-US" w:eastAsia="en-US"/>
                              </w:rPr>
                              <w:t>I have helped older people for whom English is not their first language who were waiting for a long time without a drink or a visit to the toilet, because they were worried about missing their appointment.”</w:t>
                            </w:r>
                          </w:p>
                          <w:p w14:paraId="331A1F7F" w14:textId="77777777" w:rsidR="005A7607" w:rsidRPr="00937174" w:rsidRDefault="005A7607" w:rsidP="00937174">
                            <w:pPr>
                              <w:spacing w:after="0"/>
                              <w:jc w:val="right"/>
                              <w:rPr>
                                <w:rFonts w:ascii="Arial" w:hAnsi="Arial" w:cs="Arial"/>
                                <w:b/>
                                <w:i/>
                                <w:iCs/>
                              </w:rPr>
                            </w:pPr>
                            <w:r w:rsidRPr="00937174">
                              <w:rPr>
                                <w:rFonts w:ascii="Arial" w:hAnsi="Arial" w:cs="Arial"/>
                                <w:b/>
                                <w:i/>
                                <w:iCs/>
                              </w:rPr>
                              <w:t>Moorfields staff member (public consultation)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56DD7B" id="_x0000_s1029" type="#_x0000_t202" style="position:absolute;left:0;text-align:left;margin-left:323.7pt;margin-top:26.15pt;width:155.7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r9WbLgIAAEwEAAAOAAAAZHJzL2Uyb0RvYy54bWysVNuO2yAQfa/Uf0C8N3ayyWZjxVmluVSV&#13;&#10;thdptx9AMI5RgaFAYqdf3wFns9G2fanqBzQww2HmnBnP7zutyFE4L8GUdDjIKRGGQyXNvqTfnrbv&#13;&#10;7ijxgZmKKTCipCfh6f3i7Zt5awsxggZUJRxBEOOL1pa0CcEWWeZ5IzTzA7DCoLMGp1nArdtnlWMt&#13;&#10;omuVjfL8NmvBVdYBF97j6bp30kXCr2vBw5e69iIQVVLMLaTVpXUX12wxZ8XeMdtIfk6D/UMWmkmD&#13;&#10;j16g1iwwcnDyNygtuQMPdRhw0BnUteQi1YDVDPNX1Tw2zIpUC5Lj7YUm//9g+efjV0dkVdIJJYZp&#13;&#10;lOhJdIG8h46MIjut9QUGPVoMCx0eo8qpUm8fgH/3xMCqYWYvls5B2whWYXbDeDO7utrj+Aiyaz9B&#13;&#10;hc+wQ4AE1NVOR+qQDILoqNLpokxMhccnZ9PpzQxdHH3DcT6+HSXtMlY8X7fOhw8CNIlGSR1Kn+DZ&#13;&#10;8cGHmA4rnkPiax6UrLZSqbRx+91KOXJk2CbrzWa12aYKXoUpQ9qSziajSc/AXyEmy2W+3PwJQsuA&#13;&#10;/a6kLuldHr8YxIrI28ZUyQ5Mqt7GlJU5Exm561kM3a5Lit3Eu5HkHVQnZNZB3944jmg04H5S0mJr&#13;&#10;l9T/ODAnKFEfDaozG47HcRbSZjyZIpXEXXt21x5mOEKVNFDSm6uQ5ifxZpeo4lYmfl8yOaeMLZto&#13;&#10;P49XnInrfYp6+QksfgEAAP//AwBQSwMEFAAGAAgAAAAhAIkzVCfmAAAADwEAAA8AAABkcnMvZG93&#13;&#10;bnJldi54bWxMj8FOwzAQRO9I/IO1SFwQdUibuk3jVFERF4qQKBw4urFJDPE6it0m/D3LCS4rrXZm&#13;&#10;dl6xnVzHzmYI1qOEu1kCzGDttcVGwtvrw+0KWIgKteo8GgnfJsC2vLwoVK79iC/mfIgNoxAMuZLQ&#13;&#10;xtjnnIe6NU6Fme8N0u3DD05FWoeG60GNFO46nibJkjtlkT60qje71tRfh5OT8PheWfEkduJzHZqu&#13;&#10;GpPnveU3Ul5fTfcbGtUGWDRT/HPALwP1h5KKHf0JdWCdhOVCLEgqIUvnwEiwzlYEdJSQinkGvCz4&#13;&#10;f47yBwAA//8DAFBLAQItABQABgAIAAAAIQC2gziS/gAAAOEBAAATAAAAAAAAAAAAAAAAAAAAAABb&#13;&#10;Q29udGVudF9UeXBlc10ueG1sUEsBAi0AFAAGAAgAAAAhADj9If/WAAAAlAEAAAsAAAAAAAAAAAAA&#13;&#10;AAAALwEAAF9yZWxzLy5yZWxzUEsBAi0AFAAGAAgAAAAhAEWv1ZsuAgAATAQAAA4AAAAAAAAAAAAA&#13;&#10;AAAALgIAAGRycy9lMm9Eb2MueG1sUEsBAi0AFAAGAAgAAAAhAIkzVCfmAAAADwEAAA8AAAAAAAAA&#13;&#10;AAAAAAAAiAQAAGRycy9kb3ducmV2LnhtbFBLBQYAAAAABAAEAPMAAACbBQAAAAA=&#13;&#10;" fillcolor="#deecef" strokecolor="#5aa0ae">
                <v:textbox style="mso-fit-shape-to-text:t">
                  <w:txbxContent>
                    <w:p w14:paraId="19678305" w14:textId="77777777" w:rsidR="005A7607" w:rsidRPr="00937174" w:rsidRDefault="005A7607" w:rsidP="00937174">
                      <w:pPr>
                        <w:pStyle w:val="NormalWeb"/>
                        <w:spacing w:line="276" w:lineRule="auto"/>
                        <w:rPr>
                          <w:rFonts w:ascii="Arial" w:eastAsia="Cambria" w:hAnsi="Arial" w:cs="Arial"/>
                          <w:i/>
                          <w:iCs/>
                          <w:sz w:val="22"/>
                          <w:szCs w:val="22"/>
                          <w:lang w:val="en-US" w:eastAsia="en-US"/>
                        </w:rPr>
                      </w:pPr>
                      <w:r w:rsidRPr="00937174">
                        <w:rPr>
                          <w:rFonts w:ascii="Arial" w:hAnsi="Arial" w:cs="Arial"/>
                          <w:i/>
                          <w:iCs/>
                          <w:sz w:val="22"/>
                          <w:szCs w:val="22"/>
                        </w:rPr>
                        <w:t>“</w:t>
                      </w:r>
                      <w:r w:rsidRPr="00937174">
                        <w:rPr>
                          <w:rFonts w:ascii="Arial" w:eastAsia="Cambria" w:hAnsi="Arial" w:cs="Arial"/>
                          <w:i/>
                          <w:iCs/>
                          <w:sz w:val="22"/>
                          <w:szCs w:val="22"/>
                          <w:lang w:val="en-US" w:eastAsia="en-US"/>
                        </w:rPr>
                        <w:t>I have helped older people for whom English is not their first language who were waiting for a long time without a drink or a visit to the toilet, because they were worried about missing their appointment.”</w:t>
                      </w:r>
                    </w:p>
                    <w:p w14:paraId="331A1F7F" w14:textId="77777777" w:rsidR="005A7607" w:rsidRPr="00937174" w:rsidRDefault="005A7607" w:rsidP="00937174">
                      <w:pPr>
                        <w:spacing w:after="0"/>
                        <w:jc w:val="right"/>
                        <w:rPr>
                          <w:rFonts w:ascii="Arial" w:hAnsi="Arial" w:cs="Arial"/>
                          <w:b/>
                          <w:i/>
                          <w:iCs/>
                        </w:rPr>
                      </w:pPr>
                      <w:r w:rsidRPr="00937174">
                        <w:rPr>
                          <w:rFonts w:ascii="Arial" w:hAnsi="Arial" w:cs="Arial"/>
                          <w:b/>
                          <w:i/>
                          <w:iCs/>
                        </w:rPr>
                        <w:t>Moorfields staff member (public consultation)</w:t>
                      </w:r>
                    </w:p>
                  </w:txbxContent>
                </v:textbox>
                <w10:wrap type="square"/>
              </v:shape>
            </w:pict>
          </mc:Fallback>
        </mc:AlternateContent>
      </w:r>
      <w:r w:rsidR="001D71F5" w:rsidRPr="00587DF1">
        <w:rPr>
          <w:rFonts w:ascii="Arial" w:eastAsia="Arial" w:hAnsi="Arial" w:cs="Arial"/>
        </w:rPr>
        <w:t>Many outpatient clinics are delivered from basement locations which have low ceilings, minimal natural light and insufficient seating in waiting areas. This can make the experience of visiting Moorfields more stressful than it needs to be.</w:t>
      </w:r>
    </w:p>
    <w:p w14:paraId="27AE0991" w14:textId="77777777" w:rsidR="001D71F5" w:rsidRPr="00587DF1" w:rsidRDefault="001D71F5" w:rsidP="005E0D57">
      <w:pPr>
        <w:pStyle w:val="ListParagraph"/>
        <w:numPr>
          <w:ilvl w:val="0"/>
          <w:numId w:val="57"/>
        </w:numPr>
        <w:spacing w:after="0"/>
        <w:rPr>
          <w:rFonts w:ascii="Arial" w:eastAsia="Arial" w:hAnsi="Arial" w:cs="Arial"/>
        </w:rPr>
      </w:pPr>
      <w:r w:rsidRPr="00587DF1">
        <w:rPr>
          <w:rFonts w:ascii="Arial" w:eastAsia="Arial" w:hAnsi="Arial" w:cs="Arial"/>
        </w:rPr>
        <w:t>Support columns are located in the centre of the main outpatient corridors, and the building is confusing to navigate. The building contains many long, narrow corridors between disparate departments. The journey between consulting rooms and pharmacy, for example, involves significant walking and lift journeys between floors which can be confusing for patients. This is a particular issue for those with sight loss.</w:t>
      </w:r>
    </w:p>
    <w:p w14:paraId="5AB1C9DA" w14:textId="77777777" w:rsidR="001D71F5" w:rsidRPr="00587DF1" w:rsidRDefault="001D71F5" w:rsidP="005E0D57">
      <w:pPr>
        <w:pStyle w:val="ListParagraph"/>
        <w:numPr>
          <w:ilvl w:val="0"/>
          <w:numId w:val="57"/>
        </w:numPr>
        <w:spacing w:after="0"/>
        <w:rPr>
          <w:rFonts w:ascii="Arial" w:eastAsia="Arial" w:hAnsi="Arial" w:cs="Arial"/>
        </w:rPr>
      </w:pPr>
      <w:r w:rsidRPr="00587DF1">
        <w:rPr>
          <w:rFonts w:ascii="Arial" w:eastAsia="Arial" w:hAnsi="Arial" w:cs="Arial"/>
        </w:rPr>
        <w:t>Diagnostic tests cannot be co-located according to patient pathways due to the constraints of the building. This means patients often spend many hours in the building for a single appointment, with long waits between numerous contacts with different clinicians</w:t>
      </w:r>
      <w:r w:rsidR="00937174" w:rsidRPr="00587DF1">
        <w:rPr>
          <w:rFonts w:ascii="Arial" w:eastAsia="Arial" w:hAnsi="Arial" w:cs="Arial"/>
        </w:rPr>
        <w:t>. Analysis of a typical patient journey was carried out for glaucoma, a significant and growing service line with primarily elderly patients. This journey takes up to three hours, largely as a result of the current estate restrictions which reduce flow and throughput</w:t>
      </w:r>
      <w:r w:rsidR="00BC5C16">
        <w:rPr>
          <w:rFonts w:ascii="Arial" w:eastAsia="Arial" w:hAnsi="Arial" w:cs="Arial"/>
        </w:rPr>
        <w:t>.</w:t>
      </w:r>
    </w:p>
    <w:p w14:paraId="7199A9A7" w14:textId="56FC37F9" w:rsidR="001D71F5" w:rsidRPr="00587DF1" w:rsidRDefault="001D71F5" w:rsidP="005E0D57">
      <w:pPr>
        <w:pStyle w:val="ListParagraph"/>
        <w:numPr>
          <w:ilvl w:val="0"/>
          <w:numId w:val="57"/>
        </w:numPr>
        <w:spacing w:after="0"/>
        <w:rPr>
          <w:rFonts w:ascii="Arial" w:eastAsia="Arial" w:hAnsi="Arial" w:cs="Arial"/>
        </w:rPr>
      </w:pPr>
      <w:r w:rsidRPr="00587DF1">
        <w:rPr>
          <w:rFonts w:ascii="Arial" w:eastAsia="Arial" w:hAnsi="Arial" w:cs="Arial"/>
        </w:rPr>
        <w:t>The building does not provide a welcoming environment for patients upon arrival.</w:t>
      </w:r>
    </w:p>
    <w:p w14:paraId="2F0E565E" w14:textId="0EF3E737" w:rsidR="001D71F5" w:rsidRPr="00587DF1" w:rsidRDefault="001D71F5" w:rsidP="005E0D57">
      <w:pPr>
        <w:pStyle w:val="ListParagraph"/>
        <w:numPr>
          <w:ilvl w:val="0"/>
          <w:numId w:val="57"/>
        </w:numPr>
        <w:spacing w:after="0"/>
        <w:rPr>
          <w:rFonts w:ascii="Arial" w:eastAsia="Arial" w:hAnsi="Arial" w:cs="Arial"/>
        </w:rPr>
      </w:pPr>
      <w:r w:rsidRPr="00587DF1">
        <w:rPr>
          <w:rFonts w:ascii="Arial" w:eastAsia="Arial" w:hAnsi="Arial" w:cs="Arial"/>
        </w:rPr>
        <w:t>Clinic spaces are not designed for sight-impaired patients. There is an absence of natural light throughout all communal areas of the City Road site (with the exception of the Richard Desmond Children’s Eye Centre). It is well established that lighting conditions affect visual function in nearly all chronic ophthalmic conditions.</w:t>
      </w:r>
    </w:p>
    <w:p w14:paraId="541420CD" w14:textId="3DF9EAFE" w:rsidR="001D71F5" w:rsidRPr="00587DF1" w:rsidRDefault="00FF6E56" w:rsidP="005E0D57">
      <w:pPr>
        <w:pStyle w:val="ListParagraph"/>
        <w:numPr>
          <w:ilvl w:val="0"/>
          <w:numId w:val="57"/>
        </w:numPr>
        <w:spacing w:after="0"/>
        <w:rPr>
          <w:rFonts w:ascii="Arial" w:eastAsia="Arial" w:hAnsi="Arial" w:cs="Arial"/>
        </w:rPr>
      </w:pPr>
      <w:r w:rsidRPr="00587DF1">
        <w:rPr>
          <w:rFonts w:ascii="Arial" w:hAnsi="Arial" w:cs="Arial"/>
          <w:noProof/>
        </w:rPr>
        <w:lastRenderedPageBreak/>
        <mc:AlternateContent>
          <mc:Choice Requires="wps">
            <w:drawing>
              <wp:anchor distT="45720" distB="45720" distL="114300" distR="114300" simplePos="0" relativeHeight="251654144" behindDoc="0" locked="0" layoutInCell="1" allowOverlap="1" wp14:anchorId="5D150FAC" wp14:editId="4DE33BF3">
                <wp:simplePos x="0" y="0"/>
                <wp:positionH relativeFrom="column">
                  <wp:posOffset>3231603</wp:posOffset>
                </wp:positionH>
                <wp:positionV relativeFrom="paragraph">
                  <wp:posOffset>347542</wp:posOffset>
                </wp:positionV>
                <wp:extent cx="2520315" cy="1404620"/>
                <wp:effectExtent l="0" t="0" r="13335" b="101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404620"/>
                        </a:xfrm>
                        <a:prstGeom prst="rect">
                          <a:avLst/>
                        </a:prstGeom>
                        <a:solidFill>
                          <a:srgbClr val="DEECEF"/>
                        </a:solidFill>
                        <a:ln w="9525">
                          <a:solidFill>
                            <a:srgbClr val="5AA0AE"/>
                          </a:solidFill>
                          <a:miter lim="800000"/>
                          <a:headEnd/>
                          <a:tailEnd/>
                        </a:ln>
                      </wps:spPr>
                      <wps:txbx>
                        <w:txbxContent>
                          <w:p w14:paraId="3BAC0FD2" w14:textId="77777777" w:rsidR="005A7607" w:rsidRPr="00937174" w:rsidRDefault="005A7607" w:rsidP="00937174">
                            <w:pPr>
                              <w:pStyle w:val="NormalWeb"/>
                              <w:spacing w:line="276" w:lineRule="auto"/>
                              <w:rPr>
                                <w:rFonts w:ascii="Arial" w:eastAsia="Cambria" w:hAnsi="Arial" w:cs="Arial"/>
                                <w:i/>
                                <w:iCs/>
                                <w:sz w:val="22"/>
                                <w:szCs w:val="22"/>
                                <w:lang w:val="en-US" w:eastAsia="en-US"/>
                              </w:rPr>
                            </w:pPr>
                            <w:r w:rsidRPr="00937174">
                              <w:rPr>
                                <w:rFonts w:ascii="Arial" w:hAnsi="Arial" w:cs="Arial"/>
                                <w:i/>
                                <w:iCs/>
                                <w:sz w:val="22"/>
                                <w:szCs w:val="22"/>
                              </w:rPr>
                              <w:t>“</w:t>
                            </w:r>
                            <w:r w:rsidRPr="00937174">
                              <w:rPr>
                                <w:rFonts w:ascii="Arial" w:eastAsia="Cambria" w:hAnsi="Arial" w:cs="Arial"/>
                                <w:i/>
                                <w:iCs/>
                                <w:sz w:val="22"/>
                                <w:szCs w:val="22"/>
                                <w:lang w:val="en-US" w:eastAsia="en-US"/>
                              </w:rPr>
                              <w:t>People in a state of anxiety, fear, nervousness and isolation expect and anticipate rudeness. They expect systems and technology not to work and this becomes self-fulfilling.”</w:t>
                            </w:r>
                          </w:p>
                          <w:p w14:paraId="52E7B072" w14:textId="77777777" w:rsidR="005A7607" w:rsidRPr="00937174" w:rsidRDefault="005A7607" w:rsidP="00937174">
                            <w:pPr>
                              <w:spacing w:after="0"/>
                              <w:jc w:val="right"/>
                              <w:rPr>
                                <w:rFonts w:ascii="Arial" w:hAnsi="Arial" w:cs="Arial"/>
                                <w:b/>
                                <w:i/>
                                <w:iCs/>
                              </w:rPr>
                            </w:pPr>
                            <w:r w:rsidRPr="00937174">
                              <w:rPr>
                                <w:rFonts w:ascii="Arial" w:hAnsi="Arial" w:cs="Arial"/>
                                <w:b/>
                                <w:i/>
                                <w:iCs/>
                              </w:rPr>
                              <w:t>Moorfields patient (public consultation)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150FAC" id="_x0000_s1030" type="#_x0000_t202" style="position:absolute;left:0;text-align:left;margin-left:254.45pt;margin-top:27.35pt;width:198.45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ZRILwIAAEwEAAAOAAAAZHJzL2Uyb0RvYy54bWysVNuO0zAQfUfiHyy/01xIlt2o6ar0gpCW&#13;&#10;i7TLBziO01j4hu02KV/P2Ol2I+AJkQdr7Bkfnzkzk+X9KAU6Meu4VjXOFilGTFHdcnWo8ben/Ztb&#13;&#10;jJwnqiVCK1bjM3P4fvX61XIwFct1r0XLLAIQ5arB1Lj33lRJ4mjPJHELbZgCZ6etJB629pC0lgyA&#13;&#10;LkWSp+lNMmjbGqspcw5Ot5MTryJ+1zHqv3SdYx6JGgM3H1cb1yasyWpJqoMlpuf0QoP8AwtJuIJH&#13;&#10;r1Bb4gk6Wv4HlOTUaqc7v6BaJrrrOGUxB8gmS3/L5rEnhsVcQBxnrjK5/wdLP5++WsRbqB1Gikgo&#13;&#10;0RMbPXqvR5QHdQbjKgh6NBDmRzgOkSFTZx40/e6Q0pueqANbW6uHnpEW2GXhZjK7OuG4ANIMn3QL&#13;&#10;z5Cj1xFo7KwMgCAGAnSo0vlamUCFwmFe5unbrMSIgi8r0uImj7VLSPV83VjnPzAtUTBqbKH0EZ6c&#13;&#10;HpwPdEj1HBLpa8HbPRcibuyh2QiLTgTaZLvbbXb7mAFkOQ8TCg01vivzclJg7nNziHK9Tte7v0FI&#13;&#10;7qHfBZc1vk3DF4JIFXTbqTbannAx2UBZqIuQQbtJRT82Y6xYEe4GkRvdnkFZq6f2hnEEo9f2J0YD&#13;&#10;tHaN3Y8jsQwj8VFBde6yogizEDdF+Q6kRHbuaeYeoihA1dhjNJkbH+cn6mbWUMU9j/q+MLlQhpaN&#13;&#10;sl/GK8zEfB+jXn4Cq18AAAD//wMAUEsDBBQABgAIAAAAIQA+ITRp5AAAAA8BAAAPAAAAZHJzL2Rv&#13;&#10;d25yZXYueG1sTI9BT8MwDIXvSPyHyEhcEEuYKFm7plM1xAUmJAYHjlkT2kDjVE22ln+POcHFsuXn&#13;&#10;5/eVm9n37GTH6AIquFkIYBabYBy2Ct5eH65XwGLSaHQf0Cr4thE21flZqQsTJnyxp31qGZlgLLSC&#13;&#10;LqWh4Dw2nfU6LsJgkXYfYfQ60Ti23Ix6InPf86UQd9xrh/Sh04Pddrb52h+9gsf32smd3MrPPLZ9&#13;&#10;PYnnJ8evlLq8mO/XVOo1sGTn9HcBvwyUHyoKdghHNJH1CjKxyklKza0ERoJcZAR0ULCUWQ68Kvl/&#13;&#10;juoHAAD//wMAUEsBAi0AFAAGAAgAAAAhALaDOJL+AAAA4QEAABMAAAAAAAAAAAAAAAAAAAAAAFtD&#13;&#10;b250ZW50X1R5cGVzXS54bWxQSwECLQAUAAYACAAAACEAOP0h/9YAAACUAQAACwAAAAAAAAAAAAAA&#13;&#10;AAAvAQAAX3JlbHMvLnJlbHNQSwECLQAUAAYACAAAACEAP62USC8CAABMBAAADgAAAAAAAAAAAAAA&#13;&#10;AAAuAgAAZHJzL2Uyb0RvYy54bWxQSwECLQAUAAYACAAAACEAPiE0aeQAAAAPAQAADwAAAAAAAAAA&#13;&#10;AAAAAACJBAAAZHJzL2Rvd25yZXYueG1sUEsFBgAAAAAEAAQA8wAAAJoFAAAAAA==&#13;&#10;" fillcolor="#deecef" strokecolor="#5aa0ae">
                <v:textbox style="mso-fit-shape-to-text:t">
                  <w:txbxContent>
                    <w:p w14:paraId="3BAC0FD2" w14:textId="77777777" w:rsidR="005A7607" w:rsidRPr="00937174" w:rsidRDefault="005A7607" w:rsidP="00937174">
                      <w:pPr>
                        <w:pStyle w:val="NormalWeb"/>
                        <w:spacing w:line="276" w:lineRule="auto"/>
                        <w:rPr>
                          <w:rFonts w:ascii="Arial" w:eastAsia="Cambria" w:hAnsi="Arial" w:cs="Arial"/>
                          <w:i/>
                          <w:iCs/>
                          <w:sz w:val="22"/>
                          <w:szCs w:val="22"/>
                          <w:lang w:val="en-US" w:eastAsia="en-US"/>
                        </w:rPr>
                      </w:pPr>
                      <w:r w:rsidRPr="00937174">
                        <w:rPr>
                          <w:rFonts w:ascii="Arial" w:hAnsi="Arial" w:cs="Arial"/>
                          <w:i/>
                          <w:iCs/>
                          <w:sz w:val="22"/>
                          <w:szCs w:val="22"/>
                        </w:rPr>
                        <w:t>“</w:t>
                      </w:r>
                      <w:r w:rsidRPr="00937174">
                        <w:rPr>
                          <w:rFonts w:ascii="Arial" w:eastAsia="Cambria" w:hAnsi="Arial" w:cs="Arial"/>
                          <w:i/>
                          <w:iCs/>
                          <w:sz w:val="22"/>
                          <w:szCs w:val="22"/>
                          <w:lang w:val="en-US" w:eastAsia="en-US"/>
                        </w:rPr>
                        <w:t>People in a state of anxiety, fear, nervousness and isolation expect and anticipate rudeness. They expect systems and technology not to work and this becomes self-fulfilling.”</w:t>
                      </w:r>
                    </w:p>
                    <w:p w14:paraId="52E7B072" w14:textId="77777777" w:rsidR="005A7607" w:rsidRPr="00937174" w:rsidRDefault="005A7607" w:rsidP="00937174">
                      <w:pPr>
                        <w:spacing w:after="0"/>
                        <w:jc w:val="right"/>
                        <w:rPr>
                          <w:rFonts w:ascii="Arial" w:hAnsi="Arial" w:cs="Arial"/>
                          <w:b/>
                          <w:i/>
                          <w:iCs/>
                        </w:rPr>
                      </w:pPr>
                      <w:r w:rsidRPr="00937174">
                        <w:rPr>
                          <w:rFonts w:ascii="Arial" w:hAnsi="Arial" w:cs="Arial"/>
                          <w:b/>
                          <w:i/>
                          <w:iCs/>
                        </w:rPr>
                        <w:t>Moorfields patient (public consultation)</w:t>
                      </w:r>
                    </w:p>
                  </w:txbxContent>
                </v:textbox>
                <w10:wrap type="square"/>
              </v:shape>
            </w:pict>
          </mc:Fallback>
        </mc:AlternateContent>
      </w:r>
      <w:r w:rsidR="001D71F5" w:rsidRPr="00587DF1">
        <w:rPr>
          <w:rFonts w:ascii="Arial" w:eastAsia="Arial" w:hAnsi="Arial" w:cs="Arial"/>
        </w:rPr>
        <w:t>Many of the clinic rooms at City Road are arranged in ‘pods’ with several cubicles in which consultations take place, rather than closed rooms. This does not afford appropriate levels of privacy and dignity. These cubicles are c.9m</w:t>
      </w:r>
      <w:r w:rsidR="001D71F5" w:rsidRPr="00587DF1">
        <w:rPr>
          <w:rFonts w:ascii="Arial" w:eastAsia="Arial" w:hAnsi="Arial" w:cs="Arial"/>
          <w:vertAlign w:val="superscript"/>
        </w:rPr>
        <w:t>2</w:t>
      </w:r>
      <w:r w:rsidR="001D71F5" w:rsidRPr="00587DF1">
        <w:rPr>
          <w:rFonts w:ascii="Arial" w:eastAsia="Arial" w:hAnsi="Arial" w:cs="Arial"/>
        </w:rPr>
        <w:t xml:space="preserve"> in size (on average), making access challenging and meaning that patients in wheelchairs are unable to comfortably attend their appointment with a relative or carer.</w:t>
      </w:r>
      <w:r w:rsidR="00044DCA" w:rsidRPr="00587DF1">
        <w:rPr>
          <w:rFonts w:ascii="Arial" w:eastAsia="Arial" w:hAnsi="Arial" w:cs="Arial"/>
        </w:rPr>
        <w:t xml:space="preserve"> These rooms are not compliant with HBN requirements.</w:t>
      </w:r>
    </w:p>
    <w:p w14:paraId="233B2B58" w14:textId="66D6335A" w:rsidR="001D71F5" w:rsidRPr="00587DF1" w:rsidRDefault="001D71F5" w:rsidP="005E0D57">
      <w:pPr>
        <w:pStyle w:val="ListParagraph"/>
        <w:numPr>
          <w:ilvl w:val="0"/>
          <w:numId w:val="57"/>
        </w:numPr>
        <w:spacing w:after="0"/>
        <w:rPr>
          <w:rFonts w:ascii="Arial" w:eastAsia="Arial" w:hAnsi="Arial" w:cs="Arial"/>
        </w:rPr>
      </w:pPr>
      <w:r w:rsidRPr="00587DF1">
        <w:rPr>
          <w:rFonts w:ascii="Arial" w:eastAsia="Arial" w:hAnsi="Arial" w:cs="Arial"/>
        </w:rPr>
        <w:t>Some areas of the City Road campus do not have step-free access which creates difficulties for patients and staff.</w:t>
      </w:r>
      <w:r w:rsidR="00044DCA" w:rsidRPr="00587DF1">
        <w:rPr>
          <w:rFonts w:ascii="Arial" w:eastAsia="Arial" w:hAnsi="Arial" w:cs="Arial"/>
        </w:rPr>
        <w:t xml:space="preserve"> These are not compliant with the Equality Act 2010.</w:t>
      </w:r>
    </w:p>
    <w:p w14:paraId="2FFAA4C3" w14:textId="0AC4A84E" w:rsidR="00A1175B" w:rsidRPr="00587DF1" w:rsidRDefault="00A1175B" w:rsidP="005E0D57">
      <w:pPr>
        <w:pStyle w:val="ListParagraph"/>
        <w:numPr>
          <w:ilvl w:val="0"/>
          <w:numId w:val="57"/>
        </w:numPr>
        <w:spacing w:before="120" w:after="60" w:line="264" w:lineRule="auto"/>
        <w:ind w:right="142"/>
        <w:rPr>
          <w:rFonts w:ascii="Arial" w:eastAsiaTheme="minorHAnsi" w:hAnsi="Arial" w:cs="Arial"/>
          <w:lang w:eastAsia="en-US"/>
        </w:rPr>
      </w:pPr>
      <w:bookmarkStart w:id="82" w:name="_Hlk32504156"/>
      <w:r w:rsidRPr="00A1175B">
        <w:rPr>
          <w:rFonts w:ascii="Arial" w:eastAsiaTheme="minorHAnsi" w:hAnsi="Arial" w:cs="Arial"/>
          <w:lang w:eastAsia="en-US"/>
        </w:rPr>
        <w:t xml:space="preserve">The children and young people’s waiting area in the A&amp;E (which is in use out of hours when the Richard Desmond Children’s Eye Centre is closed) does not offer </w:t>
      </w:r>
      <w:r w:rsidR="00AE22D1">
        <w:rPr>
          <w:rFonts w:ascii="Arial" w:eastAsiaTheme="minorHAnsi" w:hAnsi="Arial" w:cs="Arial"/>
          <w:lang w:eastAsia="en-US"/>
        </w:rPr>
        <w:t>a child-friendly environment</w:t>
      </w:r>
      <w:r w:rsidRPr="00A1175B">
        <w:rPr>
          <w:rFonts w:ascii="Arial" w:eastAsiaTheme="minorHAnsi" w:hAnsi="Arial" w:cs="Arial"/>
          <w:lang w:eastAsia="en-US"/>
        </w:rPr>
        <w:t>.</w:t>
      </w:r>
    </w:p>
    <w:bookmarkEnd w:id="82"/>
    <w:p w14:paraId="3D8FA5DB" w14:textId="77777777" w:rsidR="001D71F5" w:rsidRDefault="001D71F5" w:rsidP="001D71F5">
      <w:pPr>
        <w:spacing w:after="0"/>
        <w:rPr>
          <w:rFonts w:ascii="Arial" w:eastAsia="Arial" w:hAnsi="Arial" w:cs="Arial"/>
        </w:rPr>
      </w:pPr>
    </w:p>
    <w:p w14:paraId="4ADA944E" w14:textId="6E17FC01" w:rsidR="00A1175B" w:rsidRDefault="00A1175B" w:rsidP="001D71F5">
      <w:pPr>
        <w:spacing w:after="0"/>
        <w:rPr>
          <w:rFonts w:ascii="Arial" w:eastAsia="Arial" w:hAnsi="Arial" w:cs="Arial"/>
        </w:rPr>
      </w:pPr>
      <w:r>
        <w:rPr>
          <w:rFonts w:ascii="Arial" w:eastAsia="Arial" w:hAnsi="Arial" w:cs="Arial"/>
        </w:rPr>
        <w:t xml:space="preserve">Many of these issues were noted by the CQC in their 2016 and 2018 reports. </w:t>
      </w:r>
    </w:p>
    <w:p w14:paraId="3E7854B2" w14:textId="77777777" w:rsidR="00A1175B" w:rsidRPr="00587DF1" w:rsidRDefault="00A1175B" w:rsidP="001D71F5">
      <w:pPr>
        <w:spacing w:after="0"/>
        <w:rPr>
          <w:rFonts w:ascii="Arial" w:eastAsia="Arial" w:hAnsi="Arial" w:cs="Arial"/>
        </w:rPr>
      </w:pPr>
    </w:p>
    <w:p w14:paraId="2955FAC5" w14:textId="4C92327A" w:rsidR="00937174" w:rsidRPr="00587DF1" w:rsidRDefault="00937174" w:rsidP="00937174">
      <w:pPr>
        <w:spacing w:after="0"/>
        <w:rPr>
          <w:rFonts w:ascii="Arial" w:eastAsia="Arial" w:hAnsi="Arial" w:cs="Arial"/>
        </w:rPr>
      </w:pPr>
      <w:r w:rsidRPr="00587DF1">
        <w:rPr>
          <w:rFonts w:ascii="Arial" w:eastAsia="Arial" w:hAnsi="Arial" w:cs="Arial"/>
        </w:rPr>
        <w:t>Throughout the consultation, a recurring theme was that despite Moorfields</w:t>
      </w:r>
      <w:r w:rsidR="00320059">
        <w:rPr>
          <w:rFonts w:ascii="Arial" w:eastAsia="Arial" w:hAnsi="Arial" w:cs="Arial"/>
        </w:rPr>
        <w:t>’</w:t>
      </w:r>
      <w:r w:rsidRPr="00587DF1">
        <w:rPr>
          <w:rFonts w:ascii="Arial" w:eastAsia="Arial" w:hAnsi="Arial" w:cs="Arial"/>
        </w:rPr>
        <w:t xml:space="preserve"> reputation for clinical excellence, patients frequently experience stress and anxiety associated with a visit to the </w:t>
      </w:r>
      <w:r w:rsidR="00320059">
        <w:rPr>
          <w:rFonts w:ascii="Arial" w:eastAsia="Arial" w:hAnsi="Arial" w:cs="Arial"/>
        </w:rPr>
        <w:t>City Road site</w:t>
      </w:r>
      <w:r w:rsidRPr="00587DF1">
        <w:rPr>
          <w:rFonts w:ascii="Arial" w:eastAsia="Arial" w:hAnsi="Arial" w:cs="Arial"/>
        </w:rPr>
        <w:t xml:space="preserve">. As well as affecting their experience, patients’ anxiety can impact upon the efficiency and effectiveness of clinical services. For example, people talked about not being able to take in information during their consultation, or not turning up for appointments if they perceive </w:t>
      </w:r>
      <w:r w:rsidR="00320059">
        <w:rPr>
          <w:rFonts w:ascii="Arial" w:eastAsia="Arial" w:hAnsi="Arial" w:cs="Arial"/>
        </w:rPr>
        <w:t xml:space="preserve">a previous visit </w:t>
      </w:r>
      <w:r w:rsidRPr="00587DF1">
        <w:rPr>
          <w:rFonts w:ascii="Arial" w:eastAsia="Arial" w:hAnsi="Arial" w:cs="Arial"/>
        </w:rPr>
        <w:t>to be a bad experience.</w:t>
      </w:r>
    </w:p>
    <w:p w14:paraId="628223B1" w14:textId="77777777" w:rsidR="001D71F5" w:rsidRPr="00587DF1" w:rsidRDefault="00B37104" w:rsidP="00E47761">
      <w:pPr>
        <w:spacing w:after="0"/>
        <w:rPr>
          <w:rFonts w:ascii="Arial" w:eastAsia="Arial" w:hAnsi="Arial" w:cs="Arial"/>
        </w:rPr>
      </w:pPr>
      <w:r w:rsidRPr="00587DF1">
        <w:rPr>
          <w:rFonts w:ascii="Arial" w:hAnsi="Arial" w:cs="Arial"/>
          <w:noProof/>
        </w:rPr>
        <mc:AlternateContent>
          <mc:Choice Requires="wps">
            <w:drawing>
              <wp:anchor distT="45720" distB="45720" distL="114300" distR="114300" simplePos="0" relativeHeight="251658240" behindDoc="0" locked="0" layoutInCell="1" allowOverlap="1" wp14:anchorId="097126D1" wp14:editId="217FC913">
                <wp:simplePos x="0" y="0"/>
                <wp:positionH relativeFrom="column">
                  <wp:posOffset>3998267</wp:posOffset>
                </wp:positionH>
                <wp:positionV relativeFrom="paragraph">
                  <wp:posOffset>50800</wp:posOffset>
                </wp:positionV>
                <wp:extent cx="1728470" cy="1404620"/>
                <wp:effectExtent l="0" t="0" r="24130" b="228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1404620"/>
                        </a:xfrm>
                        <a:prstGeom prst="rect">
                          <a:avLst/>
                        </a:prstGeom>
                        <a:solidFill>
                          <a:srgbClr val="DEECEF"/>
                        </a:solidFill>
                        <a:ln w="9525">
                          <a:solidFill>
                            <a:srgbClr val="5AA0AE"/>
                          </a:solidFill>
                          <a:miter lim="800000"/>
                          <a:headEnd/>
                          <a:tailEnd/>
                        </a:ln>
                      </wps:spPr>
                      <wps:txbx>
                        <w:txbxContent>
                          <w:p w14:paraId="5F0C86F6" w14:textId="77777777" w:rsidR="005A7607" w:rsidRPr="00937174" w:rsidRDefault="005A7607" w:rsidP="00937174">
                            <w:pPr>
                              <w:pStyle w:val="NormalWeb"/>
                              <w:spacing w:line="276" w:lineRule="auto"/>
                              <w:rPr>
                                <w:rFonts w:ascii="Arial" w:eastAsia="Cambria" w:hAnsi="Arial" w:cs="Arial"/>
                                <w:i/>
                                <w:iCs/>
                                <w:sz w:val="22"/>
                                <w:szCs w:val="22"/>
                                <w:lang w:val="en-US" w:eastAsia="en-US"/>
                              </w:rPr>
                            </w:pPr>
                            <w:r w:rsidRPr="00937174">
                              <w:rPr>
                                <w:rFonts w:ascii="Arial" w:hAnsi="Arial" w:cs="Arial"/>
                                <w:i/>
                                <w:iCs/>
                                <w:sz w:val="22"/>
                                <w:szCs w:val="22"/>
                              </w:rPr>
                              <w:t>“</w:t>
                            </w:r>
                            <w:r w:rsidRPr="00937174">
                              <w:rPr>
                                <w:rFonts w:ascii="Arial" w:eastAsia="Cambria" w:hAnsi="Arial" w:cs="Arial"/>
                                <w:i/>
                                <w:iCs/>
                                <w:sz w:val="22"/>
                                <w:szCs w:val="22"/>
                                <w:lang w:val="en-US" w:eastAsia="en-US"/>
                              </w:rPr>
                              <w:t>I am 50 years old. I shouldn’t always have to ask my mother to take me to my appointment.”</w:t>
                            </w:r>
                          </w:p>
                          <w:p w14:paraId="7EA26547" w14:textId="77777777" w:rsidR="005A7607" w:rsidRPr="00937174" w:rsidRDefault="005A7607" w:rsidP="00937174">
                            <w:pPr>
                              <w:spacing w:after="0"/>
                              <w:jc w:val="right"/>
                              <w:rPr>
                                <w:rFonts w:ascii="Arial" w:hAnsi="Arial" w:cs="Arial"/>
                                <w:b/>
                                <w:i/>
                                <w:iCs/>
                              </w:rPr>
                            </w:pPr>
                            <w:r w:rsidRPr="00937174">
                              <w:rPr>
                                <w:rFonts w:ascii="Arial" w:hAnsi="Arial" w:cs="Arial"/>
                                <w:b/>
                                <w:i/>
                                <w:iCs/>
                              </w:rPr>
                              <w:t>Moorfields patient (public consultation)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7126D1" id="_x0000_s1031" type="#_x0000_t202" style="position:absolute;margin-left:314.8pt;margin-top:4pt;width:136.1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SEDLQIAAEwEAAAOAAAAZHJzL2Uyb0RvYy54bWysVNuO2yAQfa/Uf0C8N3as3NaKs0pzqSpt&#13;&#10;L9JuPwBjHKNihgKJnX59B5zNRtv2paof0MAMh5lzZry871tFTsI6Cbqg41FKidAcKqkPBf32tH+3&#13;&#10;oMR5piumQIuCnoWj96u3b5adyUUGDahKWIIg2uWdKWjjvcmTxPFGtMyNwAiNzhpsyzxu7SGpLOsQ&#13;&#10;vVVJlqazpANbGQtcOIen28FJVxG/rgX3X+raCU9UQTE3H1cb1zKsyWrJ8oNlppH8kgb7hyxaJjU+&#13;&#10;eoXaMs/I0crfoFrJLTio/YhDm0BdSy5iDVjNOH1VzWPDjIi1IDnOXGly/w+Wfz59tURWBZ1RolmL&#13;&#10;Ej2J3pP30JMssNMZl2PQo8Ew3+MxqhwrdeYB+HdHNGwapg9ibS10jWAVZjcON5ObqwOOCyBl9wkq&#13;&#10;fIYdPUSgvrZtoA7JIIiOKp2vyoRUeHhyni0mc3Rx9I0n6WSWRe0Slj9fN9b5DwJaEoyCWpQ+wrPT&#13;&#10;g/MhHZY/h4TXHChZ7aVScWMP5UZZcmLYJtvdbrPbxwpehSlNuoLeTbPpwMBfIabrdbre/QmilR77&#13;&#10;Xcm2oIs0fCGI5YG3na6i7ZlUg40pK30hMnA3sOj7so+KTcPdQHIJ1RmZtTC0N44jGg3Yn5R02NoF&#13;&#10;dT+OzApK1EeN6tyNJ5MwC3Ezmc6RSmJvPeWth2mOUAX1lAzmxsf5ibyZNaq4l5Hfl0wuKWPLRtov&#13;&#10;4xVm4nYfo15+AqtfAAAA//8DAFBLAwQUAAYACAAAACEABB/qsOMAAAAOAQAADwAAAGRycy9kb3du&#13;&#10;cmV2LnhtbEyPMU/DMBCFdyT+g3VILIja9ZA0aZwqKmIBhERhYHTjIzHEdhS7Tfj3HBMsJ53eu3fv&#13;&#10;q3aLG9gZp2iDV7BeCWDo22Cs7xS8vd7fboDFpL3RQ/Co4Bsj7OrLi0qXJsz+Bc+H1DEK8bHUCvqU&#13;&#10;xpLz2PbodFyFET1pH2FyOtE6ddxMeqZwN3ApRMadtp4+9HrEfY/t1+HkFDy8NzZ/yvf5ZxG7oZnF&#13;&#10;86PlN0pdXy13WxrNFljCJf1dwC8D9Yeaih3DyZvIBgWZLDKyKtgQF+mFWBPPUYGUhQReV/w/Rv0D&#13;&#10;AAD//wMAUEsBAi0AFAAGAAgAAAAhALaDOJL+AAAA4QEAABMAAAAAAAAAAAAAAAAAAAAAAFtDb250&#13;&#10;ZW50X1R5cGVzXS54bWxQSwECLQAUAAYACAAAACEAOP0h/9YAAACUAQAACwAAAAAAAAAAAAAAAAAv&#13;&#10;AQAAX3JlbHMvLnJlbHNQSwECLQAUAAYACAAAACEAbc0hAy0CAABMBAAADgAAAAAAAAAAAAAAAAAu&#13;&#10;AgAAZHJzL2Uyb0RvYy54bWxQSwECLQAUAAYACAAAACEABB/qsOMAAAAOAQAADwAAAAAAAAAAAAAA&#13;&#10;AACHBAAAZHJzL2Rvd25yZXYueG1sUEsFBgAAAAAEAAQA8wAAAJcFAAAAAA==&#13;&#10;" fillcolor="#deecef" strokecolor="#5aa0ae">
                <v:textbox style="mso-fit-shape-to-text:t">
                  <w:txbxContent>
                    <w:p w14:paraId="5F0C86F6" w14:textId="77777777" w:rsidR="005A7607" w:rsidRPr="00937174" w:rsidRDefault="005A7607" w:rsidP="00937174">
                      <w:pPr>
                        <w:pStyle w:val="NormalWeb"/>
                        <w:spacing w:line="276" w:lineRule="auto"/>
                        <w:rPr>
                          <w:rFonts w:ascii="Arial" w:eastAsia="Cambria" w:hAnsi="Arial" w:cs="Arial"/>
                          <w:i/>
                          <w:iCs/>
                          <w:sz w:val="22"/>
                          <w:szCs w:val="22"/>
                          <w:lang w:val="en-US" w:eastAsia="en-US"/>
                        </w:rPr>
                      </w:pPr>
                      <w:r w:rsidRPr="00937174">
                        <w:rPr>
                          <w:rFonts w:ascii="Arial" w:hAnsi="Arial" w:cs="Arial"/>
                          <w:i/>
                          <w:iCs/>
                          <w:sz w:val="22"/>
                          <w:szCs w:val="22"/>
                        </w:rPr>
                        <w:t>“</w:t>
                      </w:r>
                      <w:r w:rsidRPr="00937174">
                        <w:rPr>
                          <w:rFonts w:ascii="Arial" w:eastAsia="Cambria" w:hAnsi="Arial" w:cs="Arial"/>
                          <w:i/>
                          <w:iCs/>
                          <w:sz w:val="22"/>
                          <w:szCs w:val="22"/>
                          <w:lang w:val="en-US" w:eastAsia="en-US"/>
                        </w:rPr>
                        <w:t>I am 50 years old. I shouldn’t always have to ask my mother to take me to my appointment.”</w:t>
                      </w:r>
                    </w:p>
                    <w:p w14:paraId="7EA26547" w14:textId="77777777" w:rsidR="005A7607" w:rsidRPr="00937174" w:rsidRDefault="005A7607" w:rsidP="00937174">
                      <w:pPr>
                        <w:spacing w:after="0"/>
                        <w:jc w:val="right"/>
                        <w:rPr>
                          <w:rFonts w:ascii="Arial" w:hAnsi="Arial" w:cs="Arial"/>
                          <w:b/>
                          <w:i/>
                          <w:iCs/>
                        </w:rPr>
                      </w:pPr>
                      <w:r w:rsidRPr="00937174">
                        <w:rPr>
                          <w:rFonts w:ascii="Arial" w:hAnsi="Arial" w:cs="Arial"/>
                          <w:b/>
                          <w:i/>
                          <w:iCs/>
                        </w:rPr>
                        <w:t>Moorfields patient (public consultation)</w:t>
                      </w:r>
                    </w:p>
                  </w:txbxContent>
                </v:textbox>
                <w10:wrap type="square"/>
              </v:shape>
            </w:pict>
          </mc:Fallback>
        </mc:AlternateContent>
      </w:r>
    </w:p>
    <w:p w14:paraId="35A02C1F" w14:textId="77777777" w:rsidR="00937174" w:rsidRPr="00587DF1" w:rsidRDefault="001D71F5" w:rsidP="00937174">
      <w:pPr>
        <w:spacing w:after="0"/>
        <w:rPr>
          <w:rFonts w:ascii="Arial" w:eastAsia="Arial" w:hAnsi="Arial" w:cs="Arial"/>
          <w:color w:val="00A09D"/>
        </w:rPr>
      </w:pPr>
      <w:r w:rsidRPr="00587DF1">
        <w:rPr>
          <w:rFonts w:ascii="Arial" w:eastAsia="Arial" w:hAnsi="Arial" w:cs="Arial"/>
          <w:b/>
          <w:bCs/>
          <w:i/>
          <w:iCs/>
          <w:color w:val="00A09D"/>
        </w:rPr>
        <w:t>Where do we want to be?</w:t>
      </w:r>
    </w:p>
    <w:p w14:paraId="5CC96D8A" w14:textId="12BB1E0D" w:rsidR="00937174" w:rsidRPr="00587DF1" w:rsidRDefault="00937174" w:rsidP="00937174">
      <w:pPr>
        <w:spacing w:after="0"/>
        <w:rPr>
          <w:rFonts w:ascii="Arial" w:eastAsia="Arial" w:hAnsi="Arial" w:cs="Arial"/>
        </w:rPr>
      </w:pPr>
      <w:r w:rsidRPr="00587DF1">
        <w:rPr>
          <w:rFonts w:ascii="Arial" w:eastAsia="Arial" w:hAnsi="Arial" w:cs="Arial"/>
        </w:rPr>
        <w:t xml:space="preserve">Moorfields is committed to matching exceptional clinical outcomes with an excellent experience for all patients. The frequent suggestion during consultation was that the proposed new centre </w:t>
      </w:r>
      <w:r w:rsidR="00320059">
        <w:rPr>
          <w:rFonts w:ascii="Arial" w:eastAsia="Arial" w:hAnsi="Arial" w:cs="Arial"/>
        </w:rPr>
        <w:t>offers</w:t>
      </w:r>
      <w:r w:rsidRPr="00587DF1">
        <w:rPr>
          <w:rFonts w:ascii="Arial" w:eastAsia="Arial" w:hAnsi="Arial" w:cs="Arial"/>
        </w:rPr>
        <w:t xml:space="preserve"> </w:t>
      </w:r>
      <w:r w:rsidR="00E10C97">
        <w:rPr>
          <w:rFonts w:ascii="Arial" w:eastAsia="Arial" w:hAnsi="Arial" w:cs="Arial"/>
        </w:rPr>
        <w:t>an important</w:t>
      </w:r>
      <w:r w:rsidRPr="00587DF1">
        <w:rPr>
          <w:rFonts w:ascii="Arial" w:eastAsia="Arial" w:hAnsi="Arial" w:cs="Arial"/>
        </w:rPr>
        <w:t xml:space="preserve"> opportunity to </w:t>
      </w:r>
      <w:r w:rsidR="00320059">
        <w:rPr>
          <w:rFonts w:ascii="Arial" w:eastAsia="Arial" w:hAnsi="Arial" w:cs="Arial"/>
        </w:rPr>
        <w:t xml:space="preserve">create a </w:t>
      </w:r>
      <w:r w:rsidRPr="00587DF1">
        <w:rPr>
          <w:rFonts w:ascii="Arial" w:eastAsia="Arial" w:hAnsi="Arial" w:cs="Arial"/>
        </w:rPr>
        <w:t>national exemplar of inclusivity and accessibility.</w:t>
      </w:r>
    </w:p>
    <w:p w14:paraId="367C1D87" w14:textId="77777777" w:rsidR="00937174" w:rsidRPr="00587DF1" w:rsidRDefault="00937174" w:rsidP="00937174">
      <w:pPr>
        <w:spacing w:after="0"/>
        <w:rPr>
          <w:rFonts w:ascii="Arial" w:eastAsia="Arial" w:hAnsi="Arial" w:cs="Arial"/>
        </w:rPr>
      </w:pPr>
    </w:p>
    <w:p w14:paraId="52858814" w14:textId="77777777" w:rsidR="001D71F5" w:rsidRPr="00587DF1" w:rsidRDefault="00937174" w:rsidP="00E47761">
      <w:pPr>
        <w:spacing w:after="0"/>
        <w:rPr>
          <w:rFonts w:ascii="Arial" w:eastAsia="Arial" w:hAnsi="Arial" w:cs="Arial"/>
        </w:rPr>
      </w:pPr>
      <w:r w:rsidRPr="00587DF1">
        <w:rPr>
          <w:rFonts w:ascii="Arial" w:eastAsia="Arial" w:hAnsi="Arial" w:cs="Arial"/>
        </w:rPr>
        <w:t xml:space="preserve">The aim is </w:t>
      </w:r>
      <w:r w:rsidR="001D71F5" w:rsidRPr="00587DF1">
        <w:rPr>
          <w:rFonts w:ascii="Arial" w:eastAsia="Arial" w:hAnsi="Arial" w:cs="Arial"/>
        </w:rPr>
        <w:t>to provide patients with an uplifting</w:t>
      </w:r>
      <w:r w:rsidRPr="00587DF1">
        <w:rPr>
          <w:rFonts w:ascii="Arial" w:eastAsia="Arial" w:hAnsi="Arial" w:cs="Arial"/>
        </w:rPr>
        <w:t>, empowering environment which supports them in maintaining their independence (a key point raised through consultation)</w:t>
      </w:r>
      <w:r w:rsidR="001D71F5" w:rsidRPr="00587DF1">
        <w:rPr>
          <w:rFonts w:ascii="Arial" w:eastAsia="Arial" w:hAnsi="Arial" w:cs="Arial"/>
        </w:rPr>
        <w:t>, through an environment which is designed for their needs</w:t>
      </w:r>
      <w:r w:rsidRPr="00587DF1">
        <w:rPr>
          <w:rFonts w:ascii="Arial" w:eastAsia="Arial" w:hAnsi="Arial" w:cs="Arial"/>
        </w:rPr>
        <w:t>.</w:t>
      </w:r>
    </w:p>
    <w:p w14:paraId="67C23E68" w14:textId="77777777" w:rsidR="001D71F5" w:rsidRPr="00587DF1" w:rsidRDefault="001D71F5" w:rsidP="00E47761">
      <w:pPr>
        <w:spacing w:after="0"/>
        <w:rPr>
          <w:rFonts w:ascii="Arial" w:eastAsia="Arial" w:hAnsi="Arial" w:cs="Arial"/>
        </w:rPr>
      </w:pPr>
    </w:p>
    <w:p w14:paraId="21E0FF23" w14:textId="65768480" w:rsidR="001D71F5" w:rsidRPr="00587DF1" w:rsidRDefault="00937174" w:rsidP="00937174">
      <w:pPr>
        <w:rPr>
          <w:rFonts w:ascii="Arial" w:eastAsia="Arial" w:hAnsi="Arial" w:cs="Arial"/>
        </w:rPr>
      </w:pPr>
      <w:r w:rsidRPr="00587DF1">
        <w:rPr>
          <w:rFonts w:ascii="Arial" w:eastAsia="Arial" w:hAnsi="Arial" w:cs="Arial"/>
        </w:rPr>
        <w:t xml:space="preserve">A fit-for-purpose environment would significantly improve throughput through the building, thereby reducing waiting times for patients. </w:t>
      </w:r>
      <w:r w:rsidR="001D71F5" w:rsidRPr="00587DF1">
        <w:rPr>
          <w:rFonts w:ascii="Arial" w:eastAsia="Arial" w:hAnsi="Arial" w:cs="Arial"/>
        </w:rPr>
        <w:t xml:space="preserve">The analysis </w:t>
      </w:r>
      <w:r w:rsidRPr="00587DF1">
        <w:rPr>
          <w:rFonts w:ascii="Arial" w:eastAsia="Arial" w:hAnsi="Arial" w:cs="Arial"/>
        </w:rPr>
        <w:t xml:space="preserve">referred to above for a typical glaucoma patient </w:t>
      </w:r>
      <w:r w:rsidR="001D71F5" w:rsidRPr="00587DF1">
        <w:rPr>
          <w:rFonts w:ascii="Arial" w:eastAsia="Arial" w:hAnsi="Arial" w:cs="Arial"/>
        </w:rPr>
        <w:t xml:space="preserve">could be reduced </w:t>
      </w:r>
      <w:r w:rsidR="00320059">
        <w:rPr>
          <w:rFonts w:ascii="Arial" w:eastAsia="Arial" w:hAnsi="Arial" w:cs="Arial"/>
        </w:rPr>
        <w:t xml:space="preserve">from three hours </w:t>
      </w:r>
      <w:r w:rsidR="001D71F5" w:rsidRPr="00587DF1">
        <w:rPr>
          <w:rFonts w:ascii="Arial" w:eastAsia="Arial" w:hAnsi="Arial" w:cs="Arial"/>
        </w:rPr>
        <w:t xml:space="preserve">to </w:t>
      </w:r>
      <w:r w:rsidRPr="00587DF1">
        <w:rPr>
          <w:rFonts w:ascii="Arial" w:eastAsia="Arial" w:hAnsi="Arial" w:cs="Arial"/>
        </w:rPr>
        <w:t xml:space="preserve">an estimated </w:t>
      </w:r>
      <w:r w:rsidR="001D71F5" w:rsidRPr="00587DF1">
        <w:rPr>
          <w:rFonts w:ascii="Arial" w:eastAsia="Arial" w:hAnsi="Arial" w:cs="Arial"/>
        </w:rPr>
        <w:t>one hour.</w:t>
      </w:r>
      <w:r w:rsidRPr="00587DF1">
        <w:rPr>
          <w:rFonts w:ascii="Arial" w:eastAsia="Arial" w:hAnsi="Arial" w:cs="Arial"/>
        </w:rPr>
        <w:t xml:space="preserve"> </w:t>
      </w:r>
      <w:r w:rsidR="001D71F5" w:rsidRPr="00587DF1">
        <w:rPr>
          <w:rFonts w:ascii="Arial" w:eastAsia="Arial" w:hAnsi="Arial" w:cs="Arial"/>
        </w:rPr>
        <w:t>This is just one example of how the trust might be able to improve patient throughput and experience dramatically.</w:t>
      </w:r>
    </w:p>
    <w:p w14:paraId="4FA8B602" w14:textId="77777777" w:rsidR="001D71F5" w:rsidRPr="00587DF1" w:rsidRDefault="001D71F5" w:rsidP="00E47761">
      <w:pPr>
        <w:spacing w:after="0"/>
        <w:rPr>
          <w:rFonts w:ascii="Arial" w:eastAsia="Arial" w:hAnsi="Arial" w:cs="Arial"/>
          <w:b/>
          <w:bCs/>
          <w:i/>
          <w:iCs/>
          <w:color w:val="00A09D"/>
        </w:rPr>
      </w:pPr>
      <w:r w:rsidRPr="00587DF1">
        <w:rPr>
          <w:rFonts w:ascii="Arial" w:eastAsia="Arial" w:hAnsi="Arial" w:cs="Arial"/>
          <w:b/>
          <w:bCs/>
          <w:i/>
          <w:iCs/>
          <w:color w:val="00A09D"/>
        </w:rPr>
        <w:t>How do we get there?</w:t>
      </w:r>
    </w:p>
    <w:p w14:paraId="165B51D5" w14:textId="0CD038AD" w:rsidR="001D71F5" w:rsidRPr="00587DF1" w:rsidRDefault="00937174" w:rsidP="00E47761">
      <w:pPr>
        <w:spacing w:after="0"/>
        <w:rPr>
          <w:rFonts w:ascii="Arial" w:eastAsia="Arial" w:hAnsi="Arial" w:cs="Arial"/>
        </w:rPr>
      </w:pPr>
      <w:r w:rsidRPr="00587DF1">
        <w:rPr>
          <w:rFonts w:ascii="Arial" w:eastAsia="Arial" w:hAnsi="Arial" w:cs="Arial"/>
        </w:rPr>
        <w:t xml:space="preserve">Issues such as building layout, light levels and flow cannot be addressed without a new building. Oriel will be designed around the needs of </w:t>
      </w:r>
      <w:r w:rsidR="00320059">
        <w:rPr>
          <w:rFonts w:ascii="Arial" w:eastAsia="Arial" w:hAnsi="Arial" w:cs="Arial"/>
        </w:rPr>
        <w:t xml:space="preserve">all </w:t>
      </w:r>
      <w:r w:rsidRPr="00587DF1">
        <w:rPr>
          <w:rFonts w:ascii="Arial" w:eastAsia="Arial" w:hAnsi="Arial" w:cs="Arial"/>
        </w:rPr>
        <w:t xml:space="preserve">people </w:t>
      </w:r>
      <w:r w:rsidR="00320059">
        <w:rPr>
          <w:rFonts w:ascii="Arial" w:eastAsia="Arial" w:hAnsi="Arial" w:cs="Arial"/>
        </w:rPr>
        <w:t xml:space="preserve">including those </w:t>
      </w:r>
      <w:r w:rsidRPr="00587DF1">
        <w:rPr>
          <w:rFonts w:ascii="Arial" w:eastAsia="Arial" w:hAnsi="Arial" w:cs="Arial"/>
        </w:rPr>
        <w:t xml:space="preserve">with protected </w:t>
      </w:r>
      <w:r w:rsidRPr="00587DF1">
        <w:rPr>
          <w:rFonts w:ascii="Arial" w:eastAsia="Arial" w:hAnsi="Arial" w:cs="Arial"/>
        </w:rPr>
        <w:lastRenderedPageBreak/>
        <w:t>characteristics, in particular sight loss, through ongoing engagement with charities and representative groups of service users.</w:t>
      </w:r>
    </w:p>
    <w:p w14:paraId="485F0975" w14:textId="77777777" w:rsidR="00937174" w:rsidRPr="00587DF1" w:rsidRDefault="00937174" w:rsidP="00E47761">
      <w:pPr>
        <w:spacing w:after="0"/>
        <w:rPr>
          <w:rFonts w:ascii="Arial" w:eastAsia="Arial" w:hAnsi="Arial" w:cs="Arial"/>
        </w:rPr>
      </w:pPr>
    </w:p>
    <w:p w14:paraId="00FAA65F" w14:textId="77777777" w:rsidR="00937174" w:rsidRPr="00587DF1" w:rsidRDefault="00937174" w:rsidP="00E47761">
      <w:pPr>
        <w:spacing w:after="0"/>
        <w:rPr>
          <w:rFonts w:ascii="Arial" w:eastAsia="Arial" w:hAnsi="Arial" w:cs="Arial"/>
        </w:rPr>
      </w:pPr>
      <w:r w:rsidRPr="00587DF1">
        <w:rPr>
          <w:rFonts w:ascii="Arial" w:eastAsia="Arial" w:hAnsi="Arial" w:cs="Arial"/>
        </w:rPr>
        <w:t>A new building will be designed to modern standards, providing all appointments in closed rooms rather than ‘pods’, and being fully accessible for patients with all ability levels.</w:t>
      </w:r>
    </w:p>
    <w:p w14:paraId="2ACD4E53" w14:textId="77777777" w:rsidR="00937174" w:rsidRPr="00587DF1" w:rsidRDefault="00937174" w:rsidP="00E47761">
      <w:pPr>
        <w:spacing w:after="0"/>
        <w:rPr>
          <w:rFonts w:ascii="Arial" w:eastAsia="Arial" w:hAnsi="Arial" w:cs="Arial"/>
          <w:b/>
          <w:bCs/>
          <w:i/>
          <w:iCs/>
          <w:color w:val="00A09D"/>
        </w:rPr>
      </w:pPr>
    </w:p>
    <w:p w14:paraId="10773930" w14:textId="3CB3894F" w:rsidR="00937174" w:rsidRPr="00587DF1" w:rsidRDefault="00937174" w:rsidP="00937174">
      <w:pPr>
        <w:rPr>
          <w:rFonts w:ascii="Arial" w:eastAsia="Arial" w:hAnsi="Arial" w:cs="Arial"/>
        </w:rPr>
      </w:pPr>
      <w:r w:rsidRPr="00587DF1">
        <w:rPr>
          <w:rFonts w:ascii="Arial" w:eastAsia="Arial" w:hAnsi="Arial" w:cs="Arial"/>
        </w:rPr>
        <w:t xml:space="preserve">In addition, the use of technology to assist patient flows and wayfinding is a key opportunity to assist visually impaired patients. However, it is not structurally possible or economically viable to implement these improvements to patient journeys within the estate constraints at the City Road site. </w:t>
      </w:r>
    </w:p>
    <w:p w14:paraId="48D9A1E5" w14:textId="77777777" w:rsidR="001D71F5" w:rsidRPr="00587DF1" w:rsidRDefault="001D71F5" w:rsidP="00E47761">
      <w:pPr>
        <w:spacing w:after="0"/>
        <w:rPr>
          <w:rFonts w:ascii="Arial" w:eastAsia="Arial" w:hAnsi="Arial" w:cs="Arial"/>
        </w:rPr>
      </w:pPr>
      <w:r w:rsidRPr="00587DF1">
        <w:rPr>
          <w:rFonts w:ascii="Arial" w:eastAsia="Arial" w:hAnsi="Arial" w:cs="Arial"/>
          <w:b/>
          <w:bCs/>
          <w:i/>
          <w:iCs/>
          <w:color w:val="00A09D"/>
        </w:rPr>
        <w:t>What will be the benefits?</w:t>
      </w:r>
    </w:p>
    <w:p w14:paraId="602499E8" w14:textId="77777777" w:rsidR="00937174" w:rsidRPr="00587DF1" w:rsidRDefault="00937174" w:rsidP="00937174">
      <w:pPr>
        <w:rPr>
          <w:rFonts w:ascii="Arial" w:eastAsia="Arial" w:hAnsi="Arial" w:cs="Arial"/>
        </w:rPr>
      </w:pPr>
      <w:r w:rsidRPr="00587DF1">
        <w:rPr>
          <w:rFonts w:ascii="Arial" w:eastAsia="Arial" w:hAnsi="Arial" w:cs="Arial"/>
        </w:rPr>
        <w:t>Improved patient experience is key to delivering the best care for people with sight loss, enabling them to engage effectively with services. The barriers to access have a particularly high impact with vulnerable patients such as elderly and low-income patients, and those with co-morbidities such as mental health conditions.</w:t>
      </w:r>
    </w:p>
    <w:p w14:paraId="773134FE" w14:textId="6DFAA055" w:rsidR="00937174" w:rsidRPr="00587DF1" w:rsidRDefault="00937174" w:rsidP="00937174">
      <w:pPr>
        <w:rPr>
          <w:rFonts w:ascii="Arial" w:eastAsia="Arial" w:hAnsi="Arial" w:cs="Arial"/>
        </w:rPr>
      </w:pPr>
      <w:r w:rsidRPr="00587DF1">
        <w:rPr>
          <w:rFonts w:ascii="Arial" w:eastAsia="Arial" w:hAnsi="Arial" w:cs="Arial"/>
        </w:rPr>
        <w:t xml:space="preserve">Staff satisfaction will also improve as staff are able to deliver care from a building which reflects the quality of the </w:t>
      </w:r>
      <w:r w:rsidR="002D66A7">
        <w:rPr>
          <w:rFonts w:ascii="Arial" w:eastAsia="Arial" w:hAnsi="Arial" w:cs="Arial"/>
        </w:rPr>
        <w:t xml:space="preserve">clinical </w:t>
      </w:r>
      <w:r w:rsidRPr="00587DF1">
        <w:rPr>
          <w:rFonts w:ascii="Arial" w:eastAsia="Arial" w:hAnsi="Arial" w:cs="Arial"/>
        </w:rPr>
        <w:t>service.</w:t>
      </w:r>
    </w:p>
    <w:p w14:paraId="35CADAB4" w14:textId="77777777" w:rsidR="001D71F5" w:rsidRPr="00587DF1" w:rsidRDefault="00937174" w:rsidP="00937174">
      <w:pPr>
        <w:rPr>
          <w:rFonts w:ascii="Arial" w:eastAsia="Arial" w:hAnsi="Arial" w:cs="Arial"/>
        </w:rPr>
      </w:pPr>
      <w:r w:rsidRPr="00587DF1">
        <w:rPr>
          <w:rFonts w:ascii="Arial" w:eastAsia="Arial" w:hAnsi="Arial" w:cs="Arial"/>
        </w:rPr>
        <w:t>Improvements in efficiency will mean less waiting for patients, fewer members of staff seeing each patient, and more efficient service delivery.</w:t>
      </w:r>
    </w:p>
    <w:p w14:paraId="4234EA8E" w14:textId="77777777" w:rsidR="001D71F5" w:rsidRPr="00587DF1" w:rsidRDefault="001D71F5" w:rsidP="00E47761">
      <w:pPr>
        <w:spacing w:after="0"/>
        <w:rPr>
          <w:rFonts w:ascii="Arial" w:eastAsia="Arial" w:hAnsi="Arial" w:cs="Arial"/>
        </w:rPr>
      </w:pPr>
    </w:p>
    <w:p w14:paraId="03172826" w14:textId="77777777" w:rsidR="001D71F5" w:rsidRPr="00587DF1" w:rsidRDefault="00C25F02" w:rsidP="005E0D57">
      <w:pPr>
        <w:pStyle w:val="Heading2"/>
        <w:numPr>
          <w:ilvl w:val="2"/>
          <w:numId w:val="1"/>
        </w:numPr>
        <w:rPr>
          <w:rFonts w:ascii="Arial" w:eastAsia="Arial" w:hAnsi="Arial" w:cs="Arial"/>
          <w:sz w:val="22"/>
          <w:szCs w:val="22"/>
        </w:rPr>
      </w:pPr>
      <w:bookmarkStart w:id="83" w:name="_Ref24717234"/>
      <w:bookmarkStart w:id="84" w:name="_Toc27129265"/>
      <w:bookmarkStart w:id="85" w:name="_Toc27746665"/>
      <w:bookmarkStart w:id="86" w:name="_Toc30168730"/>
      <w:bookmarkStart w:id="87" w:name="_Toc30670666"/>
      <w:bookmarkStart w:id="88" w:name="_Toc32842685"/>
      <w:r w:rsidRPr="00587DF1">
        <w:rPr>
          <w:rFonts w:ascii="Arial" w:eastAsia="Arial" w:hAnsi="Arial" w:cs="Arial"/>
          <w:sz w:val="22"/>
          <w:szCs w:val="22"/>
        </w:rPr>
        <w:t xml:space="preserve">Risk of future service failure </w:t>
      </w:r>
      <w:bookmarkStart w:id="89" w:name="_Hlk27135541"/>
      <w:r w:rsidRPr="00587DF1">
        <w:rPr>
          <w:rFonts w:ascii="Arial" w:eastAsia="Arial" w:hAnsi="Arial" w:cs="Arial"/>
          <w:sz w:val="22"/>
          <w:szCs w:val="22"/>
        </w:rPr>
        <w:t>due to i</w:t>
      </w:r>
      <w:r w:rsidR="001D71F5" w:rsidRPr="00587DF1">
        <w:rPr>
          <w:rFonts w:ascii="Arial" w:eastAsia="Arial" w:hAnsi="Arial" w:cs="Arial"/>
          <w:sz w:val="22"/>
          <w:szCs w:val="22"/>
        </w:rPr>
        <w:t>nability to support change</w:t>
      </w:r>
      <w:r w:rsidRPr="00587DF1">
        <w:rPr>
          <w:rFonts w:ascii="Arial" w:eastAsia="Arial" w:hAnsi="Arial" w:cs="Arial"/>
          <w:sz w:val="22"/>
          <w:szCs w:val="22"/>
        </w:rPr>
        <w:t xml:space="preserve"> and loss of staff</w:t>
      </w:r>
      <w:bookmarkEnd w:id="83"/>
      <w:bookmarkEnd w:id="84"/>
      <w:bookmarkEnd w:id="85"/>
      <w:bookmarkEnd w:id="86"/>
      <w:bookmarkEnd w:id="87"/>
      <w:bookmarkEnd w:id="88"/>
      <w:bookmarkEnd w:id="89"/>
    </w:p>
    <w:p w14:paraId="2A6BF620" w14:textId="0F045FFA" w:rsidR="001D71F5" w:rsidRPr="00587DF1" w:rsidRDefault="00044DCA" w:rsidP="001D71F5">
      <w:pPr>
        <w:spacing w:after="0"/>
        <w:rPr>
          <w:rFonts w:ascii="Arial" w:eastAsia="Arial" w:hAnsi="Arial" w:cs="Arial"/>
          <w:i/>
          <w:iCs/>
        </w:rPr>
      </w:pPr>
      <w:r w:rsidRPr="00587DF1">
        <w:rPr>
          <w:rFonts w:ascii="Arial" w:eastAsia="Arial" w:hAnsi="Arial" w:cs="Arial"/>
          <w:i/>
          <w:iCs/>
        </w:rPr>
        <w:t>This specifically relates to objective 5</w:t>
      </w:r>
      <w:r w:rsidR="00A04248" w:rsidRPr="00587DF1">
        <w:rPr>
          <w:rFonts w:ascii="Arial" w:eastAsia="Arial" w:hAnsi="Arial" w:cs="Arial"/>
          <w:i/>
          <w:iCs/>
        </w:rPr>
        <w:t xml:space="preserve"> (</w:t>
      </w:r>
      <w:r w:rsidR="00A04248" w:rsidRPr="00587DF1">
        <w:rPr>
          <w:rFonts w:ascii="Arial" w:eastAsia="Arial" w:hAnsi="Arial" w:cs="Arial"/>
          <w:i/>
          <w:iCs/>
        </w:rPr>
        <w:fldChar w:fldCharType="begin"/>
      </w:r>
      <w:r w:rsidR="00A04248" w:rsidRPr="00587DF1">
        <w:rPr>
          <w:rFonts w:ascii="Arial" w:eastAsia="Arial" w:hAnsi="Arial" w:cs="Arial"/>
          <w:i/>
          <w:iCs/>
        </w:rPr>
        <w:instrText xml:space="preserve"> REF _Ref24984658 \h  \* MERGEFORMAT </w:instrText>
      </w:r>
      <w:r w:rsidR="00A04248" w:rsidRPr="00587DF1">
        <w:rPr>
          <w:rFonts w:ascii="Arial" w:eastAsia="Arial" w:hAnsi="Arial" w:cs="Arial"/>
          <w:i/>
          <w:iCs/>
        </w:rPr>
      </w:r>
      <w:r w:rsidR="00A04248" w:rsidRPr="00587DF1">
        <w:rPr>
          <w:rFonts w:ascii="Arial" w:eastAsia="Arial" w:hAnsi="Arial" w:cs="Arial"/>
          <w:i/>
          <w:iCs/>
        </w:rPr>
        <w:fldChar w:fldCharType="separate"/>
      </w:r>
      <w:r w:rsidR="00A936CD" w:rsidRPr="00A936CD">
        <w:rPr>
          <w:rFonts w:ascii="Arial" w:eastAsia="Arial" w:hAnsi="Arial" w:cs="Arial"/>
          <w:i/>
          <w:iCs/>
        </w:rPr>
        <w:t>Table 11</w:t>
      </w:r>
      <w:r w:rsidR="00A04248" w:rsidRPr="00587DF1">
        <w:rPr>
          <w:rFonts w:ascii="Arial" w:eastAsia="Arial" w:hAnsi="Arial" w:cs="Arial"/>
          <w:i/>
          <w:iCs/>
        </w:rPr>
        <w:fldChar w:fldCharType="end"/>
      </w:r>
      <w:r w:rsidR="00A04248" w:rsidRPr="00587DF1">
        <w:rPr>
          <w:rFonts w:ascii="Arial" w:eastAsia="Arial" w:hAnsi="Arial" w:cs="Arial"/>
          <w:i/>
          <w:iCs/>
        </w:rPr>
        <w:t>)</w:t>
      </w:r>
      <w:r w:rsidRPr="00587DF1">
        <w:rPr>
          <w:rFonts w:ascii="Arial" w:eastAsia="Arial" w:hAnsi="Arial" w:cs="Arial"/>
          <w:i/>
          <w:iCs/>
        </w:rPr>
        <w:t>.</w:t>
      </w:r>
    </w:p>
    <w:p w14:paraId="0ACDE593" w14:textId="77777777" w:rsidR="00044DCA" w:rsidRPr="00587DF1" w:rsidRDefault="00044DCA" w:rsidP="001D71F5">
      <w:pPr>
        <w:spacing w:after="0"/>
        <w:rPr>
          <w:rFonts w:ascii="Arial" w:eastAsia="Arial" w:hAnsi="Arial" w:cs="Arial"/>
          <w:b/>
          <w:bCs/>
          <w:i/>
          <w:iCs/>
        </w:rPr>
      </w:pPr>
    </w:p>
    <w:p w14:paraId="17ECE882" w14:textId="77777777" w:rsidR="001D71F5" w:rsidRPr="00587DF1" w:rsidRDefault="001D71F5" w:rsidP="001D71F5">
      <w:pPr>
        <w:spacing w:after="0"/>
        <w:rPr>
          <w:rFonts w:ascii="Arial" w:eastAsia="Arial" w:hAnsi="Arial" w:cs="Arial"/>
          <w:b/>
          <w:bCs/>
          <w:i/>
          <w:iCs/>
          <w:color w:val="00A09D"/>
        </w:rPr>
      </w:pPr>
      <w:r w:rsidRPr="00587DF1">
        <w:rPr>
          <w:rFonts w:ascii="Arial" w:eastAsia="Arial" w:hAnsi="Arial" w:cs="Arial"/>
          <w:b/>
          <w:bCs/>
          <w:i/>
          <w:iCs/>
          <w:color w:val="00A09D"/>
        </w:rPr>
        <w:t>Where are we now?</w:t>
      </w:r>
    </w:p>
    <w:p w14:paraId="76A08E3A" w14:textId="77777777" w:rsidR="00937174" w:rsidRPr="00587DF1" w:rsidRDefault="00937174" w:rsidP="001D71F5">
      <w:pPr>
        <w:spacing w:after="0"/>
        <w:rPr>
          <w:rFonts w:ascii="Arial" w:eastAsia="Arial" w:hAnsi="Arial" w:cs="Arial"/>
        </w:rPr>
      </w:pPr>
      <w:r w:rsidRPr="00587DF1">
        <w:rPr>
          <w:rFonts w:ascii="Arial" w:eastAsia="Arial" w:hAnsi="Arial" w:cs="Arial"/>
        </w:rPr>
        <w:t xml:space="preserve">Moorfields has an international reputation for delivering world-class ophthalmology services, and for being at the cutting edge of developments in the field. This enables the trust to attract the best clinicians, improving its ability to deliver high quality services, and further push the boundaries of ophthalmology treatment and care. </w:t>
      </w:r>
    </w:p>
    <w:p w14:paraId="087D4075" w14:textId="77777777" w:rsidR="00937174" w:rsidRPr="00587DF1" w:rsidRDefault="00937174" w:rsidP="001D71F5">
      <w:pPr>
        <w:spacing w:after="0"/>
        <w:rPr>
          <w:rFonts w:ascii="Arial" w:eastAsia="Arial" w:hAnsi="Arial" w:cs="Arial"/>
        </w:rPr>
      </w:pPr>
    </w:p>
    <w:p w14:paraId="481E85DF" w14:textId="015DD82C" w:rsidR="00937174" w:rsidRPr="00587DF1" w:rsidRDefault="00937174" w:rsidP="001D71F5">
      <w:pPr>
        <w:spacing w:after="0"/>
        <w:rPr>
          <w:rFonts w:ascii="Arial" w:eastAsia="Arial" w:hAnsi="Arial" w:cs="Arial"/>
        </w:rPr>
      </w:pPr>
      <w:r w:rsidRPr="00587DF1">
        <w:rPr>
          <w:rFonts w:ascii="Arial" w:eastAsia="Arial" w:hAnsi="Arial" w:cs="Arial"/>
        </w:rPr>
        <w:t xml:space="preserve">Despite </w:t>
      </w:r>
      <w:r w:rsidR="00C25F02" w:rsidRPr="00587DF1">
        <w:rPr>
          <w:rFonts w:ascii="Arial" w:eastAsia="Arial" w:hAnsi="Arial" w:cs="Arial"/>
        </w:rPr>
        <w:t>this</w:t>
      </w:r>
      <w:r w:rsidRPr="00587DF1">
        <w:rPr>
          <w:rFonts w:ascii="Arial" w:eastAsia="Arial" w:hAnsi="Arial" w:cs="Arial"/>
        </w:rPr>
        <w:t xml:space="preserve">, the site is not capable of </w:t>
      </w:r>
      <w:bookmarkStart w:id="90" w:name="_Hlk27135572"/>
      <w:r w:rsidRPr="00587DF1">
        <w:rPr>
          <w:rFonts w:ascii="Arial" w:eastAsia="Arial" w:hAnsi="Arial" w:cs="Arial"/>
        </w:rPr>
        <w:t>supporting the trust in the step-change it plans to implement in terms of an integrated (with the IoO) and digitally-focused campus for the long term future</w:t>
      </w:r>
      <w:bookmarkEnd w:id="90"/>
      <w:r w:rsidR="00C14576">
        <w:rPr>
          <w:rFonts w:ascii="Arial" w:eastAsia="Arial" w:hAnsi="Arial" w:cs="Arial"/>
        </w:rPr>
        <w:t>, without significant investment</w:t>
      </w:r>
      <w:r w:rsidRPr="00587DF1">
        <w:rPr>
          <w:rFonts w:ascii="Arial" w:eastAsia="Arial" w:hAnsi="Arial" w:cs="Arial"/>
        </w:rPr>
        <w:t>. The key issue the estate now has is not related to its condition (although in places this could be improved) but its functional suitability. The site’s 100+ year old structure and floor heights do not allow space to be reconfigured, the flexibility to adapt to new technologies, or the space to accommodate modern IT infrastructure.</w:t>
      </w:r>
    </w:p>
    <w:p w14:paraId="56028CC9" w14:textId="77777777" w:rsidR="00937174" w:rsidRPr="00587DF1" w:rsidRDefault="00937174" w:rsidP="001D71F5">
      <w:pPr>
        <w:spacing w:after="0"/>
        <w:rPr>
          <w:rFonts w:ascii="Arial" w:eastAsia="Arial" w:hAnsi="Arial" w:cs="Arial"/>
        </w:rPr>
      </w:pPr>
    </w:p>
    <w:p w14:paraId="3ADFCD84" w14:textId="77777777" w:rsidR="00937174" w:rsidRPr="00587DF1" w:rsidRDefault="00937174" w:rsidP="001D71F5">
      <w:pPr>
        <w:spacing w:after="0"/>
        <w:rPr>
          <w:rFonts w:ascii="Arial" w:eastAsia="Arial" w:hAnsi="Arial" w:cs="Arial"/>
        </w:rPr>
      </w:pPr>
      <w:r w:rsidRPr="00587DF1">
        <w:rPr>
          <w:rFonts w:ascii="Arial" w:eastAsia="Arial" w:hAnsi="Arial" w:cs="Arial"/>
        </w:rPr>
        <w:t>Ophthalmology is a rapidly changing field, and the trust risks not being able to accommodate new treatments or technologies as they are developed in the future.</w:t>
      </w:r>
    </w:p>
    <w:p w14:paraId="36DC1A45" w14:textId="77777777" w:rsidR="00937174" w:rsidRPr="00587DF1" w:rsidRDefault="00937174" w:rsidP="001D71F5">
      <w:pPr>
        <w:spacing w:after="0"/>
        <w:rPr>
          <w:rFonts w:ascii="Arial" w:eastAsia="Arial" w:hAnsi="Arial" w:cs="Arial"/>
        </w:rPr>
      </w:pPr>
    </w:p>
    <w:p w14:paraId="34E89053" w14:textId="77777777" w:rsidR="00C25F02" w:rsidRPr="00587DF1" w:rsidRDefault="00C25F02" w:rsidP="00C25F02">
      <w:pPr>
        <w:rPr>
          <w:rFonts w:ascii="Arial" w:eastAsia="Arial" w:hAnsi="Arial" w:cs="Arial"/>
        </w:rPr>
      </w:pPr>
      <w:r w:rsidRPr="00587DF1">
        <w:rPr>
          <w:rFonts w:ascii="Arial" w:eastAsia="Arial" w:hAnsi="Arial" w:cs="Arial"/>
        </w:rPr>
        <w:t xml:space="preserve">With current clinical journeys extended by the estate structure resulting in overcrowding and delays, and the inability of the estate to support innovative service developments, staff morale can suffer. Modern, well designed facilities contribute towards high staff satisfaction, </w:t>
      </w:r>
      <w:r w:rsidRPr="00587DF1">
        <w:rPr>
          <w:rFonts w:ascii="Arial" w:eastAsia="Arial" w:hAnsi="Arial" w:cs="Arial"/>
        </w:rPr>
        <w:lastRenderedPageBreak/>
        <w:t>and a modern, purpose-built facility would eliminate the need for staff to work around the ageing and constraining infrastructure they currently have to overcome on a daily basis.</w:t>
      </w:r>
      <w:r w:rsidR="00786989" w:rsidRPr="00587DF1">
        <w:rPr>
          <w:rFonts w:ascii="Arial" w:eastAsia="Arial" w:hAnsi="Arial" w:cs="Arial"/>
        </w:rPr>
        <w:t xml:space="preserve"> </w:t>
      </w:r>
    </w:p>
    <w:p w14:paraId="58F59006" w14:textId="45C78094" w:rsidR="00245DAD" w:rsidRPr="00587DF1" w:rsidRDefault="00245DAD" w:rsidP="00245DAD">
      <w:pPr>
        <w:spacing w:after="0"/>
        <w:rPr>
          <w:rFonts w:ascii="Arial" w:eastAsia="Arial" w:hAnsi="Arial" w:cs="Arial"/>
        </w:rPr>
      </w:pPr>
      <w:r w:rsidRPr="00587DF1">
        <w:rPr>
          <w:rFonts w:ascii="Arial" w:eastAsia="Arial" w:hAnsi="Arial" w:cs="Arial"/>
        </w:rPr>
        <w:t>Attracting and retaining motivated well-trained staff is essential</w:t>
      </w:r>
      <w:r w:rsidR="004040D3">
        <w:rPr>
          <w:rFonts w:ascii="Arial" w:eastAsia="Arial" w:hAnsi="Arial" w:cs="Arial"/>
        </w:rPr>
        <w:t xml:space="preserve"> to maintaining the current quality of care, and remaining a world leader in ophthalmology</w:t>
      </w:r>
      <w:r w:rsidRPr="00587DF1">
        <w:rPr>
          <w:rFonts w:ascii="Arial" w:eastAsia="Arial" w:hAnsi="Arial" w:cs="Arial"/>
        </w:rPr>
        <w:t xml:space="preserve">. Recruitment and retention of sufficient staff with the right skills and experience is increasingly difficult </w:t>
      </w:r>
      <w:bookmarkStart w:id="91" w:name="_Hlk27135637"/>
      <w:r w:rsidRPr="00587DF1">
        <w:rPr>
          <w:rFonts w:ascii="Arial" w:eastAsia="Arial" w:hAnsi="Arial" w:cs="Arial"/>
        </w:rPr>
        <w:t xml:space="preserve">across the health sector. There is a real risk that the trust could lose its excellent clinicians and researchers if improvements are not made to the working environment. In attracting the best talent, Moorfields is competing with private providers, commercial pharmaceutical companies and globally recognised providers of ophthalmology services. </w:t>
      </w:r>
      <w:r w:rsidR="00C25F02" w:rsidRPr="00587DF1">
        <w:rPr>
          <w:rFonts w:ascii="Arial" w:eastAsia="Arial" w:hAnsi="Arial" w:cs="Arial"/>
        </w:rPr>
        <w:t xml:space="preserve">As the City Road site continues to deteriorate, and </w:t>
      </w:r>
      <w:r w:rsidR="00E10C97">
        <w:rPr>
          <w:rFonts w:ascii="Arial" w:eastAsia="Arial" w:hAnsi="Arial" w:cs="Arial"/>
        </w:rPr>
        <w:t>the partners’</w:t>
      </w:r>
      <w:r w:rsidR="00C25F02" w:rsidRPr="00587DF1">
        <w:rPr>
          <w:rFonts w:ascii="Arial" w:eastAsia="Arial" w:hAnsi="Arial" w:cs="Arial"/>
        </w:rPr>
        <w:t xml:space="preserve"> competitors continue to improve, the resulting loss of staff and status would mean </w:t>
      </w:r>
      <w:r w:rsidRPr="00587DF1">
        <w:rPr>
          <w:rFonts w:ascii="Arial" w:eastAsia="Arial" w:hAnsi="Arial" w:cs="Arial"/>
        </w:rPr>
        <w:t>the quality of clinical services will suffer</w:t>
      </w:r>
      <w:r w:rsidR="00C25F02" w:rsidRPr="00587DF1">
        <w:rPr>
          <w:rFonts w:ascii="Arial" w:eastAsia="Arial" w:hAnsi="Arial" w:cs="Arial"/>
        </w:rPr>
        <w:t>,</w:t>
      </w:r>
      <w:r w:rsidRPr="00587DF1">
        <w:rPr>
          <w:rFonts w:ascii="Arial" w:eastAsia="Arial" w:hAnsi="Arial" w:cs="Arial"/>
        </w:rPr>
        <w:t xml:space="preserve"> and the trust </w:t>
      </w:r>
      <w:r w:rsidR="00C25F02" w:rsidRPr="00587DF1">
        <w:rPr>
          <w:rFonts w:ascii="Arial" w:eastAsia="Arial" w:hAnsi="Arial" w:cs="Arial"/>
        </w:rPr>
        <w:t xml:space="preserve">will not be able to </w:t>
      </w:r>
      <w:r w:rsidRPr="00587DF1">
        <w:rPr>
          <w:rFonts w:ascii="Arial" w:eastAsia="Arial" w:hAnsi="Arial" w:cs="Arial"/>
        </w:rPr>
        <w:t>maintain its excellent outcomes.</w:t>
      </w:r>
    </w:p>
    <w:bookmarkEnd w:id="91"/>
    <w:p w14:paraId="5FA32825" w14:textId="77777777" w:rsidR="00937174" w:rsidRPr="00587DF1" w:rsidRDefault="00937174" w:rsidP="001D71F5">
      <w:pPr>
        <w:spacing w:after="0"/>
        <w:rPr>
          <w:rFonts w:ascii="Arial" w:eastAsia="Arial" w:hAnsi="Arial" w:cs="Arial"/>
          <w:i/>
          <w:iCs/>
        </w:rPr>
      </w:pPr>
    </w:p>
    <w:p w14:paraId="1147F7D9" w14:textId="087EBFA6" w:rsidR="001D71F5" w:rsidRPr="00587DF1" w:rsidRDefault="00937174" w:rsidP="001D71F5">
      <w:pPr>
        <w:spacing w:after="0"/>
        <w:rPr>
          <w:rFonts w:ascii="Arial" w:eastAsia="Arial" w:hAnsi="Arial" w:cs="Arial"/>
        </w:rPr>
      </w:pPr>
      <w:r w:rsidRPr="00587DF1">
        <w:rPr>
          <w:rFonts w:ascii="Arial" w:eastAsia="Arial" w:hAnsi="Arial" w:cs="Arial"/>
        </w:rPr>
        <w:t>City Road has been the subject of piecemeal adaptations over the years, however the trust is reaching the limits of how much it can continue to accommodate the advancing field of ophthalmology</w:t>
      </w:r>
      <w:r w:rsidR="002D66A7">
        <w:rPr>
          <w:rFonts w:ascii="Arial" w:eastAsia="Arial" w:hAnsi="Arial" w:cs="Arial"/>
        </w:rPr>
        <w:t xml:space="preserve"> in the current estate</w:t>
      </w:r>
      <w:r w:rsidRPr="00587DF1">
        <w:rPr>
          <w:rFonts w:ascii="Arial" w:eastAsia="Arial" w:hAnsi="Arial" w:cs="Arial"/>
        </w:rPr>
        <w:t>.</w:t>
      </w:r>
    </w:p>
    <w:p w14:paraId="10FC0299" w14:textId="77777777" w:rsidR="001D71F5" w:rsidRPr="00587DF1" w:rsidRDefault="001D71F5" w:rsidP="001D71F5">
      <w:pPr>
        <w:spacing w:after="0"/>
        <w:rPr>
          <w:rFonts w:ascii="Arial" w:eastAsia="Arial" w:hAnsi="Arial" w:cs="Arial"/>
        </w:rPr>
      </w:pPr>
    </w:p>
    <w:p w14:paraId="2EFC54FD" w14:textId="77777777" w:rsidR="001D71F5" w:rsidRPr="00587DF1" w:rsidRDefault="001D71F5" w:rsidP="001D71F5">
      <w:pPr>
        <w:spacing w:after="0"/>
        <w:rPr>
          <w:rFonts w:ascii="Arial" w:eastAsia="Arial" w:hAnsi="Arial" w:cs="Arial"/>
          <w:color w:val="00A09D"/>
        </w:rPr>
      </w:pPr>
      <w:r w:rsidRPr="00587DF1">
        <w:rPr>
          <w:rFonts w:ascii="Arial" w:eastAsia="Arial" w:hAnsi="Arial" w:cs="Arial"/>
          <w:b/>
          <w:bCs/>
          <w:i/>
          <w:iCs/>
          <w:color w:val="00A09D"/>
        </w:rPr>
        <w:t>Where do we want to be?</w:t>
      </w:r>
      <w:r w:rsidRPr="00587DF1">
        <w:rPr>
          <w:rFonts w:ascii="Arial" w:eastAsia="Arial" w:hAnsi="Arial" w:cs="Arial"/>
          <w:color w:val="00A09D"/>
        </w:rPr>
        <w:t xml:space="preserve"> </w:t>
      </w:r>
    </w:p>
    <w:p w14:paraId="21554A99" w14:textId="77777777" w:rsidR="001D71F5" w:rsidRPr="00587DF1" w:rsidRDefault="00937174" w:rsidP="001D71F5">
      <w:pPr>
        <w:spacing w:after="0"/>
        <w:rPr>
          <w:rFonts w:ascii="Arial" w:eastAsia="Arial" w:hAnsi="Arial" w:cs="Arial"/>
        </w:rPr>
      </w:pPr>
      <w:r w:rsidRPr="00587DF1">
        <w:rPr>
          <w:rFonts w:ascii="Arial" w:eastAsia="Arial" w:hAnsi="Arial" w:cs="Arial"/>
        </w:rPr>
        <w:t xml:space="preserve">Moorfields aspires to maintain </w:t>
      </w:r>
      <w:r w:rsidR="001D71F5" w:rsidRPr="00587DF1">
        <w:rPr>
          <w:rFonts w:ascii="Arial" w:eastAsia="Arial" w:hAnsi="Arial" w:cs="Arial"/>
        </w:rPr>
        <w:t>a centre of excellence</w:t>
      </w:r>
      <w:r w:rsidRPr="00587DF1">
        <w:rPr>
          <w:rFonts w:ascii="Arial" w:eastAsia="Arial" w:hAnsi="Arial" w:cs="Arial"/>
        </w:rPr>
        <w:t xml:space="preserve"> to see the most complex patients, as well as leading the way in efficiently treating routine conditions. T</w:t>
      </w:r>
      <w:r w:rsidR="001D71F5" w:rsidRPr="00587DF1">
        <w:rPr>
          <w:rFonts w:ascii="Arial" w:eastAsia="Arial" w:hAnsi="Arial" w:cs="Arial"/>
        </w:rPr>
        <w:t>ransforming the way services are delivered is essential to maintaining Moorfields’ reputation.</w:t>
      </w:r>
    </w:p>
    <w:p w14:paraId="601B9D81" w14:textId="77777777" w:rsidR="001D71F5" w:rsidRPr="00587DF1" w:rsidRDefault="001D71F5" w:rsidP="001D71F5">
      <w:pPr>
        <w:spacing w:after="0"/>
        <w:rPr>
          <w:rFonts w:ascii="Arial" w:eastAsia="Arial" w:hAnsi="Arial" w:cs="Arial"/>
        </w:rPr>
      </w:pPr>
    </w:p>
    <w:p w14:paraId="1E765A79" w14:textId="4CD32CA6" w:rsidR="00937174" w:rsidRPr="00587DF1" w:rsidRDefault="001D71F5" w:rsidP="001D71F5">
      <w:pPr>
        <w:spacing w:after="0"/>
        <w:rPr>
          <w:rFonts w:ascii="Arial" w:eastAsia="Arial" w:hAnsi="Arial" w:cs="Arial"/>
        </w:rPr>
      </w:pPr>
      <w:r w:rsidRPr="00587DF1">
        <w:rPr>
          <w:rFonts w:ascii="Arial" w:eastAsia="Arial" w:hAnsi="Arial" w:cs="Arial"/>
        </w:rPr>
        <w:t xml:space="preserve">The trust aspires to provide more technology-enabled services such as virtual glaucoma clinics, tele-ophthalmology </w:t>
      </w:r>
      <w:r w:rsidR="002D66A7">
        <w:rPr>
          <w:rFonts w:ascii="Arial" w:eastAsia="Arial" w:hAnsi="Arial" w:cs="Arial"/>
        </w:rPr>
        <w:t xml:space="preserve">across </w:t>
      </w:r>
      <w:r w:rsidRPr="00587DF1">
        <w:rPr>
          <w:rFonts w:ascii="Arial" w:eastAsia="Arial" w:hAnsi="Arial" w:cs="Arial"/>
        </w:rPr>
        <w:t>the medical retina service, digital triage in A&amp;E and digital solutions to enhance the cataract patient pathway.</w:t>
      </w:r>
      <w:r w:rsidR="00937174" w:rsidRPr="00587DF1">
        <w:rPr>
          <w:rFonts w:ascii="Arial" w:eastAsia="Arial" w:hAnsi="Arial" w:cs="Arial"/>
        </w:rPr>
        <w:t xml:space="preserve"> This will improve efficiency as well as providing more care closer to home.</w:t>
      </w:r>
      <w:r w:rsidRPr="00587DF1">
        <w:rPr>
          <w:rFonts w:ascii="Arial" w:eastAsia="Arial" w:hAnsi="Arial" w:cs="Arial"/>
        </w:rPr>
        <w:t xml:space="preserve"> </w:t>
      </w:r>
      <w:r w:rsidR="00937174" w:rsidRPr="00587DF1">
        <w:rPr>
          <w:rFonts w:ascii="Arial" w:eastAsia="Arial" w:hAnsi="Arial" w:cs="Arial"/>
        </w:rPr>
        <w:t xml:space="preserve">The current building is not well placed to support the trust’s technological aspirations for a smart hospital. High quality IT infrastructure is required to provide high signal strength WiFi, which would support increased use of mobile devices to facilitate patient flow and improve efficiency (described in more detail in the Commercial Case). </w:t>
      </w:r>
      <w:r w:rsidRPr="00587DF1">
        <w:rPr>
          <w:rFonts w:ascii="Arial" w:eastAsia="Arial" w:hAnsi="Arial" w:cs="Arial"/>
        </w:rPr>
        <w:t xml:space="preserve">It would be very difficult, disruptive and cost inefficient to try to install the infrastructure required to support mobile and highly automated services. </w:t>
      </w:r>
    </w:p>
    <w:p w14:paraId="3D798A0E" w14:textId="77777777" w:rsidR="008550B8" w:rsidRPr="00587DF1" w:rsidRDefault="008550B8" w:rsidP="001D71F5">
      <w:pPr>
        <w:spacing w:after="0"/>
        <w:rPr>
          <w:rFonts w:ascii="Arial" w:eastAsia="Arial" w:hAnsi="Arial" w:cs="Arial"/>
        </w:rPr>
      </w:pPr>
    </w:p>
    <w:p w14:paraId="7AB21A77" w14:textId="55DF7A1B" w:rsidR="00937174" w:rsidRDefault="008550B8" w:rsidP="00B37104">
      <w:pPr>
        <w:spacing w:after="0"/>
        <w:rPr>
          <w:rFonts w:ascii="Arial" w:hAnsi="Arial" w:cs="Arial"/>
        </w:rPr>
      </w:pPr>
      <w:r w:rsidRPr="00587DF1">
        <w:rPr>
          <w:rFonts w:ascii="Arial" w:eastAsia="Arial" w:hAnsi="Arial" w:cs="Arial"/>
        </w:rPr>
        <w:t xml:space="preserve">Commissioners have set out an outline model of care for ophthalmology services, which they plan to pursue through </w:t>
      </w:r>
      <w:r w:rsidR="00A01F99" w:rsidRPr="00587DF1">
        <w:rPr>
          <w:rFonts w:ascii="Arial" w:eastAsia="Arial" w:hAnsi="Arial" w:cs="Arial"/>
        </w:rPr>
        <w:t xml:space="preserve">a </w:t>
      </w:r>
      <w:r w:rsidR="000C6CD9" w:rsidRPr="00A1175B">
        <w:rPr>
          <w:rFonts w:ascii="Arial" w:eastAsia="Arial" w:hAnsi="Arial" w:cs="Arial"/>
        </w:rPr>
        <w:t>London Ophthalmology Collaborative</w:t>
      </w:r>
      <w:r w:rsidRPr="00587DF1">
        <w:rPr>
          <w:rFonts w:ascii="Arial" w:eastAsia="Arial" w:hAnsi="Arial" w:cs="Arial"/>
        </w:rPr>
        <w:t xml:space="preserve">. </w:t>
      </w:r>
      <w:r w:rsidR="00B37104">
        <w:rPr>
          <w:rFonts w:ascii="Arial" w:hAnsi="Arial" w:cs="Arial"/>
        </w:rPr>
        <w:t xml:space="preserve">This is described in section </w:t>
      </w:r>
      <w:r w:rsidR="00B37104">
        <w:rPr>
          <w:rFonts w:ascii="Arial" w:hAnsi="Arial" w:cs="Arial"/>
        </w:rPr>
        <w:fldChar w:fldCharType="begin"/>
      </w:r>
      <w:r w:rsidR="00B37104">
        <w:rPr>
          <w:rFonts w:ascii="Arial" w:hAnsi="Arial" w:cs="Arial"/>
        </w:rPr>
        <w:instrText xml:space="preserve"> REF _Ref27056909 \r \h </w:instrText>
      </w:r>
      <w:r w:rsidR="00B37104">
        <w:rPr>
          <w:rFonts w:ascii="Arial" w:hAnsi="Arial" w:cs="Arial"/>
        </w:rPr>
      </w:r>
      <w:r w:rsidR="00B37104">
        <w:rPr>
          <w:rFonts w:ascii="Arial" w:hAnsi="Arial" w:cs="Arial"/>
        </w:rPr>
        <w:fldChar w:fldCharType="separate"/>
      </w:r>
      <w:r w:rsidR="00A936CD">
        <w:rPr>
          <w:rFonts w:ascii="Arial" w:hAnsi="Arial" w:cs="Arial"/>
        </w:rPr>
        <w:t>5.2</w:t>
      </w:r>
      <w:r w:rsidR="00B37104">
        <w:rPr>
          <w:rFonts w:ascii="Arial" w:hAnsi="Arial" w:cs="Arial"/>
        </w:rPr>
        <w:fldChar w:fldCharType="end"/>
      </w:r>
      <w:r w:rsidRPr="00587DF1">
        <w:rPr>
          <w:rFonts w:ascii="Arial" w:hAnsi="Arial" w:cs="Arial"/>
        </w:rPr>
        <w:t xml:space="preserve">. Central to this model is the principle of system-wide working, with greater collaboration across primary, community, secondary and tertiary care settings. </w:t>
      </w:r>
      <w:r w:rsidR="00B37104">
        <w:rPr>
          <w:rFonts w:ascii="Arial" w:eastAsia="Arial" w:hAnsi="Arial" w:cs="Arial"/>
        </w:rPr>
        <w:t xml:space="preserve"> </w:t>
      </w:r>
      <w:r w:rsidRPr="00587DF1">
        <w:rPr>
          <w:rFonts w:ascii="Arial" w:hAnsi="Arial" w:cs="Arial"/>
        </w:rPr>
        <w:t>Oriel will enable Moorfields to support this through investment in digital infrastructure, development of the workforce and driving research and innovation.</w:t>
      </w:r>
    </w:p>
    <w:p w14:paraId="1DAE5034" w14:textId="77777777" w:rsidR="00B37104" w:rsidRPr="00B37104" w:rsidRDefault="00B37104" w:rsidP="00B37104">
      <w:pPr>
        <w:spacing w:after="0"/>
        <w:rPr>
          <w:rFonts w:ascii="Arial" w:eastAsia="Arial" w:hAnsi="Arial" w:cs="Arial"/>
        </w:rPr>
      </w:pPr>
    </w:p>
    <w:p w14:paraId="43478FDD" w14:textId="77777777" w:rsidR="00C25F02" w:rsidRPr="00587DF1" w:rsidRDefault="00C25F02" w:rsidP="00C25F02">
      <w:pPr>
        <w:rPr>
          <w:rFonts w:ascii="Arial" w:eastAsia="Arial" w:hAnsi="Arial" w:cs="Arial"/>
        </w:rPr>
      </w:pPr>
      <w:r w:rsidRPr="00587DF1">
        <w:rPr>
          <w:rFonts w:ascii="Arial" w:eastAsia="Arial" w:hAnsi="Arial" w:cs="Arial"/>
        </w:rPr>
        <w:t xml:space="preserve">In addition, the ability to deliver cutting-edge services supported by research, will make Moorfields an exciting place to work, with opportunities for expanded roles and career development. Enhanced roles would allow more efficient use of staff time and provide ways of managing workloads in ways that maintain the high quality of services to patients. A new facility would enable the development of new ways of working through a flexible environment that would change and accommodate new roles and treatments. Development of new roles </w:t>
      </w:r>
      <w:r w:rsidRPr="00587DF1">
        <w:rPr>
          <w:rFonts w:ascii="Arial" w:eastAsia="Arial" w:hAnsi="Arial" w:cs="Arial"/>
        </w:rPr>
        <w:lastRenderedPageBreak/>
        <w:t xml:space="preserve">will enable the trust to offer career progression, and unique opportunities to staff. An ambitious, modern, and dynamic working environment, allied to excellent educational and research facilities, would be an important motivator in attracting the brightest and best in eye care. </w:t>
      </w:r>
    </w:p>
    <w:p w14:paraId="2B66FB3C" w14:textId="77777777" w:rsidR="00937174" w:rsidRPr="00587DF1" w:rsidRDefault="00937174" w:rsidP="00937174">
      <w:pPr>
        <w:rPr>
          <w:rFonts w:ascii="Arial" w:eastAsia="Arial" w:hAnsi="Arial" w:cs="Arial"/>
        </w:rPr>
      </w:pPr>
      <w:r w:rsidRPr="00587DF1">
        <w:rPr>
          <w:rFonts w:ascii="Arial" w:eastAsia="Arial" w:hAnsi="Arial" w:cs="Arial"/>
        </w:rPr>
        <w:t>It is critically important that Moorfields can keep pace with service developments, in order to provide patients with the latest in high quality care as soon as it becomes widely available</w:t>
      </w:r>
      <w:r w:rsidR="008550B8" w:rsidRPr="00587DF1">
        <w:rPr>
          <w:rFonts w:ascii="Arial" w:eastAsia="Arial" w:hAnsi="Arial" w:cs="Arial"/>
        </w:rPr>
        <w:t>, and support new care pathways</w:t>
      </w:r>
      <w:r w:rsidRPr="00587DF1">
        <w:rPr>
          <w:rFonts w:ascii="Arial" w:eastAsia="Arial" w:hAnsi="Arial" w:cs="Arial"/>
        </w:rPr>
        <w:t>. The current building does not have the flexibility to respond to this.</w:t>
      </w:r>
    </w:p>
    <w:p w14:paraId="28C1007E" w14:textId="77777777" w:rsidR="001D71F5" w:rsidRPr="00587DF1" w:rsidRDefault="001D71F5" w:rsidP="001D71F5">
      <w:pPr>
        <w:spacing w:after="0"/>
        <w:rPr>
          <w:rFonts w:ascii="Arial" w:eastAsia="Arial" w:hAnsi="Arial" w:cs="Arial"/>
          <w:b/>
          <w:bCs/>
          <w:i/>
          <w:iCs/>
          <w:color w:val="00A09D"/>
        </w:rPr>
      </w:pPr>
      <w:r w:rsidRPr="00587DF1">
        <w:rPr>
          <w:rFonts w:ascii="Arial" w:eastAsia="Arial" w:hAnsi="Arial" w:cs="Arial"/>
          <w:b/>
          <w:bCs/>
          <w:i/>
          <w:iCs/>
          <w:color w:val="00A09D"/>
        </w:rPr>
        <w:t>How do we get there?</w:t>
      </w:r>
    </w:p>
    <w:p w14:paraId="0F3CB77F" w14:textId="729ECA25" w:rsidR="00937174" w:rsidRPr="00587DF1" w:rsidRDefault="00937174" w:rsidP="00937174">
      <w:pPr>
        <w:rPr>
          <w:rFonts w:ascii="Arial" w:eastAsia="Arial" w:hAnsi="Arial" w:cs="Arial"/>
        </w:rPr>
      </w:pPr>
      <w:r w:rsidRPr="00587DF1">
        <w:rPr>
          <w:rFonts w:ascii="Arial" w:eastAsia="Arial" w:hAnsi="Arial" w:cs="Arial"/>
        </w:rPr>
        <w:t>There are a number of service developments which Moorfields will be able to design into the new building, such as</w:t>
      </w:r>
      <w:r w:rsidR="00616936">
        <w:rPr>
          <w:rFonts w:ascii="Arial" w:eastAsia="Arial" w:hAnsi="Arial" w:cs="Arial"/>
        </w:rPr>
        <w:t>:</w:t>
      </w:r>
    </w:p>
    <w:p w14:paraId="27582ED2" w14:textId="0986B343" w:rsidR="00937174" w:rsidRPr="00587DF1" w:rsidRDefault="00937174" w:rsidP="005E0D57">
      <w:pPr>
        <w:pStyle w:val="ListParagraph"/>
        <w:numPr>
          <w:ilvl w:val="0"/>
          <w:numId w:val="58"/>
        </w:numPr>
        <w:rPr>
          <w:rFonts w:ascii="Arial" w:eastAsia="Arial" w:hAnsi="Arial" w:cs="Arial"/>
        </w:rPr>
      </w:pPr>
      <w:r w:rsidRPr="00587DF1">
        <w:rPr>
          <w:rFonts w:ascii="Arial" w:eastAsia="Arial" w:hAnsi="Arial" w:cs="Arial"/>
        </w:rPr>
        <w:t>Ability to deliver virtual clinics</w:t>
      </w:r>
      <w:r w:rsidR="001D0A5D">
        <w:rPr>
          <w:rFonts w:ascii="Arial" w:eastAsia="Arial" w:hAnsi="Arial" w:cs="Arial"/>
        </w:rPr>
        <w:t xml:space="preserve"> and new care pathways</w:t>
      </w:r>
      <w:r w:rsidRPr="00587DF1">
        <w:rPr>
          <w:rFonts w:ascii="Arial" w:eastAsia="Arial" w:hAnsi="Arial" w:cs="Arial"/>
        </w:rPr>
        <w:t xml:space="preserve">, thereby </w:t>
      </w:r>
      <w:r w:rsidR="00C14576">
        <w:rPr>
          <w:rFonts w:ascii="Arial" w:eastAsia="Arial" w:hAnsi="Arial" w:cs="Arial"/>
        </w:rPr>
        <w:t xml:space="preserve">reducing the need for face-to-face </w:t>
      </w:r>
      <w:r w:rsidR="0025490F">
        <w:rPr>
          <w:rFonts w:ascii="Arial" w:eastAsia="Arial" w:hAnsi="Arial" w:cs="Arial"/>
        </w:rPr>
        <w:t>appointments</w:t>
      </w:r>
      <w:r w:rsidR="00C14576">
        <w:rPr>
          <w:rFonts w:ascii="Arial" w:eastAsia="Arial" w:hAnsi="Arial" w:cs="Arial"/>
        </w:rPr>
        <w:t xml:space="preserve"> with </w:t>
      </w:r>
      <w:r w:rsidR="002D66A7">
        <w:rPr>
          <w:rFonts w:ascii="Arial" w:eastAsia="Arial" w:hAnsi="Arial" w:cs="Arial"/>
        </w:rPr>
        <w:t>clinicians</w:t>
      </w:r>
      <w:r w:rsidR="00C14576">
        <w:rPr>
          <w:rFonts w:ascii="Arial" w:eastAsia="Arial" w:hAnsi="Arial" w:cs="Arial"/>
        </w:rPr>
        <w:t>, improving the efficiency of service delivery</w:t>
      </w:r>
      <w:r w:rsidR="001D0A5D">
        <w:rPr>
          <w:rFonts w:ascii="Arial" w:eastAsia="Arial" w:hAnsi="Arial" w:cs="Arial"/>
        </w:rPr>
        <w:t>.</w:t>
      </w:r>
    </w:p>
    <w:p w14:paraId="7D090427" w14:textId="6322DDB7" w:rsidR="008550B8" w:rsidRPr="00587DF1" w:rsidRDefault="008550B8" w:rsidP="005E0D57">
      <w:pPr>
        <w:pStyle w:val="ListParagraph"/>
        <w:numPr>
          <w:ilvl w:val="0"/>
          <w:numId w:val="58"/>
        </w:numPr>
        <w:rPr>
          <w:rFonts w:ascii="Arial" w:eastAsia="Arial" w:hAnsi="Arial" w:cs="Arial"/>
        </w:rPr>
      </w:pPr>
      <w:r w:rsidRPr="00587DF1">
        <w:rPr>
          <w:rFonts w:ascii="Arial" w:eastAsia="Arial" w:hAnsi="Arial" w:cs="Arial"/>
        </w:rPr>
        <w:t xml:space="preserve">Improved ability to undertake research with a ‘patient first’ focus (described further in section </w:t>
      </w:r>
      <w:r w:rsidRPr="00587DF1">
        <w:rPr>
          <w:rFonts w:ascii="Arial" w:eastAsia="Arial" w:hAnsi="Arial" w:cs="Arial"/>
        </w:rPr>
        <w:fldChar w:fldCharType="begin"/>
      </w:r>
      <w:r w:rsidRPr="00587DF1">
        <w:rPr>
          <w:rFonts w:ascii="Arial" w:eastAsia="Arial" w:hAnsi="Arial" w:cs="Arial"/>
        </w:rPr>
        <w:instrText xml:space="preserve"> REF _Ref24692797 \r \h </w:instrText>
      </w:r>
      <w:r w:rsidR="00587DF1">
        <w:rPr>
          <w:rFonts w:ascii="Arial" w:eastAsia="Arial" w:hAnsi="Arial" w:cs="Arial"/>
        </w:rPr>
        <w:instrText xml:space="preserve"> \* MERGEFORMAT </w:instrText>
      </w:r>
      <w:r w:rsidRPr="00587DF1">
        <w:rPr>
          <w:rFonts w:ascii="Arial" w:eastAsia="Arial" w:hAnsi="Arial" w:cs="Arial"/>
        </w:rPr>
      </w:r>
      <w:r w:rsidRPr="00587DF1">
        <w:rPr>
          <w:rFonts w:ascii="Arial" w:eastAsia="Arial" w:hAnsi="Arial" w:cs="Arial"/>
        </w:rPr>
        <w:fldChar w:fldCharType="separate"/>
      </w:r>
      <w:r w:rsidR="00A936CD">
        <w:rPr>
          <w:rFonts w:ascii="Arial" w:eastAsia="Arial" w:hAnsi="Arial" w:cs="Arial"/>
        </w:rPr>
        <w:t>3.10.6</w:t>
      </w:r>
      <w:r w:rsidRPr="00587DF1">
        <w:rPr>
          <w:rFonts w:ascii="Arial" w:eastAsia="Arial" w:hAnsi="Arial" w:cs="Arial"/>
        </w:rPr>
        <w:fldChar w:fldCharType="end"/>
      </w:r>
      <w:r w:rsidRPr="00587DF1">
        <w:rPr>
          <w:rFonts w:ascii="Arial" w:eastAsia="Arial" w:hAnsi="Arial" w:cs="Arial"/>
        </w:rPr>
        <w:t>)</w:t>
      </w:r>
      <w:r w:rsidR="001D0A5D">
        <w:rPr>
          <w:rFonts w:ascii="Arial" w:eastAsia="Arial" w:hAnsi="Arial" w:cs="Arial"/>
        </w:rPr>
        <w:t>.</w:t>
      </w:r>
    </w:p>
    <w:p w14:paraId="5DF15283" w14:textId="6B72F9C4" w:rsidR="00937174" w:rsidRPr="00587DF1" w:rsidRDefault="00937174" w:rsidP="00937174">
      <w:pPr>
        <w:rPr>
          <w:rFonts w:ascii="Arial" w:eastAsia="Arial" w:hAnsi="Arial" w:cs="Arial"/>
        </w:rPr>
      </w:pPr>
      <w:r w:rsidRPr="00587DF1">
        <w:rPr>
          <w:rFonts w:ascii="Arial" w:eastAsia="Arial" w:hAnsi="Arial" w:cs="Arial"/>
        </w:rPr>
        <w:t xml:space="preserve">In addition, a new centre </w:t>
      </w:r>
      <w:r w:rsidR="00A04248" w:rsidRPr="00587DF1">
        <w:rPr>
          <w:rFonts w:ascii="Arial" w:eastAsia="Arial" w:hAnsi="Arial" w:cs="Arial"/>
        </w:rPr>
        <w:t>will</w:t>
      </w:r>
      <w:r w:rsidRPr="00587DF1">
        <w:rPr>
          <w:rFonts w:ascii="Arial" w:eastAsia="Arial" w:hAnsi="Arial" w:cs="Arial"/>
        </w:rPr>
        <w:t xml:space="preserve"> have the flexibility to respond to as-yet-</w:t>
      </w:r>
      <w:r w:rsidR="002D66A7">
        <w:rPr>
          <w:rFonts w:ascii="Arial" w:eastAsia="Arial" w:hAnsi="Arial" w:cs="Arial"/>
        </w:rPr>
        <w:t>un</w:t>
      </w:r>
      <w:r w:rsidRPr="00587DF1">
        <w:rPr>
          <w:rFonts w:ascii="Arial" w:eastAsia="Arial" w:hAnsi="Arial" w:cs="Arial"/>
        </w:rPr>
        <w:t xml:space="preserve">known developments. The ways in which flexibility has been incorporated into the design are detailed in the Clinical Quality Case, section </w:t>
      </w:r>
      <w:r w:rsidR="00616936">
        <w:rPr>
          <w:rFonts w:ascii="Arial" w:eastAsia="Arial" w:hAnsi="Arial" w:cs="Arial"/>
        </w:rPr>
        <w:fldChar w:fldCharType="begin"/>
      </w:r>
      <w:r w:rsidR="00616936">
        <w:rPr>
          <w:rFonts w:ascii="Arial" w:eastAsia="Arial" w:hAnsi="Arial" w:cs="Arial"/>
        </w:rPr>
        <w:instrText xml:space="preserve"> REF _Ref29545716 \r \h </w:instrText>
      </w:r>
      <w:r w:rsidR="00616936">
        <w:rPr>
          <w:rFonts w:ascii="Arial" w:eastAsia="Arial" w:hAnsi="Arial" w:cs="Arial"/>
        </w:rPr>
      </w:r>
      <w:r w:rsidR="00616936">
        <w:rPr>
          <w:rFonts w:ascii="Arial" w:eastAsia="Arial" w:hAnsi="Arial" w:cs="Arial"/>
        </w:rPr>
        <w:fldChar w:fldCharType="separate"/>
      </w:r>
      <w:r w:rsidR="00A936CD">
        <w:rPr>
          <w:rFonts w:ascii="Arial" w:eastAsia="Arial" w:hAnsi="Arial" w:cs="Arial"/>
        </w:rPr>
        <w:t>5.8</w:t>
      </w:r>
      <w:r w:rsidR="00616936">
        <w:rPr>
          <w:rFonts w:ascii="Arial" w:eastAsia="Arial" w:hAnsi="Arial" w:cs="Arial"/>
        </w:rPr>
        <w:fldChar w:fldCharType="end"/>
      </w:r>
      <w:r w:rsidRPr="00587DF1">
        <w:rPr>
          <w:rFonts w:ascii="Arial" w:eastAsia="Arial" w:hAnsi="Arial" w:cs="Arial"/>
        </w:rPr>
        <w:t xml:space="preserve">. </w:t>
      </w:r>
      <w:r w:rsidR="00245DAD" w:rsidRPr="00587DF1">
        <w:rPr>
          <w:rFonts w:ascii="Arial" w:eastAsia="Arial" w:hAnsi="Arial" w:cs="Arial"/>
        </w:rPr>
        <w:t>Outpatient rooms will be as generic as possible, co-located so they can accommodate changing patient pathways. Rooms will also be large enough to accommodate multiple and / or large items of equipment, as well as patients accompanied by a relative or carer.</w:t>
      </w:r>
    </w:p>
    <w:p w14:paraId="0DF75FA8" w14:textId="77777777" w:rsidR="001D71F5" w:rsidRPr="00587DF1" w:rsidRDefault="001D71F5" w:rsidP="001D71F5">
      <w:pPr>
        <w:spacing w:after="0"/>
        <w:rPr>
          <w:rFonts w:ascii="Arial" w:eastAsia="Arial" w:hAnsi="Arial" w:cs="Arial"/>
          <w:b/>
          <w:bCs/>
          <w:i/>
          <w:iCs/>
          <w:color w:val="00A09D"/>
        </w:rPr>
      </w:pPr>
      <w:r w:rsidRPr="00587DF1">
        <w:rPr>
          <w:rFonts w:ascii="Arial" w:eastAsia="Arial" w:hAnsi="Arial" w:cs="Arial"/>
          <w:b/>
          <w:bCs/>
          <w:i/>
          <w:iCs/>
          <w:color w:val="00A09D"/>
        </w:rPr>
        <w:t>What will be the benefits?</w:t>
      </w:r>
    </w:p>
    <w:p w14:paraId="661D715E" w14:textId="77777777" w:rsidR="001D71F5" w:rsidRPr="00587DF1" w:rsidRDefault="00245DAD" w:rsidP="00245DAD">
      <w:pPr>
        <w:rPr>
          <w:rFonts w:ascii="Arial" w:eastAsia="Arial" w:hAnsi="Arial" w:cs="Arial"/>
        </w:rPr>
      </w:pPr>
      <w:r w:rsidRPr="00587DF1">
        <w:rPr>
          <w:rFonts w:ascii="Arial" w:eastAsia="Arial" w:hAnsi="Arial" w:cs="Arial"/>
        </w:rPr>
        <w:t>In developing a centre which can respond to, and drive advancements in the field of ophthalmology, the trust will be able to maintain its ability to deliver excellent care well into the future. It will be able to attract and retain the top talent, driving research and clinical excellence. The new site will be technologically enabled, mitigating the risk of the site becoming obsolete and outdated.</w:t>
      </w:r>
    </w:p>
    <w:p w14:paraId="12930BFA" w14:textId="77777777" w:rsidR="00C430AE" w:rsidRPr="00587DF1" w:rsidRDefault="00C430AE" w:rsidP="005E0D57">
      <w:pPr>
        <w:pStyle w:val="Heading2"/>
        <w:numPr>
          <w:ilvl w:val="2"/>
          <w:numId w:val="1"/>
        </w:numPr>
        <w:rPr>
          <w:rFonts w:ascii="Arial" w:eastAsia="Arial" w:hAnsi="Arial" w:cs="Arial"/>
          <w:sz w:val="22"/>
          <w:szCs w:val="22"/>
        </w:rPr>
      </w:pPr>
      <w:bookmarkStart w:id="92" w:name="_Toc27129270"/>
      <w:bookmarkStart w:id="93" w:name="_Ref27743583"/>
      <w:bookmarkStart w:id="94" w:name="_Toc27746666"/>
      <w:bookmarkStart w:id="95" w:name="_Toc30168731"/>
      <w:bookmarkStart w:id="96" w:name="_Toc30670667"/>
      <w:bookmarkStart w:id="97" w:name="_Toc32842686"/>
      <w:r w:rsidRPr="00587DF1">
        <w:rPr>
          <w:rFonts w:ascii="Arial" w:eastAsia="Arial" w:hAnsi="Arial" w:cs="Arial"/>
          <w:sz w:val="22"/>
          <w:szCs w:val="22"/>
        </w:rPr>
        <w:t>Inefficiencies in service delivery</w:t>
      </w:r>
      <w:bookmarkEnd w:id="92"/>
      <w:bookmarkEnd w:id="93"/>
      <w:bookmarkEnd w:id="94"/>
      <w:bookmarkEnd w:id="95"/>
      <w:bookmarkEnd w:id="96"/>
      <w:bookmarkEnd w:id="97"/>
    </w:p>
    <w:p w14:paraId="2E3F2DB8" w14:textId="55C32832" w:rsidR="00C430AE" w:rsidRPr="00587DF1" w:rsidRDefault="00C430AE" w:rsidP="00C430AE">
      <w:pPr>
        <w:spacing w:after="0"/>
        <w:rPr>
          <w:rFonts w:ascii="Arial" w:eastAsia="Arial" w:hAnsi="Arial" w:cs="Arial"/>
          <w:i/>
          <w:iCs/>
        </w:rPr>
      </w:pPr>
      <w:r w:rsidRPr="00587DF1">
        <w:rPr>
          <w:rFonts w:ascii="Arial" w:eastAsia="Arial" w:hAnsi="Arial" w:cs="Arial"/>
          <w:i/>
          <w:iCs/>
        </w:rPr>
        <w:t>This specifically relates to objective 4 (</w:t>
      </w:r>
      <w:r w:rsidRPr="00587DF1">
        <w:rPr>
          <w:rFonts w:ascii="Arial" w:eastAsia="Arial" w:hAnsi="Arial" w:cs="Arial"/>
          <w:i/>
          <w:iCs/>
        </w:rPr>
        <w:fldChar w:fldCharType="begin"/>
      </w:r>
      <w:r w:rsidRPr="00587DF1">
        <w:rPr>
          <w:rFonts w:ascii="Arial" w:eastAsia="Arial" w:hAnsi="Arial" w:cs="Arial"/>
          <w:i/>
          <w:iCs/>
        </w:rPr>
        <w:instrText xml:space="preserve"> REF _Ref24984658 \h  \* MERGEFORMAT </w:instrText>
      </w:r>
      <w:r w:rsidRPr="00587DF1">
        <w:rPr>
          <w:rFonts w:ascii="Arial" w:eastAsia="Arial" w:hAnsi="Arial" w:cs="Arial"/>
          <w:i/>
          <w:iCs/>
        </w:rPr>
      </w:r>
      <w:r w:rsidRPr="00587DF1">
        <w:rPr>
          <w:rFonts w:ascii="Arial" w:eastAsia="Arial" w:hAnsi="Arial" w:cs="Arial"/>
          <w:i/>
          <w:iCs/>
        </w:rPr>
        <w:fldChar w:fldCharType="separate"/>
      </w:r>
      <w:r w:rsidR="00A936CD" w:rsidRPr="00A936CD">
        <w:rPr>
          <w:rFonts w:ascii="Arial" w:eastAsia="Arial" w:hAnsi="Arial" w:cs="Arial"/>
          <w:i/>
          <w:iCs/>
        </w:rPr>
        <w:t>Table 11</w:t>
      </w:r>
      <w:r w:rsidRPr="00587DF1">
        <w:rPr>
          <w:rFonts w:ascii="Arial" w:eastAsia="Arial" w:hAnsi="Arial" w:cs="Arial"/>
          <w:i/>
          <w:iCs/>
        </w:rPr>
        <w:fldChar w:fldCharType="end"/>
      </w:r>
      <w:r w:rsidRPr="00587DF1">
        <w:rPr>
          <w:rFonts w:ascii="Arial" w:eastAsia="Arial" w:hAnsi="Arial" w:cs="Arial"/>
          <w:i/>
          <w:iCs/>
        </w:rPr>
        <w:t>).</w:t>
      </w:r>
    </w:p>
    <w:p w14:paraId="48C9B2A7" w14:textId="77777777" w:rsidR="00C430AE" w:rsidRPr="00587DF1" w:rsidRDefault="00C430AE" w:rsidP="00C430AE">
      <w:pPr>
        <w:spacing w:after="0"/>
        <w:rPr>
          <w:rFonts w:ascii="Arial" w:eastAsia="Arial" w:hAnsi="Arial" w:cs="Arial"/>
          <w:b/>
          <w:bCs/>
          <w:i/>
          <w:iCs/>
        </w:rPr>
      </w:pPr>
    </w:p>
    <w:p w14:paraId="7CD77D17" w14:textId="77777777" w:rsidR="00C430AE" w:rsidRPr="00587DF1" w:rsidRDefault="00C430AE" w:rsidP="00C430AE">
      <w:pPr>
        <w:spacing w:after="0"/>
        <w:rPr>
          <w:rFonts w:ascii="Arial" w:eastAsia="Arial" w:hAnsi="Arial" w:cs="Arial"/>
          <w:b/>
          <w:bCs/>
          <w:i/>
          <w:iCs/>
          <w:color w:val="00A09D"/>
        </w:rPr>
      </w:pPr>
      <w:r w:rsidRPr="00587DF1">
        <w:rPr>
          <w:rFonts w:ascii="Arial" w:eastAsia="Arial" w:hAnsi="Arial" w:cs="Arial"/>
          <w:b/>
          <w:bCs/>
          <w:i/>
          <w:iCs/>
          <w:color w:val="00A09D"/>
        </w:rPr>
        <w:t>Where are we now?</w:t>
      </w:r>
    </w:p>
    <w:p w14:paraId="71E6E60C" w14:textId="77777777" w:rsidR="00C430AE" w:rsidRPr="00587DF1" w:rsidRDefault="00C430AE" w:rsidP="00C430AE">
      <w:pPr>
        <w:spacing w:after="0"/>
        <w:rPr>
          <w:rFonts w:ascii="Arial" w:eastAsia="Arial" w:hAnsi="Arial" w:cs="Arial"/>
        </w:rPr>
      </w:pPr>
      <w:r w:rsidRPr="00587DF1">
        <w:rPr>
          <w:rFonts w:ascii="Arial" w:eastAsia="Arial" w:hAnsi="Arial" w:cs="Arial"/>
        </w:rPr>
        <w:t xml:space="preserve">National strategy describes the need for all healthcare providers to improve their efficiency to manage increasing demand and provide patients with shorter waiting times for services. </w:t>
      </w:r>
    </w:p>
    <w:p w14:paraId="42143C97" w14:textId="77777777" w:rsidR="00C430AE" w:rsidRPr="00587DF1" w:rsidRDefault="00C430AE" w:rsidP="00C430AE">
      <w:pPr>
        <w:spacing w:after="0"/>
        <w:rPr>
          <w:rFonts w:ascii="Arial" w:eastAsia="Arial" w:hAnsi="Arial" w:cs="Arial"/>
        </w:rPr>
      </w:pPr>
    </w:p>
    <w:p w14:paraId="1D654BCB" w14:textId="3196FE97" w:rsidR="00C430AE" w:rsidRPr="00587DF1" w:rsidRDefault="00C430AE" w:rsidP="00C430AE">
      <w:pPr>
        <w:spacing w:after="0"/>
        <w:rPr>
          <w:rFonts w:ascii="Arial" w:eastAsia="Arial" w:hAnsi="Arial" w:cs="Arial"/>
        </w:rPr>
      </w:pPr>
      <w:r w:rsidRPr="00587DF1">
        <w:rPr>
          <w:rFonts w:ascii="Arial" w:eastAsia="Arial" w:hAnsi="Arial" w:cs="Arial"/>
        </w:rPr>
        <w:t>Getting it Right First Time (GIRFT) for Ophthalmology makes a number of recommendations for improving the throughput of surgical pathways, which cannot be implemented due</w:t>
      </w:r>
      <w:r w:rsidR="002D66A7">
        <w:rPr>
          <w:rFonts w:ascii="Arial" w:eastAsia="Arial" w:hAnsi="Arial" w:cs="Arial"/>
        </w:rPr>
        <w:t xml:space="preserve"> to</w:t>
      </w:r>
      <w:r w:rsidRPr="00587DF1">
        <w:rPr>
          <w:rFonts w:ascii="Arial" w:eastAsia="Arial" w:hAnsi="Arial" w:cs="Arial"/>
        </w:rPr>
        <w:t>:</w:t>
      </w:r>
    </w:p>
    <w:p w14:paraId="5219638A" w14:textId="77777777" w:rsidR="00C430AE" w:rsidRPr="00587DF1" w:rsidRDefault="00C430AE" w:rsidP="005E0D57">
      <w:pPr>
        <w:pStyle w:val="ListParagraph"/>
        <w:numPr>
          <w:ilvl w:val="0"/>
          <w:numId w:val="12"/>
        </w:numPr>
        <w:rPr>
          <w:rFonts w:ascii="Arial" w:eastAsiaTheme="minorHAnsi" w:hAnsi="Arial" w:cs="Arial"/>
          <w:lang w:eastAsia="en-US"/>
        </w:rPr>
      </w:pPr>
      <w:r w:rsidRPr="00587DF1">
        <w:rPr>
          <w:rFonts w:ascii="Arial" w:eastAsiaTheme="minorHAnsi" w:hAnsi="Arial" w:cs="Arial"/>
          <w:lang w:eastAsia="en-US"/>
        </w:rPr>
        <w:t>Layout constraints in theatres which inhibit the trust’s ability to provide a streamlined, time efficient ambulatory surgical care service at the City Road site.</w:t>
      </w:r>
    </w:p>
    <w:p w14:paraId="330C9933" w14:textId="77777777" w:rsidR="00C430AE" w:rsidRPr="00587DF1" w:rsidRDefault="00C430AE" w:rsidP="005E0D57">
      <w:pPr>
        <w:pStyle w:val="ListParagraph"/>
        <w:numPr>
          <w:ilvl w:val="0"/>
          <w:numId w:val="12"/>
        </w:numPr>
        <w:rPr>
          <w:rFonts w:ascii="Arial" w:eastAsiaTheme="minorHAnsi" w:hAnsi="Arial" w:cs="Arial"/>
          <w:lang w:eastAsia="en-US"/>
        </w:rPr>
      </w:pPr>
      <w:r w:rsidRPr="00587DF1">
        <w:rPr>
          <w:rFonts w:ascii="Arial" w:eastAsiaTheme="minorHAnsi" w:hAnsi="Arial" w:cs="Arial"/>
          <w:lang w:eastAsia="en-US"/>
        </w:rPr>
        <w:t>Recovery in Nightingale wards located some distance from operating theatres, which reduces the number of patients treated in a timely manner.</w:t>
      </w:r>
    </w:p>
    <w:p w14:paraId="055DFADE" w14:textId="69E5EE95" w:rsidR="00C430AE" w:rsidRPr="00587DF1" w:rsidRDefault="00C430AE" w:rsidP="005E0D57">
      <w:pPr>
        <w:pStyle w:val="ListParagraph"/>
        <w:numPr>
          <w:ilvl w:val="0"/>
          <w:numId w:val="12"/>
        </w:numPr>
        <w:rPr>
          <w:rFonts w:ascii="Arial" w:eastAsiaTheme="minorHAnsi" w:hAnsi="Arial" w:cs="Arial"/>
          <w:lang w:eastAsia="en-US"/>
        </w:rPr>
      </w:pPr>
      <w:r w:rsidRPr="00587DF1">
        <w:rPr>
          <w:rFonts w:ascii="Arial" w:eastAsiaTheme="minorHAnsi" w:hAnsi="Arial" w:cs="Arial"/>
          <w:lang w:eastAsia="en-US"/>
        </w:rPr>
        <w:lastRenderedPageBreak/>
        <w:t>Inability to support the infrastructure required for virtual clinics</w:t>
      </w:r>
      <w:r w:rsidR="002D66A7">
        <w:rPr>
          <w:rFonts w:ascii="Arial" w:eastAsiaTheme="minorHAnsi" w:hAnsi="Arial" w:cs="Arial"/>
          <w:lang w:eastAsia="en-US"/>
        </w:rPr>
        <w:t xml:space="preserve">, </w:t>
      </w:r>
      <w:r w:rsidR="00C14576">
        <w:rPr>
          <w:rFonts w:ascii="Arial" w:eastAsiaTheme="minorHAnsi" w:hAnsi="Arial" w:cs="Arial"/>
          <w:lang w:eastAsia="en-US"/>
        </w:rPr>
        <w:t>without significant investment in an ageing building.</w:t>
      </w:r>
    </w:p>
    <w:p w14:paraId="016DD91D" w14:textId="77777777" w:rsidR="00C430AE" w:rsidRPr="00587DF1" w:rsidRDefault="00C430AE" w:rsidP="00C430AE">
      <w:pPr>
        <w:spacing w:after="0"/>
        <w:rPr>
          <w:rFonts w:ascii="Arial" w:eastAsia="Arial" w:hAnsi="Arial" w:cs="Arial"/>
        </w:rPr>
      </w:pPr>
      <w:r w:rsidRPr="00587DF1">
        <w:rPr>
          <w:rFonts w:ascii="Arial" w:eastAsia="Arial" w:hAnsi="Arial" w:cs="Arial"/>
        </w:rPr>
        <w:t>The NHS Long Term Plan (2017) also recommends that 30% of outpatient appointments be delivered out of hospital – due to the specialised nature of Moorfields’ services at City Road, the most appropriate way of delivering this is to continue to provide patients with existing expertise through virtual clinics.</w:t>
      </w:r>
    </w:p>
    <w:p w14:paraId="6E2EE56E" w14:textId="77777777" w:rsidR="00C430AE" w:rsidRPr="00587DF1" w:rsidRDefault="00C430AE" w:rsidP="00C430AE">
      <w:pPr>
        <w:spacing w:after="0"/>
        <w:rPr>
          <w:rFonts w:ascii="Arial" w:eastAsia="Arial" w:hAnsi="Arial" w:cs="Arial"/>
        </w:rPr>
      </w:pPr>
    </w:p>
    <w:p w14:paraId="18249A23" w14:textId="77777777" w:rsidR="00C430AE" w:rsidRPr="00587DF1" w:rsidRDefault="00C430AE" w:rsidP="00C430AE">
      <w:pPr>
        <w:spacing w:after="0"/>
        <w:rPr>
          <w:rFonts w:ascii="Arial" w:eastAsia="Arial" w:hAnsi="Arial" w:cs="Arial"/>
          <w:color w:val="00A09D"/>
        </w:rPr>
      </w:pPr>
      <w:r w:rsidRPr="00587DF1">
        <w:rPr>
          <w:rFonts w:ascii="Arial" w:eastAsia="Arial" w:hAnsi="Arial" w:cs="Arial"/>
          <w:b/>
          <w:bCs/>
          <w:i/>
          <w:iCs/>
          <w:color w:val="00A09D"/>
        </w:rPr>
        <w:t>Where do we want to be?</w:t>
      </w:r>
      <w:r w:rsidRPr="00587DF1">
        <w:rPr>
          <w:rFonts w:ascii="Arial" w:eastAsia="Arial" w:hAnsi="Arial" w:cs="Arial"/>
          <w:color w:val="00A09D"/>
        </w:rPr>
        <w:t xml:space="preserve"> </w:t>
      </w:r>
    </w:p>
    <w:p w14:paraId="4F39E264" w14:textId="77777777" w:rsidR="00C430AE" w:rsidRPr="00587DF1" w:rsidRDefault="00C430AE" w:rsidP="00C430AE">
      <w:pPr>
        <w:rPr>
          <w:rFonts w:ascii="Arial" w:eastAsia="Arial" w:hAnsi="Arial" w:cs="Arial"/>
        </w:rPr>
      </w:pPr>
      <w:r w:rsidRPr="00587DF1">
        <w:rPr>
          <w:rFonts w:ascii="Arial" w:eastAsia="Arial" w:hAnsi="Arial" w:cs="Arial"/>
        </w:rPr>
        <w:t>Moorfields has identified opportunities to generate efficiency and financial benefits by developing new clinical models delivered from a flexible, fit for purpose building. Delivering significant improvements in operational efficiency requires optimal configuration of physical estate. Studies such as the typical glaucoma patient pathway have shown that patient journeys could be significantly reduced as a result of an optimal departmental layout. In addition:</w:t>
      </w:r>
    </w:p>
    <w:p w14:paraId="7AAF0093" w14:textId="5D99D79A" w:rsidR="00C430AE" w:rsidRPr="00587DF1" w:rsidRDefault="00C430AE" w:rsidP="005E0D57">
      <w:pPr>
        <w:pStyle w:val="ListParagraph"/>
        <w:numPr>
          <w:ilvl w:val="0"/>
          <w:numId w:val="59"/>
        </w:numPr>
        <w:rPr>
          <w:rFonts w:ascii="Arial" w:eastAsia="Arial" w:hAnsi="Arial" w:cs="Arial"/>
        </w:rPr>
      </w:pPr>
      <w:r w:rsidRPr="00587DF1">
        <w:rPr>
          <w:rFonts w:ascii="Arial" w:eastAsia="Arial" w:hAnsi="Arial" w:cs="Arial"/>
        </w:rPr>
        <w:t>New theatres</w:t>
      </w:r>
      <w:r w:rsidR="002D66A7">
        <w:rPr>
          <w:rFonts w:ascii="Arial" w:eastAsia="Arial" w:hAnsi="Arial" w:cs="Arial"/>
        </w:rPr>
        <w:t xml:space="preserve"> and an advanced day case environment</w:t>
      </w:r>
      <w:r w:rsidRPr="00587DF1">
        <w:rPr>
          <w:rFonts w:ascii="Arial" w:eastAsia="Arial" w:hAnsi="Arial" w:cs="Arial"/>
        </w:rPr>
        <w:t xml:space="preserve"> designed for high-flow cataract surgery are expected to increase throughput from 6.5 cases per session to 10-12 cases per session.</w:t>
      </w:r>
    </w:p>
    <w:p w14:paraId="26B5F6F9" w14:textId="7A81CF5A" w:rsidR="00C430AE" w:rsidRPr="00587DF1" w:rsidRDefault="002D66A7" w:rsidP="005E0D57">
      <w:pPr>
        <w:pStyle w:val="ListParagraph"/>
        <w:numPr>
          <w:ilvl w:val="0"/>
          <w:numId w:val="59"/>
        </w:numPr>
        <w:rPr>
          <w:rFonts w:ascii="Arial" w:eastAsia="Arial" w:hAnsi="Arial" w:cs="Arial"/>
        </w:rPr>
      </w:pPr>
      <w:r>
        <w:rPr>
          <w:rFonts w:ascii="Arial" w:eastAsia="Arial" w:hAnsi="Arial" w:cs="Arial"/>
        </w:rPr>
        <w:t>A</w:t>
      </w:r>
      <w:r w:rsidR="00C430AE" w:rsidRPr="00587DF1">
        <w:rPr>
          <w:rFonts w:ascii="Arial" w:eastAsia="Arial" w:hAnsi="Arial" w:cs="Arial"/>
        </w:rPr>
        <w:t xml:space="preserve"> more welcoming and navigable patient environment</w:t>
      </w:r>
      <w:r>
        <w:rPr>
          <w:rFonts w:ascii="Arial" w:eastAsia="Arial" w:hAnsi="Arial" w:cs="Arial"/>
        </w:rPr>
        <w:t>, together with a new outpatient appointment booking system</w:t>
      </w:r>
      <w:r w:rsidR="00C430AE" w:rsidRPr="00587DF1">
        <w:rPr>
          <w:rFonts w:ascii="Arial" w:eastAsia="Arial" w:hAnsi="Arial" w:cs="Arial"/>
        </w:rPr>
        <w:t>, could reduce DNA rates from c.11% to 8%.</w:t>
      </w:r>
    </w:p>
    <w:p w14:paraId="395C7D62" w14:textId="3ECF95D3" w:rsidR="002D66A7" w:rsidRPr="002D66A7" w:rsidRDefault="002D66A7" w:rsidP="002D66A7">
      <w:pPr>
        <w:pStyle w:val="ListParagraph"/>
        <w:numPr>
          <w:ilvl w:val="0"/>
          <w:numId w:val="59"/>
        </w:numPr>
        <w:rPr>
          <w:rFonts w:ascii="Arial" w:eastAsia="Arial" w:hAnsi="Arial" w:cs="Arial"/>
        </w:rPr>
      </w:pPr>
      <w:r w:rsidRPr="002D66A7">
        <w:rPr>
          <w:rFonts w:ascii="Arial" w:eastAsia="Arial" w:hAnsi="Arial" w:cs="Arial"/>
        </w:rPr>
        <w:t>The building will be designed to facilitate new pathways, such as diagnostic hubs which will enable delivery of tests in standardised ‘bundles’ in a one-stop-shop delivery, designed around patient pathways.</w:t>
      </w:r>
    </w:p>
    <w:p w14:paraId="30F600B8" w14:textId="77777777" w:rsidR="00C430AE" w:rsidRPr="00587DF1" w:rsidRDefault="00C430AE" w:rsidP="00C430AE">
      <w:pPr>
        <w:spacing w:after="0"/>
        <w:rPr>
          <w:rFonts w:ascii="Arial" w:eastAsia="Arial" w:hAnsi="Arial" w:cs="Arial"/>
          <w:b/>
          <w:bCs/>
          <w:i/>
          <w:iCs/>
          <w:color w:val="00A09D"/>
        </w:rPr>
      </w:pPr>
    </w:p>
    <w:p w14:paraId="68865680" w14:textId="77777777" w:rsidR="00C430AE" w:rsidRPr="00587DF1" w:rsidRDefault="00C430AE" w:rsidP="00C430AE">
      <w:pPr>
        <w:spacing w:after="0"/>
        <w:rPr>
          <w:rFonts w:ascii="Arial" w:eastAsia="Arial" w:hAnsi="Arial" w:cs="Arial"/>
          <w:b/>
          <w:bCs/>
          <w:i/>
          <w:iCs/>
          <w:color w:val="00A09D"/>
        </w:rPr>
      </w:pPr>
      <w:r w:rsidRPr="00587DF1">
        <w:rPr>
          <w:rFonts w:ascii="Arial" w:eastAsia="Arial" w:hAnsi="Arial" w:cs="Arial"/>
          <w:b/>
          <w:bCs/>
          <w:i/>
          <w:iCs/>
          <w:color w:val="00A09D"/>
        </w:rPr>
        <w:t>How do we get there?</w:t>
      </w:r>
    </w:p>
    <w:p w14:paraId="04B16D88" w14:textId="77777777" w:rsidR="00C430AE" w:rsidRPr="00587DF1" w:rsidRDefault="00C430AE" w:rsidP="00C430AE">
      <w:pPr>
        <w:rPr>
          <w:rFonts w:ascii="Arial" w:eastAsia="Arial" w:hAnsi="Arial" w:cs="Arial"/>
        </w:rPr>
      </w:pPr>
      <w:r w:rsidRPr="00587DF1">
        <w:rPr>
          <w:rFonts w:ascii="Arial" w:eastAsia="Arial" w:hAnsi="Arial" w:cs="Arial"/>
        </w:rPr>
        <w:t>Oriel will improve service efficiency through:</w:t>
      </w:r>
    </w:p>
    <w:p w14:paraId="25C3A5A4" w14:textId="77777777" w:rsidR="00C430AE" w:rsidRPr="00587DF1" w:rsidRDefault="00C430AE" w:rsidP="005E0D57">
      <w:pPr>
        <w:numPr>
          <w:ilvl w:val="0"/>
          <w:numId w:val="60"/>
        </w:numPr>
        <w:pBdr>
          <w:top w:val="nil"/>
          <w:left w:val="nil"/>
          <w:bottom w:val="nil"/>
          <w:right w:val="nil"/>
          <w:between w:val="nil"/>
        </w:pBdr>
        <w:spacing w:after="0"/>
        <w:rPr>
          <w:rFonts w:ascii="Arial" w:eastAsia="Arial" w:hAnsi="Arial" w:cs="Arial"/>
          <w:color w:val="000000"/>
        </w:rPr>
      </w:pPr>
      <w:r w:rsidRPr="00587DF1">
        <w:rPr>
          <w:rFonts w:ascii="Arial" w:eastAsia="Arial" w:hAnsi="Arial" w:cs="Arial"/>
          <w:color w:val="000000"/>
        </w:rPr>
        <w:t>Delivery of a building which is designed around optimum patient pathways, thereby ensuring that patients do not spend longer than they need to in the building, and that staff, equipment and the built environment is being fully utilised.</w:t>
      </w:r>
    </w:p>
    <w:p w14:paraId="37346D59" w14:textId="77777777" w:rsidR="00C430AE" w:rsidRPr="00587DF1" w:rsidRDefault="00C430AE" w:rsidP="005E0D57">
      <w:pPr>
        <w:numPr>
          <w:ilvl w:val="0"/>
          <w:numId w:val="60"/>
        </w:numPr>
        <w:pBdr>
          <w:top w:val="nil"/>
          <w:left w:val="nil"/>
          <w:bottom w:val="nil"/>
          <w:right w:val="nil"/>
          <w:between w:val="nil"/>
        </w:pBdr>
        <w:spacing w:after="0"/>
        <w:rPr>
          <w:rFonts w:ascii="Arial" w:eastAsia="Arial" w:hAnsi="Arial" w:cs="Arial"/>
          <w:color w:val="000000"/>
        </w:rPr>
      </w:pPr>
      <w:r w:rsidRPr="00587DF1">
        <w:rPr>
          <w:rFonts w:ascii="Arial" w:eastAsia="Arial" w:hAnsi="Arial" w:cs="Arial"/>
          <w:color w:val="000000"/>
        </w:rPr>
        <w:t>Provision of a flexible space which could accommodate new ways of working, and evolve with services over the long term, while maintaining operational efficiency.</w:t>
      </w:r>
    </w:p>
    <w:p w14:paraId="7153BAB5" w14:textId="47AB39D0" w:rsidR="00C430AE" w:rsidRPr="00587DF1" w:rsidRDefault="00C430AE" w:rsidP="005E0D57">
      <w:pPr>
        <w:numPr>
          <w:ilvl w:val="0"/>
          <w:numId w:val="60"/>
        </w:numPr>
        <w:pBdr>
          <w:top w:val="nil"/>
          <w:left w:val="nil"/>
          <w:bottom w:val="nil"/>
          <w:right w:val="nil"/>
          <w:between w:val="nil"/>
        </w:pBdr>
        <w:spacing w:after="0"/>
        <w:rPr>
          <w:rFonts w:ascii="Arial" w:eastAsia="Arial" w:hAnsi="Arial" w:cs="Arial"/>
          <w:color w:val="000000"/>
        </w:rPr>
      </w:pPr>
      <w:r w:rsidRPr="00587DF1">
        <w:rPr>
          <w:rFonts w:ascii="Arial" w:eastAsia="Arial" w:hAnsi="Arial" w:cs="Arial"/>
          <w:color w:val="000000"/>
        </w:rPr>
        <w:t xml:space="preserve">Use of technology to support virtual clinics and telemedicine, enabling closer working with </w:t>
      </w:r>
      <w:r w:rsidR="002D66A7">
        <w:rPr>
          <w:rFonts w:ascii="Arial" w:eastAsia="Arial" w:hAnsi="Arial" w:cs="Arial"/>
          <w:color w:val="000000"/>
        </w:rPr>
        <w:t>clinicians</w:t>
      </w:r>
      <w:r w:rsidRPr="00587DF1">
        <w:rPr>
          <w:rFonts w:ascii="Arial" w:eastAsia="Arial" w:hAnsi="Arial" w:cs="Arial"/>
          <w:color w:val="000000"/>
        </w:rPr>
        <w:t xml:space="preserve"> in the community and Moorfields network, improved access to care by patients, and space to be used more efficiently. Optometrists will be able to send scans to </w:t>
      </w:r>
      <w:r w:rsidRPr="00587DF1">
        <w:rPr>
          <w:rFonts w:ascii="Arial" w:eastAsia="Arial" w:hAnsi="Arial" w:cs="Arial"/>
        </w:rPr>
        <w:t>Moorfields</w:t>
      </w:r>
      <w:r w:rsidRPr="00587DF1">
        <w:rPr>
          <w:rFonts w:ascii="Arial" w:eastAsia="Arial" w:hAnsi="Arial" w:cs="Arial"/>
          <w:color w:val="000000"/>
        </w:rPr>
        <w:t xml:space="preserve"> clinicians instantly, for review remotely ensuring that </w:t>
      </w:r>
      <w:r w:rsidR="002D66A7">
        <w:rPr>
          <w:rFonts w:ascii="Arial" w:eastAsia="Arial" w:hAnsi="Arial" w:cs="Arial"/>
          <w:color w:val="000000"/>
        </w:rPr>
        <w:t>inappropriate or unnecessary referrals are reduced</w:t>
      </w:r>
      <w:r w:rsidRPr="00587DF1">
        <w:rPr>
          <w:rFonts w:ascii="Arial" w:eastAsia="Arial" w:hAnsi="Arial" w:cs="Arial"/>
          <w:color w:val="000000"/>
        </w:rPr>
        <w:t>.</w:t>
      </w:r>
    </w:p>
    <w:p w14:paraId="342EA79E" w14:textId="77777777" w:rsidR="00C430AE" w:rsidRPr="00587DF1" w:rsidRDefault="00C430AE" w:rsidP="005E0D57">
      <w:pPr>
        <w:numPr>
          <w:ilvl w:val="0"/>
          <w:numId w:val="60"/>
        </w:numPr>
        <w:pBdr>
          <w:top w:val="nil"/>
          <w:left w:val="nil"/>
          <w:bottom w:val="nil"/>
          <w:right w:val="nil"/>
          <w:between w:val="nil"/>
        </w:pBdr>
        <w:spacing w:after="0"/>
        <w:rPr>
          <w:rFonts w:ascii="Arial" w:eastAsia="Arial" w:hAnsi="Arial" w:cs="Arial"/>
          <w:color w:val="000000"/>
        </w:rPr>
      </w:pPr>
      <w:r w:rsidRPr="00587DF1">
        <w:rPr>
          <w:rFonts w:ascii="Arial" w:eastAsia="Arial" w:hAnsi="Arial" w:cs="Arial"/>
          <w:color w:val="000000"/>
        </w:rPr>
        <w:t>Online booking systems and dynamic scheduling which enable patients to book appointments at their convenience (thereby reducing the number of missed appointments or procedures).</w:t>
      </w:r>
    </w:p>
    <w:p w14:paraId="7CE12798" w14:textId="77777777" w:rsidR="00C430AE" w:rsidRPr="00587DF1" w:rsidRDefault="00C430AE" w:rsidP="00C430AE">
      <w:pPr>
        <w:spacing w:after="0"/>
        <w:rPr>
          <w:rFonts w:ascii="Arial" w:eastAsia="Arial" w:hAnsi="Arial" w:cs="Arial"/>
          <w:b/>
          <w:bCs/>
          <w:i/>
          <w:iCs/>
          <w:color w:val="00A09D"/>
        </w:rPr>
      </w:pPr>
    </w:p>
    <w:p w14:paraId="64B8F232" w14:textId="77777777" w:rsidR="00C430AE" w:rsidRPr="00587DF1" w:rsidRDefault="00C430AE" w:rsidP="00C430AE">
      <w:pPr>
        <w:spacing w:after="0"/>
        <w:rPr>
          <w:rFonts w:ascii="Arial" w:eastAsia="Arial" w:hAnsi="Arial" w:cs="Arial"/>
        </w:rPr>
      </w:pPr>
      <w:r w:rsidRPr="00587DF1">
        <w:rPr>
          <w:rFonts w:ascii="Arial" w:eastAsia="Arial" w:hAnsi="Arial" w:cs="Arial"/>
          <w:b/>
          <w:bCs/>
          <w:i/>
          <w:iCs/>
          <w:color w:val="00A09D"/>
        </w:rPr>
        <w:t>What will be the benefits?</w:t>
      </w:r>
    </w:p>
    <w:p w14:paraId="26304B4C" w14:textId="77777777" w:rsidR="001D71F5" w:rsidRDefault="00C430AE" w:rsidP="00E47761">
      <w:pPr>
        <w:spacing w:after="0"/>
        <w:rPr>
          <w:rFonts w:ascii="Arial" w:eastAsia="Arial" w:hAnsi="Arial" w:cs="Arial"/>
        </w:rPr>
      </w:pPr>
      <w:r w:rsidRPr="00587DF1">
        <w:rPr>
          <w:rFonts w:ascii="Arial" w:eastAsia="Arial" w:hAnsi="Arial" w:cs="Arial"/>
        </w:rPr>
        <w:t>As described above, improved efficiency will enable Moorfields to make better use of resources, thereby improving financial performance as well as providing a better patient experience.</w:t>
      </w:r>
    </w:p>
    <w:p w14:paraId="25C56200" w14:textId="77777777" w:rsidR="00C430AE" w:rsidRPr="00587DF1" w:rsidRDefault="00C430AE" w:rsidP="00E47761">
      <w:pPr>
        <w:spacing w:after="0"/>
        <w:rPr>
          <w:rFonts w:ascii="Arial" w:eastAsia="Arial" w:hAnsi="Arial" w:cs="Arial"/>
        </w:rPr>
      </w:pPr>
    </w:p>
    <w:p w14:paraId="204D671A" w14:textId="77777777" w:rsidR="001D71F5" w:rsidRPr="00587DF1" w:rsidRDefault="001D71F5" w:rsidP="005E0D57">
      <w:pPr>
        <w:pStyle w:val="Heading2"/>
        <w:numPr>
          <w:ilvl w:val="2"/>
          <w:numId w:val="1"/>
        </w:numPr>
        <w:rPr>
          <w:rFonts w:ascii="Arial" w:eastAsia="Arial" w:hAnsi="Arial" w:cs="Arial"/>
          <w:sz w:val="22"/>
          <w:szCs w:val="22"/>
        </w:rPr>
      </w:pPr>
      <w:bookmarkStart w:id="98" w:name="_Toc27129266"/>
      <w:bookmarkStart w:id="99" w:name="_Toc27746667"/>
      <w:bookmarkStart w:id="100" w:name="_Toc30168732"/>
      <w:bookmarkStart w:id="101" w:name="_Toc30670668"/>
      <w:bookmarkStart w:id="102" w:name="_Toc32842687"/>
      <w:r w:rsidRPr="00587DF1">
        <w:rPr>
          <w:rFonts w:ascii="Arial" w:eastAsia="Arial" w:hAnsi="Arial" w:cs="Arial"/>
          <w:sz w:val="22"/>
          <w:szCs w:val="22"/>
        </w:rPr>
        <w:t>The estate will require significant investment in the future</w:t>
      </w:r>
      <w:bookmarkEnd w:id="98"/>
      <w:bookmarkEnd w:id="99"/>
      <w:bookmarkEnd w:id="100"/>
      <w:bookmarkEnd w:id="101"/>
      <w:bookmarkEnd w:id="102"/>
    </w:p>
    <w:p w14:paraId="547926C3" w14:textId="1A463108" w:rsidR="001D71F5" w:rsidRPr="00587DF1" w:rsidRDefault="00044DCA" w:rsidP="001D71F5">
      <w:pPr>
        <w:spacing w:after="0"/>
        <w:rPr>
          <w:rFonts w:ascii="Arial" w:eastAsia="Arial" w:hAnsi="Arial" w:cs="Arial"/>
          <w:b/>
          <w:bCs/>
          <w:i/>
          <w:iCs/>
        </w:rPr>
      </w:pPr>
      <w:r w:rsidRPr="00587DF1">
        <w:rPr>
          <w:rFonts w:ascii="Arial" w:eastAsia="Arial" w:hAnsi="Arial" w:cs="Arial"/>
          <w:i/>
          <w:iCs/>
        </w:rPr>
        <w:t>This specifically relates to objective 5</w:t>
      </w:r>
      <w:r w:rsidR="00A04248" w:rsidRPr="00587DF1">
        <w:rPr>
          <w:rFonts w:ascii="Arial" w:eastAsia="Arial" w:hAnsi="Arial" w:cs="Arial"/>
          <w:i/>
          <w:iCs/>
        </w:rPr>
        <w:t xml:space="preserve"> (</w:t>
      </w:r>
      <w:r w:rsidR="00A04248" w:rsidRPr="00587DF1">
        <w:rPr>
          <w:rFonts w:ascii="Arial" w:eastAsia="Arial" w:hAnsi="Arial" w:cs="Arial"/>
          <w:i/>
          <w:iCs/>
        </w:rPr>
        <w:fldChar w:fldCharType="begin"/>
      </w:r>
      <w:r w:rsidR="00A04248" w:rsidRPr="00587DF1">
        <w:rPr>
          <w:rFonts w:ascii="Arial" w:eastAsia="Arial" w:hAnsi="Arial" w:cs="Arial"/>
          <w:i/>
          <w:iCs/>
        </w:rPr>
        <w:instrText xml:space="preserve"> REF _Ref24984658 \h  \* MERGEFORMAT </w:instrText>
      </w:r>
      <w:r w:rsidR="00A04248" w:rsidRPr="00587DF1">
        <w:rPr>
          <w:rFonts w:ascii="Arial" w:eastAsia="Arial" w:hAnsi="Arial" w:cs="Arial"/>
          <w:i/>
          <w:iCs/>
        </w:rPr>
      </w:r>
      <w:r w:rsidR="00A04248" w:rsidRPr="00587DF1">
        <w:rPr>
          <w:rFonts w:ascii="Arial" w:eastAsia="Arial" w:hAnsi="Arial" w:cs="Arial"/>
          <w:i/>
          <w:iCs/>
        </w:rPr>
        <w:fldChar w:fldCharType="separate"/>
      </w:r>
      <w:r w:rsidR="00A936CD" w:rsidRPr="00A936CD">
        <w:rPr>
          <w:rFonts w:ascii="Arial" w:eastAsia="Arial" w:hAnsi="Arial" w:cs="Arial"/>
          <w:i/>
          <w:iCs/>
        </w:rPr>
        <w:t>Table 11</w:t>
      </w:r>
      <w:r w:rsidR="00A04248" w:rsidRPr="00587DF1">
        <w:rPr>
          <w:rFonts w:ascii="Arial" w:eastAsia="Arial" w:hAnsi="Arial" w:cs="Arial"/>
          <w:i/>
          <w:iCs/>
        </w:rPr>
        <w:fldChar w:fldCharType="end"/>
      </w:r>
      <w:r w:rsidR="00A04248" w:rsidRPr="00587DF1">
        <w:rPr>
          <w:rFonts w:ascii="Arial" w:eastAsia="Arial" w:hAnsi="Arial" w:cs="Arial"/>
          <w:i/>
          <w:iCs/>
        </w:rPr>
        <w:t>)</w:t>
      </w:r>
      <w:r w:rsidRPr="00587DF1">
        <w:rPr>
          <w:rFonts w:ascii="Arial" w:eastAsia="Arial" w:hAnsi="Arial" w:cs="Arial"/>
          <w:i/>
          <w:iCs/>
        </w:rPr>
        <w:t>.</w:t>
      </w:r>
    </w:p>
    <w:p w14:paraId="46D0EA45" w14:textId="77777777" w:rsidR="00044DCA" w:rsidRPr="00587DF1" w:rsidRDefault="00044DCA" w:rsidP="001D71F5">
      <w:pPr>
        <w:spacing w:after="0"/>
        <w:rPr>
          <w:rFonts w:ascii="Arial" w:eastAsia="Arial" w:hAnsi="Arial" w:cs="Arial"/>
          <w:b/>
          <w:bCs/>
          <w:i/>
          <w:iCs/>
        </w:rPr>
      </w:pPr>
    </w:p>
    <w:p w14:paraId="57B83454" w14:textId="77777777" w:rsidR="001D71F5" w:rsidRPr="00587DF1" w:rsidRDefault="001D71F5" w:rsidP="001D71F5">
      <w:pPr>
        <w:spacing w:after="0"/>
        <w:rPr>
          <w:rFonts w:ascii="Arial" w:eastAsia="Arial" w:hAnsi="Arial" w:cs="Arial"/>
          <w:b/>
          <w:bCs/>
          <w:i/>
          <w:iCs/>
          <w:color w:val="00A09D"/>
        </w:rPr>
      </w:pPr>
      <w:r w:rsidRPr="00587DF1">
        <w:rPr>
          <w:rFonts w:ascii="Arial" w:eastAsia="Arial" w:hAnsi="Arial" w:cs="Arial"/>
          <w:b/>
          <w:bCs/>
          <w:i/>
          <w:iCs/>
          <w:color w:val="00A09D"/>
        </w:rPr>
        <w:t>Where are we now?</w:t>
      </w:r>
    </w:p>
    <w:p w14:paraId="50BC5D7F" w14:textId="2259F117" w:rsidR="001D71F5" w:rsidRPr="00587DF1" w:rsidRDefault="00245DAD" w:rsidP="001D71F5">
      <w:pPr>
        <w:rPr>
          <w:rFonts w:ascii="Arial" w:eastAsia="Arial" w:hAnsi="Arial" w:cs="Arial"/>
        </w:rPr>
      </w:pPr>
      <w:r w:rsidRPr="00587DF1">
        <w:rPr>
          <w:rFonts w:ascii="Arial" w:eastAsia="Arial" w:hAnsi="Arial" w:cs="Arial"/>
        </w:rPr>
        <w:t>While backlog maintenance is currently relatively low at £</w:t>
      </w:r>
      <w:r w:rsidR="002B2926">
        <w:rPr>
          <w:rFonts w:ascii="Arial" w:eastAsia="Arial" w:hAnsi="Arial" w:cs="Arial"/>
        </w:rPr>
        <w:t>XXX</w:t>
      </w:r>
      <w:r w:rsidRPr="00587DF1">
        <w:rPr>
          <w:rFonts w:ascii="Arial" w:eastAsia="Arial" w:hAnsi="Arial" w:cs="Arial"/>
        </w:rPr>
        <w:t xml:space="preserve">m, </w:t>
      </w:r>
      <w:r w:rsidR="001D71F5" w:rsidRPr="00587DF1">
        <w:rPr>
          <w:rFonts w:ascii="Arial" w:eastAsia="Arial" w:hAnsi="Arial" w:cs="Arial"/>
        </w:rPr>
        <w:t>the majority of the heating, ventilation and domestic water system installations have exceeded their life expectancy</w:t>
      </w:r>
      <w:r w:rsidR="002D66A7">
        <w:rPr>
          <w:rFonts w:ascii="Arial" w:eastAsia="Arial" w:hAnsi="Arial" w:cs="Arial"/>
        </w:rPr>
        <w:t>. M</w:t>
      </w:r>
      <w:r w:rsidR="001D71F5" w:rsidRPr="00587DF1">
        <w:rPr>
          <w:rFonts w:ascii="Arial" w:eastAsia="Arial" w:hAnsi="Arial" w:cs="Arial"/>
        </w:rPr>
        <w:t xml:space="preserve">ajor replacement will be required in the medium term to maintain the core hospital function. These systems are becoming increasingly difficult and costly to maintain. </w:t>
      </w:r>
    </w:p>
    <w:p w14:paraId="655BA8F3" w14:textId="4C702AD9" w:rsidR="001D71F5" w:rsidRPr="00587DF1" w:rsidRDefault="001D71F5" w:rsidP="001D71F5">
      <w:pPr>
        <w:rPr>
          <w:rFonts w:ascii="Arial" w:eastAsia="Arial" w:hAnsi="Arial" w:cs="Arial"/>
        </w:rPr>
      </w:pPr>
      <w:r w:rsidRPr="00587DF1">
        <w:rPr>
          <w:rFonts w:ascii="Arial" w:eastAsia="Arial" w:hAnsi="Arial" w:cs="Arial"/>
        </w:rPr>
        <w:t>The current hand-cut tiles that form the façade of the City Road site are de-laminating from their fixings</w:t>
      </w:r>
      <w:r w:rsidR="00245DAD" w:rsidRPr="00587DF1">
        <w:rPr>
          <w:rFonts w:ascii="Arial" w:eastAsia="Arial" w:hAnsi="Arial" w:cs="Arial"/>
        </w:rPr>
        <w:t xml:space="preserve">, which </w:t>
      </w:r>
      <w:r w:rsidRPr="00587DF1">
        <w:rPr>
          <w:rFonts w:ascii="Arial" w:eastAsia="Arial" w:hAnsi="Arial" w:cs="Arial"/>
        </w:rPr>
        <w:t xml:space="preserve">would </w:t>
      </w:r>
      <w:r w:rsidR="00245DAD" w:rsidRPr="00587DF1">
        <w:rPr>
          <w:rFonts w:ascii="Arial" w:eastAsia="Arial" w:hAnsi="Arial" w:cs="Arial"/>
        </w:rPr>
        <w:t xml:space="preserve">be very costly </w:t>
      </w:r>
      <w:r w:rsidRPr="00587DF1">
        <w:rPr>
          <w:rFonts w:ascii="Arial" w:eastAsia="Arial" w:hAnsi="Arial" w:cs="Arial"/>
        </w:rPr>
        <w:t xml:space="preserve">to correct, and would create substantive disruption to patients and </w:t>
      </w:r>
      <w:r w:rsidR="00245DAD" w:rsidRPr="00587DF1">
        <w:rPr>
          <w:rFonts w:ascii="Arial" w:eastAsia="Arial" w:hAnsi="Arial" w:cs="Arial"/>
        </w:rPr>
        <w:t xml:space="preserve">the </w:t>
      </w:r>
      <w:r w:rsidRPr="00587DF1">
        <w:rPr>
          <w:rFonts w:ascii="Arial" w:eastAsia="Arial" w:hAnsi="Arial" w:cs="Arial"/>
        </w:rPr>
        <w:t xml:space="preserve">A&amp;E entrance. There is a wide range of near end-of-life infrastructure that also would need to be systemically renewed if the plan was to stay in City Road for the longer term (even if a phased re-build of the site was to be planned as this would also take many years to achieve whilst maintaining clinical services). The site has aged infrastructure from piped services to electrical systems (where areas have not been substantially refurbished in the last decade) and cooling and ventilation systems. The RDCEC </w:t>
      </w:r>
      <w:r w:rsidR="00F876F9">
        <w:rPr>
          <w:rFonts w:ascii="Arial" w:eastAsia="Arial" w:hAnsi="Arial" w:cs="Arial"/>
        </w:rPr>
        <w:t>is</w:t>
      </w:r>
      <w:r w:rsidRPr="00587DF1">
        <w:rPr>
          <w:rFonts w:ascii="Arial" w:eastAsia="Arial" w:hAnsi="Arial" w:cs="Arial"/>
        </w:rPr>
        <w:t xml:space="preserve"> also over a decade old and over the next decade will start entering significant ‘lifecycle’ reviewed investment needs.</w:t>
      </w:r>
    </w:p>
    <w:p w14:paraId="086D6DFD" w14:textId="6F82CDA7" w:rsidR="001D71F5" w:rsidRPr="00587DF1" w:rsidRDefault="001D71F5" w:rsidP="001D71F5">
      <w:pPr>
        <w:rPr>
          <w:rFonts w:ascii="Arial" w:eastAsia="Arial" w:hAnsi="Arial" w:cs="Arial"/>
        </w:rPr>
      </w:pPr>
      <w:r w:rsidRPr="00587DF1">
        <w:rPr>
          <w:rFonts w:ascii="Arial" w:eastAsia="Arial" w:hAnsi="Arial" w:cs="Arial"/>
        </w:rPr>
        <w:t>The works required to bring the current building up to an acceptable st</w:t>
      </w:r>
      <w:r w:rsidR="00F92B17">
        <w:rPr>
          <w:rFonts w:ascii="Arial" w:eastAsia="Arial" w:hAnsi="Arial" w:cs="Arial"/>
        </w:rPr>
        <w:t>andard are estimated at over £</w:t>
      </w:r>
      <w:r w:rsidR="002B2926">
        <w:rPr>
          <w:rFonts w:ascii="Arial" w:eastAsia="Arial" w:hAnsi="Arial" w:cs="Arial"/>
        </w:rPr>
        <w:t>XXX</w:t>
      </w:r>
      <w:r w:rsidRPr="00587DF1">
        <w:rPr>
          <w:rFonts w:ascii="Arial" w:eastAsia="Arial" w:hAnsi="Arial" w:cs="Arial"/>
        </w:rPr>
        <w:t>m (detailed in the Economic Case). This investment would only delay the continuing deterioration of the building, and the risk of failure in the future.</w:t>
      </w:r>
    </w:p>
    <w:p w14:paraId="6921321D" w14:textId="77777777" w:rsidR="001D71F5" w:rsidRPr="00587DF1" w:rsidRDefault="001D71F5" w:rsidP="001D71F5">
      <w:pPr>
        <w:spacing w:after="0"/>
        <w:rPr>
          <w:rFonts w:ascii="Arial" w:eastAsia="Arial" w:hAnsi="Arial" w:cs="Arial"/>
          <w:color w:val="00A09D"/>
        </w:rPr>
      </w:pPr>
      <w:r w:rsidRPr="00587DF1">
        <w:rPr>
          <w:rFonts w:ascii="Arial" w:eastAsia="Arial" w:hAnsi="Arial" w:cs="Arial"/>
          <w:b/>
          <w:bCs/>
          <w:i/>
          <w:iCs/>
          <w:color w:val="00A09D"/>
        </w:rPr>
        <w:t>Where do we want to be?</w:t>
      </w:r>
      <w:r w:rsidRPr="00587DF1">
        <w:rPr>
          <w:rFonts w:ascii="Arial" w:eastAsia="Arial" w:hAnsi="Arial" w:cs="Arial"/>
          <w:color w:val="00A09D"/>
        </w:rPr>
        <w:t xml:space="preserve"> </w:t>
      </w:r>
    </w:p>
    <w:p w14:paraId="398C6D02" w14:textId="0745A486" w:rsidR="001D71F5" w:rsidRPr="00587DF1" w:rsidRDefault="00245DAD" w:rsidP="00245DAD">
      <w:pPr>
        <w:rPr>
          <w:rFonts w:ascii="Arial" w:eastAsia="Arial" w:hAnsi="Arial" w:cs="Arial"/>
        </w:rPr>
      </w:pPr>
      <w:r w:rsidRPr="00587DF1">
        <w:rPr>
          <w:rFonts w:ascii="Arial" w:eastAsia="Arial" w:hAnsi="Arial" w:cs="Arial"/>
        </w:rPr>
        <w:t xml:space="preserve">The </w:t>
      </w:r>
      <w:r w:rsidR="00236908">
        <w:rPr>
          <w:rFonts w:ascii="Arial" w:hAnsi="Arial" w:cs="Arial"/>
        </w:rPr>
        <w:t xml:space="preserve">Economic Case </w:t>
      </w:r>
      <w:r w:rsidRPr="00587DF1">
        <w:rPr>
          <w:rFonts w:ascii="Arial" w:eastAsia="Arial" w:hAnsi="Arial" w:cs="Arial"/>
        </w:rPr>
        <w:t xml:space="preserve">provides evidence to show that investment </w:t>
      </w:r>
      <w:r w:rsidR="002D66A7">
        <w:rPr>
          <w:rFonts w:ascii="Arial" w:eastAsia="Arial" w:hAnsi="Arial" w:cs="Arial"/>
        </w:rPr>
        <w:t xml:space="preserve">in maintaining the current City Road site </w:t>
      </w:r>
      <w:r w:rsidRPr="00587DF1">
        <w:rPr>
          <w:rFonts w:ascii="Arial" w:eastAsia="Arial" w:hAnsi="Arial" w:cs="Arial"/>
        </w:rPr>
        <w:t>does not represent good value for money. Moorfields wants to deliver services from a building in which its financial resources can be invested in meaningful improvements in care, and exciting developments to improve patient outcomes, rather than in the fabric of an</w:t>
      </w:r>
      <w:r w:rsidR="004040D3">
        <w:rPr>
          <w:rFonts w:ascii="Arial" w:eastAsia="Arial" w:hAnsi="Arial" w:cs="Arial"/>
        </w:rPr>
        <w:t xml:space="preserve"> ageing</w:t>
      </w:r>
      <w:r w:rsidRPr="00587DF1">
        <w:rPr>
          <w:rFonts w:ascii="Arial" w:eastAsia="Arial" w:hAnsi="Arial" w:cs="Arial"/>
        </w:rPr>
        <w:t xml:space="preserve"> building.</w:t>
      </w:r>
    </w:p>
    <w:p w14:paraId="5B3EC3D6" w14:textId="77777777" w:rsidR="001D71F5" w:rsidRPr="00587DF1" w:rsidRDefault="001D71F5" w:rsidP="001D71F5">
      <w:pPr>
        <w:spacing w:after="0"/>
        <w:rPr>
          <w:rFonts w:ascii="Arial" w:eastAsia="Arial" w:hAnsi="Arial" w:cs="Arial"/>
          <w:b/>
          <w:bCs/>
          <w:i/>
          <w:iCs/>
          <w:color w:val="00A09D"/>
        </w:rPr>
      </w:pPr>
      <w:r w:rsidRPr="00587DF1">
        <w:rPr>
          <w:rFonts w:ascii="Arial" w:eastAsia="Arial" w:hAnsi="Arial" w:cs="Arial"/>
          <w:b/>
          <w:bCs/>
          <w:i/>
          <w:iCs/>
          <w:color w:val="00A09D"/>
        </w:rPr>
        <w:t>How do we get there?</w:t>
      </w:r>
    </w:p>
    <w:p w14:paraId="11EBC7FB" w14:textId="77777777" w:rsidR="001D71F5" w:rsidRPr="00587DF1" w:rsidRDefault="00245DAD" w:rsidP="00245DAD">
      <w:pPr>
        <w:rPr>
          <w:rFonts w:ascii="Arial" w:eastAsia="Arial" w:hAnsi="Arial" w:cs="Arial"/>
          <w:b/>
          <w:bCs/>
          <w:i/>
          <w:iCs/>
          <w:color w:val="00A09D"/>
        </w:rPr>
      </w:pPr>
      <w:r w:rsidRPr="00587DF1">
        <w:rPr>
          <w:rFonts w:ascii="Arial" w:eastAsia="Arial" w:hAnsi="Arial" w:cs="Arial"/>
        </w:rPr>
        <w:t>This requires a new, fit-for-purpose building.</w:t>
      </w:r>
    </w:p>
    <w:p w14:paraId="1D63967E" w14:textId="77777777" w:rsidR="001D71F5" w:rsidRPr="00587DF1" w:rsidRDefault="001D71F5" w:rsidP="001D71F5">
      <w:pPr>
        <w:spacing w:after="0"/>
        <w:rPr>
          <w:rFonts w:ascii="Arial" w:eastAsia="Arial" w:hAnsi="Arial" w:cs="Arial"/>
        </w:rPr>
      </w:pPr>
      <w:r w:rsidRPr="00587DF1">
        <w:rPr>
          <w:rFonts w:ascii="Arial" w:eastAsia="Arial" w:hAnsi="Arial" w:cs="Arial"/>
          <w:b/>
          <w:bCs/>
          <w:i/>
          <w:iCs/>
          <w:color w:val="00A09D"/>
        </w:rPr>
        <w:t>What will be the benefits?</w:t>
      </w:r>
    </w:p>
    <w:p w14:paraId="10911CFE" w14:textId="77777777" w:rsidR="001D71F5" w:rsidRPr="00587DF1" w:rsidRDefault="00E66AEE" w:rsidP="00E47761">
      <w:pPr>
        <w:spacing w:after="0"/>
        <w:rPr>
          <w:rFonts w:ascii="Arial" w:eastAsia="Arial" w:hAnsi="Arial" w:cs="Arial"/>
        </w:rPr>
      </w:pPr>
      <w:r w:rsidRPr="00587DF1">
        <w:rPr>
          <w:rFonts w:ascii="Arial" w:eastAsia="Arial" w:hAnsi="Arial" w:cs="Arial"/>
        </w:rPr>
        <w:t>A modern, fit-for-purpose building will have zero backlog maintenance. Crucially, money spent on a new facility will be an investment in the future, rather than delaying ongoing deterioration in a building which cannot support modern service delivery.</w:t>
      </w:r>
    </w:p>
    <w:p w14:paraId="2A11FF1C" w14:textId="77777777" w:rsidR="001D71F5" w:rsidRPr="00587DF1" w:rsidRDefault="001D71F5" w:rsidP="00E47761">
      <w:pPr>
        <w:spacing w:after="0"/>
        <w:rPr>
          <w:rFonts w:ascii="Arial" w:eastAsia="Arial" w:hAnsi="Arial" w:cs="Arial"/>
        </w:rPr>
      </w:pPr>
    </w:p>
    <w:p w14:paraId="0F74AFEA" w14:textId="77777777" w:rsidR="00E66AEE" w:rsidRPr="00587DF1" w:rsidRDefault="00E66AEE" w:rsidP="00E47761">
      <w:pPr>
        <w:spacing w:after="0"/>
        <w:rPr>
          <w:rFonts w:ascii="Arial" w:eastAsia="Arial" w:hAnsi="Arial" w:cs="Arial"/>
        </w:rPr>
      </w:pPr>
    </w:p>
    <w:p w14:paraId="0A8D5637" w14:textId="77777777" w:rsidR="001D71F5" w:rsidRPr="00587DF1" w:rsidRDefault="001D71F5" w:rsidP="005E0D57">
      <w:pPr>
        <w:pStyle w:val="Heading2"/>
        <w:numPr>
          <w:ilvl w:val="2"/>
          <w:numId w:val="1"/>
        </w:numPr>
        <w:rPr>
          <w:rFonts w:ascii="Arial" w:eastAsia="Arial" w:hAnsi="Arial" w:cs="Arial"/>
          <w:sz w:val="22"/>
          <w:szCs w:val="22"/>
        </w:rPr>
      </w:pPr>
      <w:bookmarkStart w:id="103" w:name="_Ref24701312"/>
      <w:bookmarkStart w:id="104" w:name="_Ref25593327"/>
      <w:bookmarkStart w:id="105" w:name="_Toc27129267"/>
      <w:bookmarkStart w:id="106" w:name="_Toc27746668"/>
      <w:bookmarkStart w:id="107" w:name="_Toc30168733"/>
      <w:bookmarkStart w:id="108" w:name="_Toc30670669"/>
      <w:bookmarkStart w:id="109" w:name="_Toc32842688"/>
      <w:r w:rsidRPr="00587DF1">
        <w:rPr>
          <w:rFonts w:ascii="Arial" w:eastAsia="Arial" w:hAnsi="Arial" w:cs="Arial"/>
          <w:sz w:val="22"/>
          <w:szCs w:val="22"/>
        </w:rPr>
        <w:t xml:space="preserve">Inability to support future demand </w:t>
      </w:r>
      <w:bookmarkEnd w:id="103"/>
      <w:r w:rsidR="00000E8A" w:rsidRPr="00587DF1">
        <w:rPr>
          <w:rFonts w:ascii="Arial" w:eastAsia="Arial" w:hAnsi="Arial" w:cs="Arial"/>
          <w:sz w:val="22"/>
          <w:szCs w:val="22"/>
        </w:rPr>
        <w:t>changes</w:t>
      </w:r>
      <w:bookmarkEnd w:id="104"/>
      <w:bookmarkEnd w:id="105"/>
      <w:bookmarkEnd w:id="106"/>
      <w:bookmarkEnd w:id="107"/>
      <w:bookmarkEnd w:id="108"/>
      <w:bookmarkEnd w:id="109"/>
    </w:p>
    <w:p w14:paraId="6B3123EA" w14:textId="1C7493F9" w:rsidR="001D71F5" w:rsidRPr="00587DF1" w:rsidRDefault="00044DCA" w:rsidP="001D71F5">
      <w:pPr>
        <w:spacing w:after="0"/>
        <w:rPr>
          <w:rFonts w:ascii="Arial" w:eastAsia="Arial" w:hAnsi="Arial" w:cs="Arial"/>
          <w:b/>
          <w:bCs/>
          <w:i/>
          <w:iCs/>
        </w:rPr>
      </w:pPr>
      <w:r w:rsidRPr="00587DF1">
        <w:rPr>
          <w:rFonts w:ascii="Arial" w:eastAsia="Arial" w:hAnsi="Arial" w:cs="Arial"/>
          <w:i/>
          <w:iCs/>
        </w:rPr>
        <w:t>This specifically relates to objective 5</w:t>
      </w:r>
      <w:r w:rsidR="00A369C0" w:rsidRPr="00587DF1">
        <w:rPr>
          <w:rFonts w:ascii="Arial" w:eastAsia="Arial" w:hAnsi="Arial" w:cs="Arial"/>
          <w:i/>
          <w:iCs/>
        </w:rPr>
        <w:t xml:space="preserve"> (</w:t>
      </w:r>
      <w:r w:rsidR="00A369C0" w:rsidRPr="00587DF1">
        <w:rPr>
          <w:rFonts w:ascii="Arial" w:eastAsia="Arial" w:hAnsi="Arial" w:cs="Arial"/>
          <w:i/>
          <w:iCs/>
        </w:rPr>
        <w:fldChar w:fldCharType="begin"/>
      </w:r>
      <w:r w:rsidR="00A369C0" w:rsidRPr="00587DF1">
        <w:rPr>
          <w:rFonts w:ascii="Arial" w:eastAsia="Arial" w:hAnsi="Arial" w:cs="Arial"/>
          <w:i/>
          <w:iCs/>
        </w:rPr>
        <w:instrText xml:space="preserve"> REF _Ref24984658 \h  \* MERGEFORMAT </w:instrText>
      </w:r>
      <w:r w:rsidR="00A369C0" w:rsidRPr="00587DF1">
        <w:rPr>
          <w:rFonts w:ascii="Arial" w:eastAsia="Arial" w:hAnsi="Arial" w:cs="Arial"/>
          <w:i/>
          <w:iCs/>
        </w:rPr>
      </w:r>
      <w:r w:rsidR="00A369C0" w:rsidRPr="00587DF1">
        <w:rPr>
          <w:rFonts w:ascii="Arial" w:eastAsia="Arial" w:hAnsi="Arial" w:cs="Arial"/>
          <w:i/>
          <w:iCs/>
        </w:rPr>
        <w:fldChar w:fldCharType="separate"/>
      </w:r>
      <w:r w:rsidR="00A936CD" w:rsidRPr="00A936CD">
        <w:rPr>
          <w:rFonts w:ascii="Arial" w:eastAsia="Arial" w:hAnsi="Arial" w:cs="Arial"/>
          <w:i/>
          <w:iCs/>
        </w:rPr>
        <w:t>Table 11</w:t>
      </w:r>
      <w:r w:rsidR="00A369C0" w:rsidRPr="00587DF1">
        <w:rPr>
          <w:rFonts w:ascii="Arial" w:eastAsia="Arial" w:hAnsi="Arial" w:cs="Arial"/>
          <w:i/>
          <w:iCs/>
        </w:rPr>
        <w:fldChar w:fldCharType="end"/>
      </w:r>
      <w:r w:rsidR="00A369C0" w:rsidRPr="00587DF1">
        <w:rPr>
          <w:rFonts w:ascii="Arial" w:eastAsia="Arial" w:hAnsi="Arial" w:cs="Arial"/>
          <w:i/>
          <w:iCs/>
        </w:rPr>
        <w:t>)</w:t>
      </w:r>
      <w:r w:rsidRPr="00587DF1">
        <w:rPr>
          <w:rFonts w:ascii="Arial" w:eastAsia="Arial" w:hAnsi="Arial" w:cs="Arial"/>
          <w:i/>
          <w:iCs/>
        </w:rPr>
        <w:t>.</w:t>
      </w:r>
    </w:p>
    <w:p w14:paraId="573BC117" w14:textId="77777777" w:rsidR="00044DCA" w:rsidRPr="00587DF1" w:rsidRDefault="00044DCA" w:rsidP="001D71F5">
      <w:pPr>
        <w:spacing w:after="0"/>
        <w:rPr>
          <w:rFonts w:ascii="Arial" w:eastAsia="Arial" w:hAnsi="Arial" w:cs="Arial"/>
          <w:b/>
          <w:bCs/>
          <w:i/>
          <w:iCs/>
        </w:rPr>
      </w:pPr>
    </w:p>
    <w:p w14:paraId="2A6B7D94" w14:textId="77777777" w:rsidR="001D71F5" w:rsidRPr="00587DF1" w:rsidRDefault="001D71F5" w:rsidP="001D71F5">
      <w:pPr>
        <w:spacing w:after="0"/>
        <w:rPr>
          <w:rFonts w:ascii="Arial" w:eastAsia="Arial" w:hAnsi="Arial" w:cs="Arial"/>
          <w:b/>
          <w:bCs/>
          <w:i/>
          <w:iCs/>
          <w:color w:val="00A09D"/>
        </w:rPr>
      </w:pPr>
      <w:r w:rsidRPr="00587DF1">
        <w:rPr>
          <w:rFonts w:ascii="Arial" w:eastAsia="Arial" w:hAnsi="Arial" w:cs="Arial"/>
          <w:b/>
          <w:bCs/>
          <w:i/>
          <w:iCs/>
          <w:color w:val="00A09D"/>
        </w:rPr>
        <w:t>Where are we now?</w:t>
      </w:r>
    </w:p>
    <w:p w14:paraId="5C098482" w14:textId="0CB10D5C" w:rsidR="00F549D1" w:rsidRPr="00F549D1" w:rsidRDefault="00F549D1" w:rsidP="00157C23">
      <w:pPr>
        <w:rPr>
          <w:rFonts w:ascii="Arial" w:hAnsi="Arial" w:cs="Arial"/>
        </w:rPr>
      </w:pPr>
      <w:r w:rsidRPr="00F549D1">
        <w:rPr>
          <w:rFonts w:ascii="Arial" w:hAnsi="Arial" w:cs="Arial"/>
        </w:rPr>
        <w:t>Ophthalmology is one of the busiest specialties in the NHS</w:t>
      </w:r>
      <w:r>
        <w:rPr>
          <w:rFonts w:ascii="Arial" w:hAnsi="Arial" w:cs="Arial"/>
        </w:rPr>
        <w:t xml:space="preserve"> – it represents </w:t>
      </w:r>
      <w:r w:rsidRPr="00F549D1">
        <w:rPr>
          <w:rFonts w:ascii="Arial" w:hAnsi="Arial" w:cs="Arial"/>
        </w:rPr>
        <w:t>the highest volume outpatient specialty in England</w:t>
      </w:r>
      <w:r>
        <w:rPr>
          <w:rFonts w:ascii="Arial" w:hAnsi="Arial" w:cs="Arial"/>
        </w:rPr>
        <w:t xml:space="preserve">, and cataract surgery is the </w:t>
      </w:r>
      <w:r w:rsidRPr="00F549D1">
        <w:rPr>
          <w:rFonts w:ascii="Arial" w:hAnsi="Arial" w:cs="Arial"/>
        </w:rPr>
        <w:t>most common operation offered on the NHS.</w:t>
      </w:r>
    </w:p>
    <w:p w14:paraId="78BD51A8" w14:textId="55D4F434" w:rsidR="00157C23" w:rsidRPr="00587DF1" w:rsidRDefault="00157C23" w:rsidP="00157C23">
      <w:pPr>
        <w:rPr>
          <w:rFonts w:ascii="Arial" w:hAnsi="Arial" w:cs="Arial"/>
        </w:rPr>
      </w:pPr>
      <w:r w:rsidRPr="00587DF1">
        <w:rPr>
          <w:rFonts w:ascii="Arial" w:hAnsi="Arial" w:cs="Arial"/>
        </w:rPr>
        <w:lastRenderedPageBreak/>
        <w:t>The Way Forward 2017 projected the following trends in the most prevalent eye conditions over the next 20 years, which particularly affect th</w:t>
      </w:r>
      <w:r w:rsidR="002D66A7">
        <w:rPr>
          <w:rFonts w:ascii="Arial" w:hAnsi="Arial" w:cs="Arial"/>
        </w:rPr>
        <w:t>e</w:t>
      </w:r>
      <w:r w:rsidRPr="00587DF1">
        <w:rPr>
          <w:rFonts w:ascii="Arial" w:hAnsi="Arial" w:cs="Arial"/>
        </w:rPr>
        <w:t xml:space="preserve"> older patient group:</w:t>
      </w:r>
    </w:p>
    <w:p w14:paraId="11F29165" w14:textId="77777777" w:rsidR="00157C23" w:rsidRPr="00587DF1" w:rsidRDefault="00157C23" w:rsidP="005E0D57">
      <w:pPr>
        <w:pStyle w:val="ListParagraph"/>
        <w:numPr>
          <w:ilvl w:val="0"/>
          <w:numId w:val="14"/>
        </w:numPr>
        <w:rPr>
          <w:rFonts w:ascii="Arial" w:hAnsi="Arial" w:cs="Arial"/>
        </w:rPr>
      </w:pPr>
      <w:r w:rsidRPr="00587DF1">
        <w:rPr>
          <w:rFonts w:ascii="Arial" w:eastAsiaTheme="minorHAnsi" w:hAnsi="Arial" w:cs="Arial"/>
          <w:b/>
          <w:bCs/>
          <w:color w:val="000000"/>
          <w:lang w:eastAsia="en-US"/>
        </w:rPr>
        <w:t xml:space="preserve">Cataracts </w:t>
      </w:r>
      <w:r w:rsidRPr="00587DF1">
        <w:rPr>
          <w:rFonts w:ascii="Arial" w:eastAsiaTheme="minorHAnsi" w:hAnsi="Arial" w:cs="Arial"/>
          <w:color w:val="000000"/>
          <w:lang w:eastAsia="en-US"/>
        </w:rPr>
        <w:t xml:space="preserve">– </w:t>
      </w:r>
      <w:r w:rsidRPr="00587DF1">
        <w:rPr>
          <w:rFonts w:ascii="Arial" w:hAnsi="Arial" w:cs="Arial"/>
        </w:rPr>
        <w:t>Over 35% of people over the age of 65 have visually significant cataracts. Demand for cataract services will rise by 25% over the next 10 years and by 50% over the next 20 years. Cataract surgery is already the most common surgical procedure carried out in the UK with over 400,000 procedures performed per year. This anticipated surge in demand for cataract services will require new approaches to referral, patient assessment, surgical flow and follow-up. Current pathways will not be capable of handling the anticipated future level of activity.</w:t>
      </w:r>
    </w:p>
    <w:p w14:paraId="21C090CE" w14:textId="77777777" w:rsidR="00157C23" w:rsidRPr="00587DF1" w:rsidRDefault="00157C23" w:rsidP="005E0D57">
      <w:pPr>
        <w:pStyle w:val="ListParagraph"/>
        <w:numPr>
          <w:ilvl w:val="0"/>
          <w:numId w:val="14"/>
        </w:numPr>
        <w:rPr>
          <w:rFonts w:ascii="Arial" w:eastAsiaTheme="minorHAnsi" w:hAnsi="Arial" w:cs="Arial"/>
          <w:color w:val="000000"/>
          <w:lang w:eastAsia="en-US"/>
        </w:rPr>
      </w:pPr>
      <w:r w:rsidRPr="00587DF1">
        <w:rPr>
          <w:rFonts w:ascii="Arial" w:hAnsi="Arial" w:cs="Arial"/>
          <w:b/>
        </w:rPr>
        <w:t>Glaucoma</w:t>
      </w:r>
      <w:r w:rsidRPr="00587DF1">
        <w:rPr>
          <w:rFonts w:ascii="Arial" w:hAnsi="Arial" w:cs="Arial"/>
        </w:rPr>
        <w:t xml:space="preserve"> – The monitoring and treatment of patients with glaucoma currently accounts for 20% of all ophthalmology hospital outpatient activity. Glaucoma cases are expected to rise by 44% over the next 20 years. It is also likely that as technology continues to improve, a progressively greater percentage of cases will be diagnosed, increasing the demand for services even further. It is likely that therapeutic delivery for glaucoma will shift from topical medications to surgically implantable long acting-medications; this will have an enormous impact upon how glaucoma is managed</w:t>
      </w:r>
      <w:r w:rsidRPr="00587DF1">
        <w:rPr>
          <w:rFonts w:ascii="Arial" w:eastAsiaTheme="minorHAnsi" w:hAnsi="Arial" w:cs="Arial"/>
          <w:color w:val="000000"/>
          <w:lang w:eastAsia="en-US"/>
        </w:rPr>
        <w:t xml:space="preserve"> in the future.</w:t>
      </w:r>
    </w:p>
    <w:p w14:paraId="738002C1" w14:textId="1C3BF4B2" w:rsidR="00157C23" w:rsidRPr="00587DF1" w:rsidRDefault="00157C23" w:rsidP="005E0D57">
      <w:pPr>
        <w:pStyle w:val="ListParagraph"/>
        <w:numPr>
          <w:ilvl w:val="0"/>
          <w:numId w:val="14"/>
        </w:numPr>
        <w:rPr>
          <w:rFonts w:ascii="Arial" w:hAnsi="Arial" w:cs="Arial"/>
        </w:rPr>
      </w:pPr>
      <w:r w:rsidRPr="00587DF1">
        <w:rPr>
          <w:rFonts w:ascii="Arial" w:eastAsiaTheme="minorHAnsi" w:hAnsi="Arial" w:cs="Arial"/>
          <w:b/>
          <w:bCs/>
          <w:color w:val="000000"/>
          <w:lang w:eastAsia="en-US"/>
        </w:rPr>
        <w:t xml:space="preserve">Medical </w:t>
      </w:r>
      <w:r w:rsidRPr="00587DF1">
        <w:rPr>
          <w:rFonts w:ascii="Arial" w:hAnsi="Arial" w:cs="Arial"/>
          <w:b/>
        </w:rPr>
        <w:t>retina (including macular degeneration and diabetic eye disease)</w:t>
      </w:r>
      <w:r w:rsidRPr="00587DF1">
        <w:rPr>
          <w:rFonts w:ascii="Arial" w:hAnsi="Arial" w:cs="Arial"/>
        </w:rPr>
        <w:t xml:space="preserve"> – The incidence of age-related macular degeneration will increase in line with the</w:t>
      </w:r>
      <w:r w:rsidR="004040D3">
        <w:rPr>
          <w:rFonts w:ascii="Arial" w:hAnsi="Arial" w:cs="Arial"/>
        </w:rPr>
        <w:t xml:space="preserve"> ageing</w:t>
      </w:r>
      <w:r w:rsidRPr="00587DF1">
        <w:rPr>
          <w:rFonts w:ascii="Arial" w:hAnsi="Arial" w:cs="Arial"/>
        </w:rPr>
        <w:t xml:space="preserve"> population. Cases of diabetic retinopathy are also predicted to increase. It is likely that more and more retinal disorders will become new indications for regular intravitreal injection therapy over the next few years.</w:t>
      </w:r>
    </w:p>
    <w:p w14:paraId="10F690BD" w14:textId="7137D65F" w:rsidR="00157C23" w:rsidRPr="00587DF1" w:rsidRDefault="00157C23" w:rsidP="005E0D57">
      <w:pPr>
        <w:pStyle w:val="ListParagraph"/>
        <w:numPr>
          <w:ilvl w:val="0"/>
          <w:numId w:val="14"/>
        </w:numPr>
        <w:rPr>
          <w:rFonts w:ascii="Arial" w:eastAsiaTheme="minorHAnsi" w:hAnsi="Arial" w:cs="Arial"/>
          <w:lang w:eastAsia="en-US"/>
        </w:rPr>
      </w:pPr>
      <w:r w:rsidRPr="00587DF1">
        <w:rPr>
          <w:rFonts w:ascii="Arial" w:hAnsi="Arial" w:cs="Arial"/>
          <w:b/>
        </w:rPr>
        <w:t>Emergency eye care</w:t>
      </w:r>
      <w:r w:rsidRPr="00587DF1">
        <w:rPr>
          <w:rFonts w:ascii="Arial" w:hAnsi="Arial" w:cs="Arial"/>
        </w:rPr>
        <w:t xml:space="preserve"> – The number of people attending hospital for emergency eye care is increasing, as has been observed in other, non-ophthalmic, emergency activities. The number of attendances at the Moorfields A&amp;E department have continued to grow, with &gt;100,000 attendances in 2015/16, representing a doubling of patients in 10 years</w:t>
      </w:r>
      <w:r w:rsidRPr="00587DF1">
        <w:rPr>
          <w:rStyle w:val="FootnoteReference"/>
          <w:rFonts w:ascii="Arial" w:hAnsi="Arial" w:cs="Arial"/>
        </w:rPr>
        <w:footnoteReference w:id="5"/>
      </w:r>
      <w:r w:rsidRPr="00587DF1">
        <w:rPr>
          <w:rFonts w:ascii="Arial" w:hAnsi="Arial" w:cs="Arial"/>
        </w:rPr>
        <w:t xml:space="preserve">. The scope to prevent and control these attendances is limited by the highly distressing nature of </w:t>
      </w:r>
      <w:r w:rsidR="002D66A7">
        <w:rPr>
          <w:rFonts w:ascii="Arial" w:hAnsi="Arial" w:cs="Arial"/>
        </w:rPr>
        <w:t xml:space="preserve">potential sight loss </w:t>
      </w:r>
      <w:r w:rsidRPr="00587DF1">
        <w:rPr>
          <w:rFonts w:ascii="Arial" w:hAnsi="Arial" w:cs="Arial"/>
        </w:rPr>
        <w:t>for patients, eliciting greater concern or caution which results in patients presenting at A&amp;E or walk-in services for conditions which may ultimately transpire to be non-sight threatening.</w:t>
      </w:r>
    </w:p>
    <w:p w14:paraId="5E1B686B" w14:textId="08A5FAE5" w:rsidR="00157C23" w:rsidRPr="00DA17A5" w:rsidRDefault="00157C23" w:rsidP="005E0D57">
      <w:pPr>
        <w:pStyle w:val="ListParagraph"/>
        <w:numPr>
          <w:ilvl w:val="0"/>
          <w:numId w:val="14"/>
        </w:numPr>
        <w:rPr>
          <w:rFonts w:ascii="Arial" w:eastAsiaTheme="minorHAnsi" w:hAnsi="Arial" w:cs="Arial"/>
          <w:lang w:eastAsia="en-US"/>
        </w:rPr>
      </w:pPr>
      <w:r w:rsidRPr="00587DF1">
        <w:rPr>
          <w:rFonts w:ascii="Arial" w:hAnsi="Arial" w:cs="Arial"/>
          <w:bCs/>
        </w:rPr>
        <w:t>Demand for all services will increase as the UK population grows.</w:t>
      </w:r>
    </w:p>
    <w:p w14:paraId="6296DDB5" w14:textId="1DB72933" w:rsidR="00DA17A5" w:rsidRPr="00DA17A5" w:rsidRDefault="00DA17A5" w:rsidP="005E0D57">
      <w:pPr>
        <w:pStyle w:val="ListParagraph"/>
        <w:numPr>
          <w:ilvl w:val="0"/>
          <w:numId w:val="14"/>
        </w:numPr>
        <w:rPr>
          <w:rFonts w:ascii="Arial" w:eastAsiaTheme="minorHAnsi" w:hAnsi="Arial" w:cs="Arial"/>
          <w:lang w:eastAsia="en-US"/>
        </w:rPr>
      </w:pPr>
      <w:r w:rsidRPr="00DA17A5">
        <w:rPr>
          <w:rFonts w:ascii="Arial" w:eastAsia="Arial" w:hAnsi="Arial" w:cs="Arial"/>
          <w:color w:val="000000"/>
        </w:rPr>
        <w:t xml:space="preserve">As at September 2019, 7 out of 14 London trusts providing ophthalmology were performing under the national 92% 18 week RTT </w:t>
      </w:r>
      <w:r w:rsidR="002D66A7">
        <w:rPr>
          <w:rFonts w:ascii="Arial" w:eastAsia="Arial" w:hAnsi="Arial" w:cs="Arial"/>
          <w:color w:val="000000"/>
        </w:rPr>
        <w:t>standard</w:t>
      </w:r>
      <w:r w:rsidRPr="00DA17A5">
        <w:rPr>
          <w:rFonts w:ascii="Arial" w:eastAsia="Arial" w:hAnsi="Arial" w:cs="Arial"/>
          <w:color w:val="000000"/>
        </w:rPr>
        <w:t xml:space="preserve">. Over 7,000 patients </w:t>
      </w:r>
      <w:r w:rsidR="002D66A7">
        <w:rPr>
          <w:rFonts w:ascii="Arial" w:eastAsia="Arial" w:hAnsi="Arial" w:cs="Arial"/>
          <w:color w:val="000000"/>
        </w:rPr>
        <w:t>had been waiting more than 18 weeks to receive treatment</w:t>
      </w:r>
      <w:r w:rsidRPr="00DA17A5">
        <w:rPr>
          <w:rFonts w:ascii="Arial" w:eastAsia="Arial" w:hAnsi="Arial" w:cs="Arial"/>
          <w:color w:val="000000"/>
        </w:rPr>
        <w:t>.</w:t>
      </w:r>
    </w:p>
    <w:p w14:paraId="5C81AED4" w14:textId="524B345F" w:rsidR="00157C23" w:rsidRPr="00587DF1" w:rsidRDefault="00157C23" w:rsidP="00157C23">
      <w:pPr>
        <w:spacing w:after="0" w:line="240" w:lineRule="auto"/>
        <w:rPr>
          <w:rFonts w:ascii="Arial" w:eastAsia="Arial" w:hAnsi="Arial" w:cs="Arial"/>
        </w:rPr>
      </w:pPr>
    </w:p>
    <w:p w14:paraId="761CF2AC" w14:textId="25B6D40B" w:rsidR="00157C23" w:rsidRPr="00587DF1" w:rsidRDefault="00157C23" w:rsidP="00157C23">
      <w:pPr>
        <w:spacing w:after="0"/>
        <w:rPr>
          <w:rFonts w:ascii="Arial" w:hAnsi="Arial" w:cs="Arial"/>
        </w:rPr>
      </w:pPr>
      <w:r w:rsidRPr="00587DF1">
        <w:rPr>
          <w:rFonts w:ascii="Arial" w:hAnsi="Arial" w:cs="Arial"/>
        </w:rPr>
        <w:t xml:space="preserve">The impact of </w:t>
      </w:r>
      <w:r w:rsidR="002D66A7">
        <w:rPr>
          <w:rFonts w:ascii="Arial" w:hAnsi="Arial" w:cs="Arial"/>
        </w:rPr>
        <w:t>these factors</w:t>
      </w:r>
      <w:r w:rsidRPr="00587DF1">
        <w:rPr>
          <w:rFonts w:ascii="Arial" w:hAnsi="Arial" w:cs="Arial"/>
        </w:rPr>
        <w:t xml:space="preserve"> on ophthalmology activity within the City Road catchment population has been modelled by commissioners. The report detailing the methodology, stakeholder engagement and outputs of this is included at Appendix </w:t>
      </w:r>
      <w:r w:rsidR="00127D77">
        <w:rPr>
          <w:rFonts w:ascii="Arial" w:hAnsi="Arial" w:cs="Arial"/>
        </w:rPr>
        <w:t>3B</w:t>
      </w:r>
      <w:r w:rsidRPr="00587DF1">
        <w:rPr>
          <w:rFonts w:ascii="Arial" w:hAnsi="Arial" w:cs="Arial"/>
        </w:rPr>
        <w:t xml:space="preserve">. It involved clinicians and operational planning representatives from across providers and commissioners (across 40 1:1 interviews and three project-specific workshops), as well as historic activity data and established literature. The modelling has been accepted by the 14 CCGs, NHS England </w:t>
      </w:r>
      <w:r w:rsidRPr="00587DF1">
        <w:rPr>
          <w:rFonts w:ascii="Arial" w:hAnsi="Arial" w:cs="Arial"/>
        </w:rPr>
        <w:lastRenderedPageBreak/>
        <w:t>Specialist Commissioning, and Moorfields, who have confirmed that it aligns to their expectations.</w:t>
      </w:r>
    </w:p>
    <w:p w14:paraId="4F96B3C2" w14:textId="77777777" w:rsidR="00157C23" w:rsidRPr="00587DF1" w:rsidRDefault="00157C23" w:rsidP="00157C23">
      <w:pPr>
        <w:spacing w:after="0"/>
        <w:rPr>
          <w:rFonts w:ascii="Arial" w:hAnsi="Arial" w:cs="Arial"/>
        </w:rPr>
      </w:pPr>
    </w:p>
    <w:p w14:paraId="637AFC4E" w14:textId="77777777" w:rsidR="008550B8" w:rsidRPr="00587DF1" w:rsidRDefault="008550B8" w:rsidP="008550B8">
      <w:pPr>
        <w:rPr>
          <w:rFonts w:ascii="Arial" w:eastAsia="Arial" w:hAnsi="Arial" w:cs="Arial"/>
        </w:rPr>
      </w:pPr>
      <w:r w:rsidRPr="00587DF1">
        <w:rPr>
          <w:rFonts w:ascii="Arial" w:eastAsia="Arial" w:hAnsi="Arial" w:cs="Arial"/>
        </w:rPr>
        <w:t xml:space="preserve">This detailed activity modelling work has shown the following projected growth rates across the different types of activity. The growth rates with </w:t>
      </w:r>
      <w:r w:rsidR="003C4F0C" w:rsidRPr="00587DF1">
        <w:rPr>
          <w:rFonts w:ascii="Arial" w:eastAsia="Arial" w:hAnsi="Arial" w:cs="Arial"/>
        </w:rPr>
        <w:t>reprovisioning</w:t>
      </w:r>
      <w:r w:rsidRPr="00587DF1">
        <w:rPr>
          <w:rFonts w:ascii="Arial" w:eastAsia="Arial" w:hAnsi="Arial" w:cs="Arial"/>
        </w:rPr>
        <w:t xml:space="preserve"> represent the opportunity to provide some care in an alternative setting (note, this could be </w:t>
      </w:r>
      <w:bookmarkStart w:id="110" w:name="_Hlk27136371"/>
      <w:r w:rsidRPr="00587DF1">
        <w:rPr>
          <w:rFonts w:ascii="Arial" w:eastAsia="Arial" w:hAnsi="Arial" w:cs="Arial"/>
        </w:rPr>
        <w:t>within the Oriel building on a different care pathway e.g. virtual clinics</w:t>
      </w:r>
      <w:bookmarkEnd w:id="110"/>
      <w:r w:rsidRPr="00587DF1">
        <w:rPr>
          <w:rFonts w:ascii="Arial" w:eastAsia="Arial" w:hAnsi="Arial" w:cs="Arial"/>
        </w:rPr>
        <w:t>).</w:t>
      </w:r>
    </w:p>
    <w:p w14:paraId="002E2C95" w14:textId="0CC55B61" w:rsidR="008550B8" w:rsidRPr="00587DF1" w:rsidRDefault="008550B8" w:rsidP="00AE22D1">
      <w:pPr>
        <w:pStyle w:val="Caption"/>
        <w:ind w:left="1276"/>
      </w:pPr>
      <w:bookmarkStart w:id="111" w:name="_Ref23762813"/>
      <w:r w:rsidRPr="00587DF1">
        <w:t xml:space="preserve">Figure </w:t>
      </w:r>
      <w:r w:rsidR="00320059">
        <w:fldChar w:fldCharType="begin"/>
      </w:r>
      <w:r w:rsidR="00320059">
        <w:instrText xml:space="preserve"> SEQ Figure \* ARABIC </w:instrText>
      </w:r>
      <w:r w:rsidR="00320059">
        <w:fldChar w:fldCharType="separate"/>
      </w:r>
      <w:r w:rsidR="00A936CD">
        <w:rPr>
          <w:noProof/>
        </w:rPr>
        <w:t>10</w:t>
      </w:r>
      <w:r w:rsidR="00320059">
        <w:fldChar w:fldCharType="end"/>
      </w:r>
      <w:bookmarkEnd w:id="111"/>
      <w:r w:rsidRPr="00587DF1">
        <w:rPr>
          <w:noProof/>
        </w:rPr>
        <w:t>:</w:t>
      </w:r>
      <w:r w:rsidRPr="00587DF1">
        <w:t xml:space="preserve"> </w:t>
      </w:r>
      <w:r w:rsidRPr="00587DF1">
        <w:rPr>
          <w:b w:val="0"/>
          <w:bCs w:val="0"/>
        </w:rPr>
        <w:t>Average annual activity growth (2018/19 to 2034/35)</w:t>
      </w:r>
    </w:p>
    <w:p w14:paraId="0671075B" w14:textId="6258371C" w:rsidR="008550B8" w:rsidRPr="00587DF1" w:rsidRDefault="00C14576" w:rsidP="00AE22D1">
      <w:pPr>
        <w:spacing w:after="0"/>
        <w:jc w:val="center"/>
        <w:rPr>
          <w:rFonts w:ascii="Arial" w:hAnsi="Arial" w:cs="Arial"/>
        </w:rPr>
      </w:pPr>
      <w:r>
        <w:rPr>
          <w:noProof/>
        </w:rPr>
        <w:drawing>
          <wp:inline distT="0" distB="0" distL="0" distR="0" wp14:anchorId="6D470F07" wp14:editId="6D491FAE">
            <wp:extent cx="4226943" cy="937083"/>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63800" cy="945254"/>
                    </a:xfrm>
                    <a:prstGeom prst="rect">
                      <a:avLst/>
                    </a:prstGeom>
                  </pic:spPr>
                </pic:pic>
              </a:graphicData>
            </a:graphic>
          </wp:inline>
        </w:drawing>
      </w:r>
    </w:p>
    <w:p w14:paraId="3933DC84" w14:textId="77777777" w:rsidR="00000E8A" w:rsidRPr="00587DF1" w:rsidRDefault="00000E8A" w:rsidP="008550B8">
      <w:pPr>
        <w:spacing w:after="0"/>
        <w:rPr>
          <w:rFonts w:ascii="Arial" w:hAnsi="Arial" w:cs="Arial"/>
        </w:rPr>
      </w:pPr>
    </w:p>
    <w:p w14:paraId="159F8D7B" w14:textId="220C7B24" w:rsidR="00157C23" w:rsidRPr="00587DF1" w:rsidRDefault="00000E8A" w:rsidP="00000E8A">
      <w:pPr>
        <w:rPr>
          <w:rFonts w:ascii="Arial" w:hAnsi="Arial" w:cs="Arial"/>
        </w:rPr>
      </w:pPr>
      <w:r w:rsidRPr="00587DF1">
        <w:rPr>
          <w:rFonts w:ascii="Arial" w:eastAsia="Arial" w:hAnsi="Arial" w:cs="Arial"/>
        </w:rPr>
        <w:t>In addition</w:t>
      </w:r>
      <w:r w:rsidR="00F3653A" w:rsidRPr="00587DF1">
        <w:rPr>
          <w:rFonts w:ascii="Arial" w:eastAsia="Arial" w:hAnsi="Arial" w:cs="Arial"/>
        </w:rPr>
        <w:t xml:space="preserve">, as described in section </w:t>
      </w:r>
      <w:r w:rsidR="00F3653A" w:rsidRPr="00587DF1">
        <w:rPr>
          <w:rFonts w:ascii="Arial" w:eastAsia="Arial" w:hAnsi="Arial" w:cs="Arial"/>
        </w:rPr>
        <w:fldChar w:fldCharType="begin"/>
      </w:r>
      <w:r w:rsidR="00F3653A" w:rsidRPr="00587DF1">
        <w:rPr>
          <w:rFonts w:ascii="Arial" w:eastAsia="Arial" w:hAnsi="Arial" w:cs="Arial"/>
        </w:rPr>
        <w:instrText xml:space="preserve"> REF _Ref24717234 \r \h </w:instrText>
      </w:r>
      <w:r w:rsidR="00587DF1">
        <w:rPr>
          <w:rFonts w:ascii="Arial" w:eastAsia="Arial" w:hAnsi="Arial" w:cs="Arial"/>
        </w:rPr>
        <w:instrText xml:space="preserve"> \* MERGEFORMAT </w:instrText>
      </w:r>
      <w:r w:rsidR="00F3653A" w:rsidRPr="00587DF1">
        <w:rPr>
          <w:rFonts w:ascii="Arial" w:eastAsia="Arial" w:hAnsi="Arial" w:cs="Arial"/>
        </w:rPr>
      </w:r>
      <w:r w:rsidR="00F3653A" w:rsidRPr="00587DF1">
        <w:rPr>
          <w:rFonts w:ascii="Arial" w:eastAsia="Arial" w:hAnsi="Arial" w:cs="Arial"/>
        </w:rPr>
        <w:fldChar w:fldCharType="separate"/>
      </w:r>
      <w:r w:rsidR="00A936CD">
        <w:rPr>
          <w:rFonts w:ascii="Arial" w:eastAsia="Arial" w:hAnsi="Arial" w:cs="Arial"/>
        </w:rPr>
        <w:t>3.10.2</w:t>
      </w:r>
      <w:r w:rsidR="00F3653A" w:rsidRPr="00587DF1">
        <w:rPr>
          <w:rFonts w:ascii="Arial" w:eastAsia="Arial" w:hAnsi="Arial" w:cs="Arial"/>
        </w:rPr>
        <w:fldChar w:fldCharType="end"/>
      </w:r>
      <w:r w:rsidR="00F3653A" w:rsidRPr="00587DF1">
        <w:rPr>
          <w:rFonts w:ascii="Arial" w:eastAsia="Arial" w:hAnsi="Arial" w:cs="Arial"/>
        </w:rPr>
        <w:t>, the estate lacks the flexibility to respond to future changes in service delivery models and technology.</w:t>
      </w:r>
    </w:p>
    <w:p w14:paraId="25036CFF" w14:textId="77777777" w:rsidR="001D71F5" w:rsidRPr="00587DF1" w:rsidRDefault="001D71F5" w:rsidP="001D71F5">
      <w:pPr>
        <w:spacing w:after="0"/>
        <w:rPr>
          <w:rFonts w:ascii="Arial" w:eastAsia="Arial" w:hAnsi="Arial" w:cs="Arial"/>
          <w:color w:val="00A09D"/>
        </w:rPr>
      </w:pPr>
      <w:r w:rsidRPr="00587DF1">
        <w:rPr>
          <w:rFonts w:ascii="Arial" w:eastAsia="Arial" w:hAnsi="Arial" w:cs="Arial"/>
          <w:b/>
          <w:bCs/>
          <w:i/>
          <w:iCs/>
          <w:color w:val="00A09D"/>
        </w:rPr>
        <w:t>Where do we want to be?</w:t>
      </w:r>
      <w:r w:rsidRPr="00587DF1">
        <w:rPr>
          <w:rFonts w:ascii="Arial" w:eastAsia="Arial" w:hAnsi="Arial" w:cs="Arial"/>
          <w:color w:val="00A09D"/>
        </w:rPr>
        <w:t xml:space="preserve"> </w:t>
      </w:r>
    </w:p>
    <w:p w14:paraId="0F7926CA" w14:textId="5C1C1380" w:rsidR="001D71F5" w:rsidRDefault="006872ED" w:rsidP="006872ED">
      <w:pPr>
        <w:rPr>
          <w:rFonts w:ascii="Arial" w:eastAsia="Arial" w:hAnsi="Arial" w:cs="Arial"/>
        </w:rPr>
      </w:pPr>
      <w:r w:rsidRPr="00587DF1">
        <w:rPr>
          <w:rFonts w:ascii="Arial" w:eastAsia="Arial" w:hAnsi="Arial" w:cs="Arial"/>
        </w:rPr>
        <w:t xml:space="preserve">The ambition is to create a facility which is capable of supporting increasing demand for ophthalmology services, both through increased capacity (described in section </w:t>
      </w:r>
      <w:r w:rsidR="0004407D">
        <w:rPr>
          <w:rFonts w:ascii="Arial" w:eastAsia="Arial" w:hAnsi="Arial" w:cs="Arial"/>
        </w:rPr>
        <w:fldChar w:fldCharType="begin"/>
      </w:r>
      <w:r w:rsidR="0004407D">
        <w:rPr>
          <w:rFonts w:ascii="Arial" w:eastAsia="Arial" w:hAnsi="Arial" w:cs="Arial"/>
        </w:rPr>
        <w:instrText xml:space="preserve"> REF _Ref27114337 \r \h </w:instrText>
      </w:r>
      <w:r w:rsidR="0004407D">
        <w:rPr>
          <w:rFonts w:ascii="Arial" w:eastAsia="Arial" w:hAnsi="Arial" w:cs="Arial"/>
        </w:rPr>
      </w:r>
      <w:r w:rsidR="0004407D">
        <w:rPr>
          <w:rFonts w:ascii="Arial" w:eastAsia="Arial" w:hAnsi="Arial" w:cs="Arial"/>
        </w:rPr>
        <w:fldChar w:fldCharType="separate"/>
      </w:r>
      <w:r w:rsidR="00A936CD">
        <w:rPr>
          <w:rFonts w:ascii="Arial" w:eastAsia="Arial" w:hAnsi="Arial" w:cs="Arial"/>
        </w:rPr>
        <w:t>3.11</w:t>
      </w:r>
      <w:r w:rsidR="0004407D">
        <w:rPr>
          <w:rFonts w:ascii="Arial" w:eastAsia="Arial" w:hAnsi="Arial" w:cs="Arial"/>
        </w:rPr>
        <w:fldChar w:fldCharType="end"/>
      </w:r>
      <w:r w:rsidRPr="00587DF1">
        <w:rPr>
          <w:rFonts w:ascii="Arial" w:eastAsia="Arial" w:hAnsi="Arial" w:cs="Arial"/>
        </w:rPr>
        <w:t xml:space="preserve">), and a flexible building which can support new ways of working. This includes the trust’s ability to deliver clinics virtually, thereby </w:t>
      </w:r>
      <w:r w:rsidR="001D71F5" w:rsidRPr="00587DF1">
        <w:rPr>
          <w:rFonts w:ascii="Arial" w:eastAsia="Arial" w:hAnsi="Arial" w:cs="Arial"/>
        </w:rPr>
        <w:t xml:space="preserve">contributing to </w:t>
      </w:r>
      <w:r w:rsidRPr="00587DF1">
        <w:rPr>
          <w:rFonts w:ascii="Arial" w:eastAsia="Arial" w:hAnsi="Arial" w:cs="Arial"/>
        </w:rPr>
        <w:t xml:space="preserve">commissioner aspirations to </w:t>
      </w:r>
      <w:r w:rsidR="001D71F5" w:rsidRPr="00587DF1">
        <w:rPr>
          <w:rFonts w:ascii="Arial" w:eastAsia="Arial" w:hAnsi="Arial" w:cs="Arial"/>
        </w:rPr>
        <w:t>re-provision</w:t>
      </w:r>
      <w:r w:rsidRPr="00587DF1">
        <w:rPr>
          <w:rFonts w:ascii="Arial" w:eastAsia="Arial" w:hAnsi="Arial" w:cs="Arial"/>
        </w:rPr>
        <w:t xml:space="preserve"> activity.</w:t>
      </w:r>
    </w:p>
    <w:p w14:paraId="3CFFAB24" w14:textId="4046242D" w:rsidR="00DA17A5" w:rsidRPr="00587DF1" w:rsidRDefault="00DA17A5" w:rsidP="006872ED">
      <w:pPr>
        <w:rPr>
          <w:rFonts w:ascii="Arial" w:eastAsia="Arial" w:hAnsi="Arial" w:cs="Arial"/>
        </w:rPr>
      </w:pPr>
      <w:r>
        <w:rPr>
          <w:rFonts w:ascii="Arial" w:eastAsia="Arial" w:hAnsi="Arial" w:cs="Arial"/>
        </w:rPr>
        <w:t>In addition, additional capacity in Oriel could ease the pressure across London</w:t>
      </w:r>
      <w:r w:rsidRPr="00DA17A5">
        <w:rPr>
          <w:rFonts w:ascii="Arial" w:eastAsia="Arial" w:hAnsi="Arial" w:cs="Arial"/>
          <w:color w:val="000000"/>
        </w:rPr>
        <w:t>, particularly during winter when general acute trusts experience higher levels of unplanned care so are more likely to cancel elective ophthalmology activity.</w:t>
      </w:r>
    </w:p>
    <w:p w14:paraId="35D1D70B" w14:textId="77777777" w:rsidR="001D71F5" w:rsidRPr="00587DF1" w:rsidRDefault="001D71F5" w:rsidP="001D71F5">
      <w:pPr>
        <w:spacing w:after="0"/>
        <w:rPr>
          <w:rFonts w:ascii="Arial" w:eastAsia="Arial" w:hAnsi="Arial" w:cs="Arial"/>
          <w:b/>
          <w:bCs/>
          <w:i/>
          <w:iCs/>
          <w:color w:val="00A09D"/>
        </w:rPr>
      </w:pPr>
      <w:r w:rsidRPr="00587DF1">
        <w:rPr>
          <w:rFonts w:ascii="Arial" w:eastAsia="Arial" w:hAnsi="Arial" w:cs="Arial"/>
          <w:b/>
          <w:bCs/>
          <w:i/>
          <w:iCs/>
          <w:color w:val="00A09D"/>
        </w:rPr>
        <w:t>How do we get there?</w:t>
      </w:r>
    </w:p>
    <w:p w14:paraId="4E339BA9" w14:textId="27FA337B" w:rsidR="001D71F5" w:rsidRPr="00587DF1" w:rsidRDefault="006872ED" w:rsidP="00E66AEE">
      <w:pPr>
        <w:rPr>
          <w:rFonts w:ascii="Arial" w:eastAsia="Arial" w:hAnsi="Arial" w:cs="Arial"/>
        </w:rPr>
      </w:pPr>
      <w:r w:rsidRPr="00587DF1">
        <w:rPr>
          <w:rFonts w:ascii="Arial" w:eastAsia="Arial" w:hAnsi="Arial" w:cs="Arial"/>
        </w:rPr>
        <w:t>As stated above, additional capacity is required with the flexibility to accommodate new ways of working.</w:t>
      </w:r>
      <w:r w:rsidR="00E66AEE" w:rsidRPr="00587DF1">
        <w:rPr>
          <w:rFonts w:ascii="Arial" w:eastAsia="Arial" w:hAnsi="Arial" w:cs="Arial"/>
        </w:rPr>
        <w:t xml:space="preserve"> For example, Oriel will provide two large theatres</w:t>
      </w:r>
      <w:r w:rsidR="001D0A5D">
        <w:rPr>
          <w:rFonts w:ascii="Arial" w:eastAsia="Arial" w:hAnsi="Arial" w:cs="Arial"/>
        </w:rPr>
        <w:t xml:space="preserve"> capable of facilitating research</w:t>
      </w:r>
      <w:r w:rsidR="00E66AEE" w:rsidRPr="00587DF1">
        <w:rPr>
          <w:rFonts w:ascii="Arial" w:eastAsia="Arial" w:hAnsi="Arial" w:cs="Arial"/>
        </w:rPr>
        <w:t xml:space="preserve">, a number of smaller theatres designed for high throughput, and </w:t>
      </w:r>
      <w:r w:rsidR="00A369C0" w:rsidRPr="00587DF1">
        <w:rPr>
          <w:rFonts w:ascii="Arial" w:eastAsia="Arial" w:hAnsi="Arial" w:cs="Arial"/>
        </w:rPr>
        <w:t>procedure</w:t>
      </w:r>
      <w:r w:rsidR="00E66AEE" w:rsidRPr="00587DF1">
        <w:rPr>
          <w:rFonts w:ascii="Arial" w:eastAsia="Arial" w:hAnsi="Arial" w:cs="Arial"/>
        </w:rPr>
        <w:t xml:space="preserve"> rooms. Providing this range of types of space will give Moorfields the flexibility to accommodate large equipment and complex procedures in future, while also making efficient use of space. Similarly, outpatient rooms will be co-located and standard sizes and layouts for maximum adaptability.</w:t>
      </w:r>
    </w:p>
    <w:p w14:paraId="2CE773FE" w14:textId="77777777" w:rsidR="001D71F5" w:rsidRPr="00587DF1" w:rsidRDefault="001D71F5" w:rsidP="001D71F5">
      <w:pPr>
        <w:spacing w:after="0"/>
        <w:rPr>
          <w:rFonts w:ascii="Arial" w:eastAsia="Arial" w:hAnsi="Arial" w:cs="Arial"/>
        </w:rPr>
      </w:pPr>
      <w:r w:rsidRPr="00587DF1">
        <w:rPr>
          <w:rFonts w:ascii="Arial" w:eastAsia="Arial" w:hAnsi="Arial" w:cs="Arial"/>
          <w:b/>
          <w:bCs/>
          <w:i/>
          <w:iCs/>
          <w:color w:val="00A09D"/>
        </w:rPr>
        <w:t>What will be the benefits?</w:t>
      </w:r>
    </w:p>
    <w:p w14:paraId="4659A9B2" w14:textId="77777777" w:rsidR="001D71F5" w:rsidRPr="00587DF1" w:rsidRDefault="00E66AEE" w:rsidP="00E47761">
      <w:pPr>
        <w:spacing w:after="0"/>
        <w:rPr>
          <w:rFonts w:ascii="Arial" w:eastAsia="Arial" w:hAnsi="Arial" w:cs="Arial"/>
        </w:rPr>
      </w:pPr>
      <w:r w:rsidRPr="00587DF1">
        <w:rPr>
          <w:rFonts w:ascii="Arial" w:eastAsia="Arial" w:hAnsi="Arial" w:cs="Arial"/>
        </w:rPr>
        <w:t>The new building will have the ability to support increasing demand and changing service models.</w:t>
      </w:r>
    </w:p>
    <w:p w14:paraId="78CFE402" w14:textId="77777777" w:rsidR="001D71F5" w:rsidRPr="00587DF1" w:rsidRDefault="001D71F5" w:rsidP="00E47761">
      <w:pPr>
        <w:spacing w:after="0"/>
        <w:rPr>
          <w:rFonts w:ascii="Arial" w:eastAsia="Arial" w:hAnsi="Arial" w:cs="Arial"/>
        </w:rPr>
      </w:pPr>
    </w:p>
    <w:p w14:paraId="5A6B1277" w14:textId="77777777" w:rsidR="00E66AEE" w:rsidRPr="00587DF1" w:rsidRDefault="00E66AEE" w:rsidP="00E47761">
      <w:pPr>
        <w:spacing w:after="0"/>
        <w:rPr>
          <w:rFonts w:ascii="Arial" w:eastAsia="Arial" w:hAnsi="Arial" w:cs="Arial"/>
        </w:rPr>
      </w:pPr>
    </w:p>
    <w:p w14:paraId="58B0553E" w14:textId="4E996DF2" w:rsidR="001D71F5" w:rsidRPr="00587DF1" w:rsidRDefault="001D71F5" w:rsidP="005E0D57">
      <w:pPr>
        <w:pStyle w:val="Heading2"/>
        <w:numPr>
          <w:ilvl w:val="2"/>
          <w:numId w:val="1"/>
        </w:numPr>
        <w:rPr>
          <w:rFonts w:ascii="Arial" w:eastAsia="Arial" w:hAnsi="Arial" w:cs="Arial"/>
          <w:sz w:val="22"/>
          <w:szCs w:val="22"/>
        </w:rPr>
      </w:pPr>
      <w:bookmarkStart w:id="112" w:name="_Ref24692797"/>
      <w:bookmarkStart w:id="113" w:name="_Toc27129268"/>
      <w:bookmarkStart w:id="114" w:name="_Toc27746669"/>
      <w:bookmarkStart w:id="115" w:name="_Toc30168734"/>
      <w:bookmarkStart w:id="116" w:name="_Toc30670670"/>
      <w:bookmarkStart w:id="117" w:name="_Toc32842689"/>
      <w:r w:rsidRPr="00587DF1">
        <w:rPr>
          <w:rFonts w:ascii="Arial" w:eastAsia="Arial" w:hAnsi="Arial" w:cs="Arial"/>
          <w:sz w:val="22"/>
          <w:szCs w:val="22"/>
        </w:rPr>
        <w:t>Opportunity to improve research</w:t>
      </w:r>
      <w:bookmarkEnd w:id="112"/>
      <w:bookmarkEnd w:id="113"/>
      <w:bookmarkEnd w:id="114"/>
      <w:bookmarkEnd w:id="115"/>
      <w:bookmarkEnd w:id="116"/>
      <w:bookmarkEnd w:id="117"/>
      <w:r w:rsidR="00616936">
        <w:rPr>
          <w:rFonts w:ascii="Arial" w:eastAsia="Arial" w:hAnsi="Arial" w:cs="Arial"/>
          <w:sz w:val="22"/>
          <w:szCs w:val="22"/>
        </w:rPr>
        <w:t xml:space="preserve"> through integration</w:t>
      </w:r>
    </w:p>
    <w:p w14:paraId="7FC30895" w14:textId="6BB70636" w:rsidR="001D71F5" w:rsidRPr="00587DF1" w:rsidRDefault="00044DCA" w:rsidP="001D71F5">
      <w:pPr>
        <w:spacing w:after="0"/>
        <w:rPr>
          <w:rFonts w:ascii="Arial" w:eastAsia="Arial" w:hAnsi="Arial" w:cs="Arial"/>
          <w:b/>
          <w:bCs/>
          <w:i/>
          <w:iCs/>
        </w:rPr>
      </w:pPr>
      <w:r w:rsidRPr="00587DF1">
        <w:rPr>
          <w:rFonts w:ascii="Arial" w:eastAsia="Arial" w:hAnsi="Arial" w:cs="Arial"/>
          <w:i/>
          <w:iCs/>
        </w:rPr>
        <w:t>This specifically relates to objective 2</w:t>
      </w:r>
      <w:r w:rsidR="00A369C0" w:rsidRPr="00587DF1">
        <w:rPr>
          <w:rFonts w:ascii="Arial" w:eastAsia="Arial" w:hAnsi="Arial" w:cs="Arial"/>
          <w:i/>
          <w:iCs/>
        </w:rPr>
        <w:t xml:space="preserve"> (</w:t>
      </w:r>
      <w:r w:rsidR="00A369C0" w:rsidRPr="00587DF1">
        <w:rPr>
          <w:rFonts w:ascii="Arial" w:eastAsia="Arial" w:hAnsi="Arial" w:cs="Arial"/>
          <w:i/>
          <w:iCs/>
        </w:rPr>
        <w:fldChar w:fldCharType="begin"/>
      </w:r>
      <w:r w:rsidR="00A369C0" w:rsidRPr="00587DF1">
        <w:rPr>
          <w:rFonts w:ascii="Arial" w:eastAsia="Arial" w:hAnsi="Arial" w:cs="Arial"/>
          <w:i/>
          <w:iCs/>
        </w:rPr>
        <w:instrText xml:space="preserve"> REF _Ref24984658 \h  \* MERGEFORMAT </w:instrText>
      </w:r>
      <w:r w:rsidR="00A369C0" w:rsidRPr="00587DF1">
        <w:rPr>
          <w:rFonts w:ascii="Arial" w:eastAsia="Arial" w:hAnsi="Arial" w:cs="Arial"/>
          <w:i/>
          <w:iCs/>
        </w:rPr>
      </w:r>
      <w:r w:rsidR="00A369C0" w:rsidRPr="00587DF1">
        <w:rPr>
          <w:rFonts w:ascii="Arial" w:eastAsia="Arial" w:hAnsi="Arial" w:cs="Arial"/>
          <w:i/>
          <w:iCs/>
        </w:rPr>
        <w:fldChar w:fldCharType="separate"/>
      </w:r>
      <w:r w:rsidR="00A936CD" w:rsidRPr="00A936CD">
        <w:rPr>
          <w:rFonts w:ascii="Arial" w:eastAsia="Arial" w:hAnsi="Arial" w:cs="Arial"/>
          <w:i/>
          <w:iCs/>
        </w:rPr>
        <w:t>Table 11</w:t>
      </w:r>
      <w:r w:rsidR="00A369C0" w:rsidRPr="00587DF1">
        <w:rPr>
          <w:rFonts w:ascii="Arial" w:eastAsia="Arial" w:hAnsi="Arial" w:cs="Arial"/>
          <w:i/>
          <w:iCs/>
        </w:rPr>
        <w:fldChar w:fldCharType="end"/>
      </w:r>
      <w:r w:rsidR="00A369C0" w:rsidRPr="00587DF1">
        <w:rPr>
          <w:rFonts w:ascii="Arial" w:eastAsia="Arial" w:hAnsi="Arial" w:cs="Arial"/>
          <w:i/>
          <w:iCs/>
        </w:rPr>
        <w:t>)</w:t>
      </w:r>
      <w:r w:rsidRPr="00587DF1">
        <w:rPr>
          <w:rFonts w:ascii="Arial" w:eastAsia="Arial" w:hAnsi="Arial" w:cs="Arial"/>
          <w:i/>
          <w:iCs/>
        </w:rPr>
        <w:t>.</w:t>
      </w:r>
    </w:p>
    <w:p w14:paraId="782D2CE5" w14:textId="77777777" w:rsidR="00044DCA" w:rsidRPr="00587DF1" w:rsidRDefault="00044DCA" w:rsidP="001D71F5">
      <w:pPr>
        <w:spacing w:after="0"/>
        <w:rPr>
          <w:rFonts w:ascii="Arial" w:eastAsia="Arial" w:hAnsi="Arial" w:cs="Arial"/>
          <w:b/>
          <w:bCs/>
          <w:i/>
          <w:iCs/>
        </w:rPr>
      </w:pPr>
    </w:p>
    <w:p w14:paraId="78203544" w14:textId="77777777" w:rsidR="001D71F5" w:rsidRPr="00587DF1" w:rsidRDefault="001D71F5" w:rsidP="001D71F5">
      <w:pPr>
        <w:spacing w:after="0"/>
        <w:rPr>
          <w:rFonts w:ascii="Arial" w:eastAsia="Arial" w:hAnsi="Arial" w:cs="Arial"/>
          <w:b/>
          <w:bCs/>
          <w:i/>
          <w:iCs/>
          <w:color w:val="00A09D"/>
        </w:rPr>
      </w:pPr>
      <w:r w:rsidRPr="00587DF1">
        <w:rPr>
          <w:rFonts w:ascii="Arial" w:eastAsia="Arial" w:hAnsi="Arial" w:cs="Arial"/>
          <w:b/>
          <w:bCs/>
          <w:i/>
          <w:iCs/>
          <w:color w:val="00A09D"/>
        </w:rPr>
        <w:t>Where are we now?</w:t>
      </w:r>
    </w:p>
    <w:p w14:paraId="06A85716" w14:textId="3DD6660F" w:rsidR="001D71F5" w:rsidRPr="00587DF1" w:rsidRDefault="001D71F5" w:rsidP="006872ED">
      <w:pPr>
        <w:spacing w:after="0"/>
        <w:rPr>
          <w:rFonts w:ascii="Arial" w:eastAsia="Arial" w:hAnsi="Arial" w:cs="Arial"/>
        </w:rPr>
      </w:pPr>
      <w:bookmarkStart w:id="118" w:name="_Hlk27136498"/>
      <w:r w:rsidRPr="00587DF1">
        <w:rPr>
          <w:rFonts w:ascii="Arial" w:eastAsia="Arial" w:hAnsi="Arial" w:cs="Arial"/>
        </w:rPr>
        <w:lastRenderedPageBreak/>
        <w:t>Moorfields and UCL IoO currently operate from separate buildings on the City Road campus</w:t>
      </w:r>
      <w:r w:rsidR="006872ED" w:rsidRPr="00587DF1">
        <w:rPr>
          <w:rFonts w:ascii="Arial" w:eastAsia="Arial" w:hAnsi="Arial" w:cs="Arial"/>
        </w:rPr>
        <w:t xml:space="preserve">, which is </w:t>
      </w:r>
      <w:r w:rsidRPr="00587DF1">
        <w:rPr>
          <w:rFonts w:ascii="Arial" w:eastAsia="Arial" w:hAnsi="Arial" w:cs="Arial"/>
        </w:rPr>
        <w:t>not conducive to collaborative working.</w:t>
      </w:r>
      <w:bookmarkEnd w:id="118"/>
      <w:r w:rsidRPr="00587DF1">
        <w:rPr>
          <w:rFonts w:ascii="Arial" w:eastAsia="Arial" w:hAnsi="Arial" w:cs="Arial"/>
        </w:rPr>
        <w:t xml:space="preserve"> Teams work in labs and offices which are separate from each other, with no communal spaces to meet and discuss their areas of research. </w:t>
      </w:r>
      <w:bookmarkStart w:id="119" w:name="_Hlk27136508"/>
      <w:r w:rsidRPr="00587DF1">
        <w:rPr>
          <w:rFonts w:ascii="Arial" w:eastAsia="Arial" w:hAnsi="Arial" w:cs="Arial"/>
        </w:rPr>
        <w:t xml:space="preserve">Research is therefore often undertaken in silos, making relatively little use of expertise and knowledge from other teams. </w:t>
      </w:r>
      <w:bookmarkEnd w:id="119"/>
      <w:r w:rsidRPr="00587DF1">
        <w:rPr>
          <w:rFonts w:ascii="Arial" w:eastAsia="Arial" w:hAnsi="Arial" w:cs="Arial"/>
        </w:rPr>
        <w:t xml:space="preserve">In addition, the separation of the IoO and Moorfields buildings means collaboration between clinicians and researchers is minimal. </w:t>
      </w:r>
      <w:bookmarkStart w:id="120" w:name="_Hlk27136516"/>
      <w:r w:rsidRPr="00587DF1">
        <w:rPr>
          <w:rFonts w:ascii="Arial" w:eastAsia="Arial" w:hAnsi="Arial" w:cs="Arial"/>
        </w:rPr>
        <w:t xml:space="preserve">Clinical trials are often undertaken with a ‘research first’ rather than a ‘patient first’ approach. </w:t>
      </w:r>
      <w:bookmarkEnd w:id="120"/>
      <w:r w:rsidRPr="00587DF1">
        <w:rPr>
          <w:rFonts w:ascii="Arial" w:eastAsia="Arial" w:hAnsi="Arial" w:cs="Arial"/>
        </w:rPr>
        <w:t xml:space="preserve">Experience has shown that where small teams </w:t>
      </w:r>
      <w:r w:rsidR="00AE22D1">
        <w:rPr>
          <w:rFonts w:ascii="Arial" w:eastAsia="Arial" w:hAnsi="Arial" w:cs="Arial"/>
        </w:rPr>
        <w:t>of</w:t>
      </w:r>
      <w:r w:rsidRPr="00587DF1">
        <w:rPr>
          <w:rFonts w:ascii="Arial" w:eastAsia="Arial" w:hAnsi="Arial" w:cs="Arial"/>
        </w:rPr>
        <w:t xml:space="preserve"> clinicians and scientists work together to tackle problems, the results can be spectacular</w:t>
      </w:r>
      <w:r w:rsidRPr="00587DF1">
        <w:rPr>
          <w:rStyle w:val="FootnoteReference"/>
          <w:rFonts w:ascii="Arial" w:eastAsia="Arial" w:hAnsi="Arial" w:cs="Arial"/>
        </w:rPr>
        <w:footnoteReference w:id="6"/>
      </w:r>
      <w:r w:rsidRPr="00587DF1">
        <w:rPr>
          <w:rFonts w:ascii="Arial" w:eastAsia="Arial" w:hAnsi="Arial" w:cs="Arial"/>
        </w:rPr>
        <w:t xml:space="preserve">. </w:t>
      </w:r>
    </w:p>
    <w:p w14:paraId="03219155" w14:textId="77777777" w:rsidR="001D71F5" w:rsidRPr="00587DF1" w:rsidRDefault="001D71F5" w:rsidP="001D71F5">
      <w:pPr>
        <w:spacing w:after="0"/>
        <w:rPr>
          <w:rFonts w:ascii="Arial" w:eastAsia="Arial" w:hAnsi="Arial" w:cs="Arial"/>
          <w:b/>
          <w:bCs/>
          <w:i/>
          <w:iCs/>
          <w:color w:val="00A09D"/>
        </w:rPr>
      </w:pPr>
    </w:p>
    <w:p w14:paraId="39D10F0B" w14:textId="68BC53E8" w:rsidR="001D71F5" w:rsidRPr="00587DF1" w:rsidRDefault="001D71F5" w:rsidP="001D71F5">
      <w:pPr>
        <w:spacing w:after="0"/>
        <w:rPr>
          <w:rFonts w:ascii="Arial" w:eastAsia="Arial" w:hAnsi="Arial" w:cs="Arial"/>
          <w:b/>
          <w:bCs/>
          <w:i/>
          <w:iCs/>
          <w:color w:val="00A09D"/>
        </w:rPr>
      </w:pPr>
      <w:r w:rsidRPr="00587DF1">
        <w:rPr>
          <w:rFonts w:ascii="Arial" w:eastAsia="Arial" w:hAnsi="Arial" w:cs="Arial"/>
        </w:rPr>
        <w:t>The lack of integration between research and service delivery within the current facilities is also a barrier to increasing patient engagement and participation</w:t>
      </w:r>
      <w:r w:rsidR="00AE22D1">
        <w:rPr>
          <w:rFonts w:ascii="Arial" w:eastAsia="Arial" w:hAnsi="Arial" w:cs="Arial"/>
        </w:rPr>
        <w:t xml:space="preserve"> in research</w:t>
      </w:r>
      <w:r w:rsidRPr="00587DF1">
        <w:rPr>
          <w:rFonts w:ascii="Arial" w:eastAsia="Arial" w:hAnsi="Arial" w:cs="Arial"/>
        </w:rPr>
        <w:t xml:space="preserve">. Currently, </w:t>
      </w:r>
      <w:r w:rsidR="00AE22D1">
        <w:rPr>
          <w:rFonts w:ascii="Arial" w:eastAsia="Arial" w:hAnsi="Arial" w:cs="Arial"/>
        </w:rPr>
        <w:t>under 5</w:t>
      </w:r>
      <w:r w:rsidRPr="00587DF1">
        <w:rPr>
          <w:rFonts w:ascii="Arial" w:eastAsia="Arial" w:hAnsi="Arial" w:cs="Arial"/>
        </w:rPr>
        <w:t xml:space="preserve">% of patients are able to participate in clinical research. </w:t>
      </w:r>
    </w:p>
    <w:p w14:paraId="243AF670" w14:textId="77777777" w:rsidR="001D71F5" w:rsidRPr="00587DF1" w:rsidRDefault="001D71F5" w:rsidP="001D71F5">
      <w:pPr>
        <w:spacing w:after="0"/>
        <w:rPr>
          <w:rFonts w:ascii="Arial" w:eastAsia="Arial" w:hAnsi="Arial" w:cs="Arial"/>
        </w:rPr>
      </w:pPr>
    </w:p>
    <w:p w14:paraId="050CDE37" w14:textId="77777777" w:rsidR="001D71F5" w:rsidRPr="00587DF1" w:rsidRDefault="001D71F5" w:rsidP="001D71F5">
      <w:pPr>
        <w:spacing w:after="0"/>
        <w:rPr>
          <w:rFonts w:ascii="Arial" w:eastAsia="Arial" w:hAnsi="Arial" w:cs="Arial"/>
          <w:color w:val="00A09D"/>
        </w:rPr>
      </w:pPr>
      <w:r w:rsidRPr="00587DF1">
        <w:rPr>
          <w:rFonts w:ascii="Arial" w:eastAsia="Arial" w:hAnsi="Arial" w:cs="Arial"/>
          <w:b/>
          <w:bCs/>
          <w:i/>
          <w:iCs/>
          <w:color w:val="00A09D"/>
        </w:rPr>
        <w:t>Where do we want to be?</w:t>
      </w:r>
      <w:r w:rsidRPr="00587DF1">
        <w:rPr>
          <w:rFonts w:ascii="Arial" w:eastAsia="Arial" w:hAnsi="Arial" w:cs="Arial"/>
          <w:color w:val="00A09D"/>
        </w:rPr>
        <w:t xml:space="preserve"> </w:t>
      </w:r>
    </w:p>
    <w:p w14:paraId="59B587F2" w14:textId="77777777" w:rsidR="001D71F5" w:rsidRPr="00587DF1" w:rsidRDefault="006872ED" w:rsidP="001D71F5">
      <w:pPr>
        <w:rPr>
          <w:rFonts w:ascii="Arial" w:eastAsia="Arial" w:hAnsi="Arial" w:cs="Arial"/>
        </w:rPr>
      </w:pPr>
      <w:r w:rsidRPr="00587DF1">
        <w:rPr>
          <w:rFonts w:ascii="Arial" w:eastAsia="Arial" w:hAnsi="Arial" w:cs="Arial"/>
        </w:rPr>
        <w:t>T</w:t>
      </w:r>
      <w:r w:rsidR="001D71F5" w:rsidRPr="00587DF1">
        <w:rPr>
          <w:rFonts w:ascii="Arial" w:eastAsia="Arial" w:hAnsi="Arial" w:cs="Arial"/>
        </w:rPr>
        <w:t>he partners’ aim is to continue to be world-leading in eye-disorder prevention and treatment using a translational model of research and care. Key enablers to this will be enhanced facilities, optimised integration between university and healthcare space, and proximity to key departments within UCL and other collaborators.</w:t>
      </w:r>
    </w:p>
    <w:p w14:paraId="242D2FF3" w14:textId="77777777" w:rsidR="001D71F5" w:rsidRPr="00587DF1" w:rsidRDefault="001D71F5" w:rsidP="001D71F5">
      <w:pPr>
        <w:rPr>
          <w:rFonts w:ascii="Arial" w:eastAsia="Arial" w:hAnsi="Arial" w:cs="Arial"/>
        </w:rPr>
      </w:pPr>
      <w:bookmarkStart w:id="121" w:name="_Hlk27135157"/>
      <w:r w:rsidRPr="00587DF1">
        <w:rPr>
          <w:rFonts w:ascii="Arial" w:eastAsia="Arial" w:hAnsi="Arial" w:cs="Arial"/>
        </w:rPr>
        <w:t xml:space="preserve">A key aspiration for the partnership is to implement a model of bench-to-bedside translational medicine. The principles of translational research span the fields of research, education and clinical care. It is recognised as a highly effective process by leading global healthcare and research institutions. Translational research provides a continuum of innovative research, education and clinical care with the aim of increasing the scale and speed of progress from scientific discovery to clinical practice, improving clinical outcomes for patients. </w:t>
      </w:r>
    </w:p>
    <w:bookmarkEnd w:id="121"/>
    <w:p w14:paraId="7495395E" w14:textId="77777777" w:rsidR="001D71F5" w:rsidRPr="00587DF1" w:rsidRDefault="001D71F5" w:rsidP="001D71F5">
      <w:pPr>
        <w:rPr>
          <w:rFonts w:ascii="Arial" w:eastAsia="Arial" w:hAnsi="Arial" w:cs="Arial"/>
        </w:rPr>
      </w:pPr>
      <w:r w:rsidRPr="00587DF1">
        <w:rPr>
          <w:rFonts w:ascii="Arial" w:eastAsia="Arial" w:hAnsi="Arial" w:cs="Arial"/>
        </w:rPr>
        <w:t>While the partnership is ranked the world leader in the field of ophthalmology, it must constantly evolve in order to maintain this position in the light of an increasingly competitive global translational research arena. The partnership’s estate at City Road significantly limits the ability of the partners to continue delivering excellence due to the constraints of estate layout, the location and separation of the buildings, and the lack of space for growth.</w:t>
      </w:r>
    </w:p>
    <w:p w14:paraId="1BC6BEEA" w14:textId="77777777" w:rsidR="001D71F5" w:rsidRPr="00587DF1" w:rsidRDefault="001D71F5" w:rsidP="001D71F5">
      <w:pPr>
        <w:spacing w:after="0"/>
        <w:rPr>
          <w:rFonts w:ascii="Arial" w:eastAsia="Arial" w:hAnsi="Arial" w:cs="Arial"/>
          <w:b/>
          <w:bCs/>
          <w:i/>
          <w:iCs/>
          <w:color w:val="00A09D"/>
        </w:rPr>
      </w:pPr>
      <w:r w:rsidRPr="00587DF1">
        <w:rPr>
          <w:rFonts w:ascii="Arial" w:eastAsia="Arial" w:hAnsi="Arial" w:cs="Arial"/>
          <w:b/>
          <w:bCs/>
          <w:i/>
          <w:iCs/>
          <w:color w:val="00A09D"/>
        </w:rPr>
        <w:t>How do we get there?</w:t>
      </w:r>
    </w:p>
    <w:p w14:paraId="3296E2E9" w14:textId="77777777" w:rsidR="001D71F5" w:rsidRPr="00587DF1" w:rsidRDefault="001D71F5" w:rsidP="001D71F5">
      <w:pPr>
        <w:rPr>
          <w:rFonts w:ascii="Arial" w:eastAsia="Arial" w:hAnsi="Arial" w:cs="Arial"/>
        </w:rPr>
      </w:pPr>
      <w:r w:rsidRPr="00587DF1">
        <w:rPr>
          <w:rFonts w:ascii="Arial" w:eastAsia="Arial" w:hAnsi="Arial" w:cs="Arial"/>
        </w:rPr>
        <w:t>The design of the new building will foster development of interactions and relationships, leading to short-term problem-solving and long-term creation of future generations of investigators. The new building will also support administrative integration, improving efficiency and making it easier to lower barriers to discovery and innovation.</w:t>
      </w:r>
    </w:p>
    <w:p w14:paraId="618BDE8F" w14:textId="77777777" w:rsidR="001D71F5" w:rsidRPr="00587DF1" w:rsidRDefault="001D71F5" w:rsidP="001D71F5">
      <w:pPr>
        <w:rPr>
          <w:rFonts w:ascii="Arial" w:eastAsia="Arial" w:hAnsi="Arial" w:cs="Arial"/>
        </w:rPr>
      </w:pPr>
      <w:r w:rsidRPr="00587DF1">
        <w:rPr>
          <w:rFonts w:ascii="Arial" w:eastAsia="Arial" w:hAnsi="Arial" w:cs="Arial"/>
        </w:rPr>
        <w:t xml:space="preserve">To deliver aspirations around translational research, the partners must remove the physical barriers that currently exist and create an environment where innovation will flourish. A </w:t>
      </w:r>
      <w:r w:rsidRPr="00587DF1">
        <w:rPr>
          <w:rFonts w:ascii="Arial" w:eastAsia="Arial" w:hAnsi="Arial" w:cs="Arial"/>
        </w:rPr>
        <w:lastRenderedPageBreak/>
        <w:t>translational model will reduce the time taken to implement new treatments and therapies and increase the number of patients taking part in clinical trials, further improving their clinical outcomes. In addition, the new building will be configured to deliver education programmes to not only academic and healthcare professional communities, but also members of the public including patients and their carers.</w:t>
      </w:r>
    </w:p>
    <w:p w14:paraId="4DE5EC97" w14:textId="77777777" w:rsidR="001D71F5" w:rsidRPr="00587DF1" w:rsidRDefault="001D71F5" w:rsidP="001D71F5">
      <w:pPr>
        <w:rPr>
          <w:rFonts w:ascii="Arial" w:eastAsia="Arial" w:hAnsi="Arial" w:cs="Arial"/>
        </w:rPr>
      </w:pPr>
      <w:r w:rsidRPr="00587DF1">
        <w:rPr>
          <w:rFonts w:ascii="Arial" w:eastAsia="Arial" w:hAnsi="Arial" w:cs="Arial"/>
        </w:rPr>
        <w:t>The trust and UCL need additional physical capability to involve many more patients in research and clinical trials, and integrated facilities supporting close collaboration between research and clinical staff. Additional capacity would also be required to partner with commercial pharmaceutical companies, with associated revenue implications.</w:t>
      </w:r>
    </w:p>
    <w:p w14:paraId="08B23221" w14:textId="77777777" w:rsidR="001D71F5" w:rsidRPr="00587DF1" w:rsidRDefault="001D71F5" w:rsidP="001D71F5">
      <w:pPr>
        <w:rPr>
          <w:rFonts w:ascii="Arial" w:eastAsia="Arial" w:hAnsi="Arial" w:cs="Arial"/>
        </w:rPr>
      </w:pPr>
      <w:r w:rsidRPr="00587DF1">
        <w:rPr>
          <w:rFonts w:ascii="Arial" w:eastAsia="Arial" w:hAnsi="Arial" w:cs="Arial"/>
        </w:rPr>
        <w:t xml:space="preserve">Re-location to St Pancras would also place the partners in closer proximity to the London Knowledge Quarter, located around </w:t>
      </w:r>
      <w:r w:rsidRPr="00587DF1">
        <w:rPr>
          <w:rFonts w:ascii="Arial" w:hAnsi="Arial" w:cs="Arial"/>
          <w:color w:val="000000"/>
          <w:shd w:val="clear" w:color="auto" w:fill="FFFFFF"/>
        </w:rPr>
        <w:t xml:space="preserve">King’s Cross, the Euston Road and Bloomsbury. This </w:t>
      </w:r>
      <w:r w:rsidRPr="00587DF1">
        <w:rPr>
          <w:rFonts w:ascii="Arial" w:eastAsia="Arial" w:hAnsi="Arial" w:cs="Arial"/>
        </w:rPr>
        <w:t xml:space="preserve">incorporates </w:t>
      </w:r>
      <w:r w:rsidRPr="00587DF1">
        <w:rPr>
          <w:rFonts w:ascii="Arial" w:hAnsi="Arial" w:cs="Arial"/>
          <w:color w:val="0D0D0D" w:themeColor="text1" w:themeTint="F2"/>
        </w:rPr>
        <w:t>the Farr, the Alan Turing Institute and the Crick, as well as</w:t>
      </w:r>
      <w:r w:rsidRPr="00587DF1">
        <w:rPr>
          <w:rFonts w:ascii="Arial" w:eastAsia="Arial" w:hAnsi="Arial" w:cs="Arial"/>
        </w:rPr>
        <w:t xml:space="preserve"> the UCL Bloomsbury campus, providing IoO researchers with more immediate access to state-of-the-art technologies and an expanded network of expertise.</w:t>
      </w:r>
    </w:p>
    <w:p w14:paraId="3739C43A" w14:textId="77777777" w:rsidR="001D71F5" w:rsidRPr="00587DF1" w:rsidRDefault="001D71F5" w:rsidP="001D71F5">
      <w:pPr>
        <w:spacing w:after="0"/>
        <w:rPr>
          <w:rFonts w:ascii="Arial" w:eastAsia="Arial" w:hAnsi="Arial" w:cs="Arial"/>
          <w:b/>
          <w:bCs/>
          <w:i/>
          <w:iCs/>
          <w:color w:val="00A09D"/>
        </w:rPr>
      </w:pPr>
      <w:r w:rsidRPr="00587DF1">
        <w:rPr>
          <w:rFonts w:ascii="Arial" w:eastAsia="Arial" w:hAnsi="Arial" w:cs="Arial"/>
          <w:b/>
          <w:bCs/>
          <w:i/>
          <w:iCs/>
          <w:color w:val="00A09D"/>
        </w:rPr>
        <w:t>What will be the benefits?</w:t>
      </w:r>
    </w:p>
    <w:p w14:paraId="3E29AD4D" w14:textId="77777777" w:rsidR="001D71F5" w:rsidRPr="00587DF1" w:rsidRDefault="001D71F5" w:rsidP="001D71F5">
      <w:pPr>
        <w:rPr>
          <w:rFonts w:ascii="Arial" w:eastAsia="Arial" w:hAnsi="Arial" w:cs="Arial"/>
        </w:rPr>
      </w:pPr>
      <w:r w:rsidRPr="00587DF1">
        <w:rPr>
          <w:rFonts w:ascii="Arial" w:eastAsia="Arial" w:hAnsi="Arial" w:cs="Arial"/>
        </w:rPr>
        <w:t>Increasing patient participation in research would have a positive impact on patient outcomes and allow the more rapid progression of innovation in treatment into the mainstream for the benefit of all patients.</w:t>
      </w:r>
    </w:p>
    <w:p w14:paraId="5FEA40B5" w14:textId="77777777" w:rsidR="001D71F5" w:rsidRPr="00587DF1" w:rsidRDefault="00E66AEE" w:rsidP="00786989">
      <w:pPr>
        <w:spacing w:after="0"/>
        <w:rPr>
          <w:rFonts w:ascii="Arial" w:eastAsia="Arial" w:hAnsi="Arial" w:cs="Arial"/>
        </w:rPr>
      </w:pPr>
      <w:r w:rsidRPr="00587DF1">
        <w:rPr>
          <w:rFonts w:ascii="Arial" w:eastAsia="Arial" w:hAnsi="Arial" w:cs="Arial"/>
        </w:rPr>
        <w:t>True integration between Moorfields and UCL IoO will m</w:t>
      </w:r>
      <w:r w:rsidR="00044DCA" w:rsidRPr="00587DF1">
        <w:rPr>
          <w:rFonts w:ascii="Arial" w:eastAsia="Arial" w:hAnsi="Arial" w:cs="Arial"/>
        </w:rPr>
        <w:t>aximise the opportunity to undertake and translate discovery research through experimental medicine studies and trials in patients, leading to new diagnostics and new therapies</w:t>
      </w:r>
      <w:r w:rsidRPr="00587DF1">
        <w:rPr>
          <w:rFonts w:ascii="Arial" w:eastAsia="Arial" w:hAnsi="Arial" w:cs="Arial"/>
        </w:rPr>
        <w:t>. The exact nature of these developments cannot be predicted, but investment will contribute to the ultimate goal of reducing sight-loss, with benefits both for patients and the health economy.</w:t>
      </w:r>
    </w:p>
    <w:p w14:paraId="38C14283" w14:textId="77777777" w:rsidR="00786989" w:rsidRPr="00587DF1" w:rsidRDefault="00786989" w:rsidP="00E66AEE">
      <w:pPr>
        <w:rPr>
          <w:rFonts w:ascii="Arial" w:eastAsia="Arial" w:hAnsi="Arial" w:cs="Arial"/>
        </w:rPr>
      </w:pPr>
    </w:p>
    <w:p w14:paraId="69215E80" w14:textId="5750E2F7" w:rsidR="001D71F5" w:rsidRPr="00587DF1" w:rsidRDefault="001D71F5" w:rsidP="005E0D57">
      <w:pPr>
        <w:pStyle w:val="Heading2"/>
        <w:numPr>
          <w:ilvl w:val="2"/>
          <w:numId w:val="1"/>
        </w:numPr>
        <w:rPr>
          <w:rFonts w:ascii="Arial" w:eastAsia="Arial" w:hAnsi="Arial" w:cs="Arial"/>
          <w:sz w:val="22"/>
          <w:szCs w:val="22"/>
        </w:rPr>
      </w:pPr>
      <w:bookmarkStart w:id="122" w:name="_Toc27129269"/>
      <w:bookmarkStart w:id="123" w:name="_Ref27743496"/>
      <w:bookmarkStart w:id="124" w:name="_Toc27746670"/>
      <w:bookmarkStart w:id="125" w:name="_Toc30168735"/>
      <w:bookmarkStart w:id="126" w:name="_Toc30670671"/>
      <w:bookmarkStart w:id="127" w:name="_Toc32842690"/>
      <w:r w:rsidRPr="00587DF1">
        <w:rPr>
          <w:rFonts w:ascii="Arial" w:eastAsia="Arial" w:hAnsi="Arial" w:cs="Arial"/>
          <w:sz w:val="22"/>
          <w:szCs w:val="22"/>
        </w:rPr>
        <w:t>Opportunity to improve education</w:t>
      </w:r>
      <w:bookmarkEnd w:id="122"/>
      <w:bookmarkEnd w:id="123"/>
      <w:bookmarkEnd w:id="124"/>
      <w:bookmarkEnd w:id="125"/>
      <w:bookmarkEnd w:id="126"/>
      <w:bookmarkEnd w:id="127"/>
      <w:r w:rsidR="00616936">
        <w:rPr>
          <w:rFonts w:ascii="Arial" w:eastAsia="Arial" w:hAnsi="Arial" w:cs="Arial"/>
          <w:sz w:val="22"/>
          <w:szCs w:val="22"/>
        </w:rPr>
        <w:t xml:space="preserve"> through integration</w:t>
      </w:r>
    </w:p>
    <w:p w14:paraId="40333635" w14:textId="44C6199B" w:rsidR="001D71F5" w:rsidRPr="00587DF1" w:rsidRDefault="00044DCA" w:rsidP="001D71F5">
      <w:pPr>
        <w:spacing w:after="0"/>
        <w:rPr>
          <w:rFonts w:ascii="Arial" w:eastAsia="Arial" w:hAnsi="Arial" w:cs="Arial"/>
          <w:b/>
          <w:bCs/>
          <w:i/>
          <w:iCs/>
        </w:rPr>
      </w:pPr>
      <w:r w:rsidRPr="00587DF1">
        <w:rPr>
          <w:rFonts w:ascii="Arial" w:eastAsia="Arial" w:hAnsi="Arial" w:cs="Arial"/>
          <w:i/>
          <w:iCs/>
        </w:rPr>
        <w:t>This specifically relates to objective 3</w:t>
      </w:r>
      <w:r w:rsidR="00667468" w:rsidRPr="00587DF1">
        <w:rPr>
          <w:rFonts w:ascii="Arial" w:eastAsia="Arial" w:hAnsi="Arial" w:cs="Arial"/>
          <w:i/>
          <w:iCs/>
        </w:rPr>
        <w:t xml:space="preserve"> (</w:t>
      </w:r>
      <w:r w:rsidR="00667468" w:rsidRPr="00587DF1">
        <w:rPr>
          <w:rFonts w:ascii="Arial" w:eastAsia="Arial" w:hAnsi="Arial" w:cs="Arial"/>
          <w:i/>
          <w:iCs/>
        </w:rPr>
        <w:fldChar w:fldCharType="begin"/>
      </w:r>
      <w:r w:rsidR="00667468" w:rsidRPr="00587DF1">
        <w:rPr>
          <w:rFonts w:ascii="Arial" w:eastAsia="Arial" w:hAnsi="Arial" w:cs="Arial"/>
          <w:i/>
          <w:iCs/>
        </w:rPr>
        <w:instrText xml:space="preserve"> REF _Ref24984658 \h  \* MERGEFORMAT </w:instrText>
      </w:r>
      <w:r w:rsidR="00667468" w:rsidRPr="00587DF1">
        <w:rPr>
          <w:rFonts w:ascii="Arial" w:eastAsia="Arial" w:hAnsi="Arial" w:cs="Arial"/>
          <w:i/>
          <w:iCs/>
        </w:rPr>
      </w:r>
      <w:r w:rsidR="00667468" w:rsidRPr="00587DF1">
        <w:rPr>
          <w:rFonts w:ascii="Arial" w:eastAsia="Arial" w:hAnsi="Arial" w:cs="Arial"/>
          <w:i/>
          <w:iCs/>
        </w:rPr>
        <w:fldChar w:fldCharType="separate"/>
      </w:r>
      <w:r w:rsidR="00A936CD" w:rsidRPr="00A936CD">
        <w:rPr>
          <w:rFonts w:ascii="Arial" w:eastAsia="Arial" w:hAnsi="Arial" w:cs="Arial"/>
          <w:i/>
          <w:iCs/>
        </w:rPr>
        <w:t>Table 11</w:t>
      </w:r>
      <w:r w:rsidR="00667468" w:rsidRPr="00587DF1">
        <w:rPr>
          <w:rFonts w:ascii="Arial" w:eastAsia="Arial" w:hAnsi="Arial" w:cs="Arial"/>
          <w:i/>
          <w:iCs/>
        </w:rPr>
        <w:fldChar w:fldCharType="end"/>
      </w:r>
      <w:r w:rsidR="00667468" w:rsidRPr="00587DF1">
        <w:rPr>
          <w:rFonts w:ascii="Arial" w:eastAsia="Arial" w:hAnsi="Arial" w:cs="Arial"/>
          <w:i/>
          <w:iCs/>
        </w:rPr>
        <w:t>)</w:t>
      </w:r>
      <w:r w:rsidRPr="00587DF1">
        <w:rPr>
          <w:rFonts w:ascii="Arial" w:eastAsia="Arial" w:hAnsi="Arial" w:cs="Arial"/>
          <w:i/>
          <w:iCs/>
        </w:rPr>
        <w:t>.</w:t>
      </w:r>
    </w:p>
    <w:p w14:paraId="07B363B4" w14:textId="77777777" w:rsidR="00044DCA" w:rsidRPr="00587DF1" w:rsidRDefault="00044DCA" w:rsidP="001D71F5">
      <w:pPr>
        <w:spacing w:after="0"/>
        <w:rPr>
          <w:rFonts w:ascii="Arial" w:eastAsia="Arial" w:hAnsi="Arial" w:cs="Arial"/>
          <w:b/>
          <w:bCs/>
          <w:i/>
          <w:iCs/>
        </w:rPr>
      </w:pPr>
    </w:p>
    <w:p w14:paraId="080498B5" w14:textId="77777777" w:rsidR="001D71F5" w:rsidRPr="00587DF1" w:rsidRDefault="001D71F5" w:rsidP="001D71F5">
      <w:pPr>
        <w:spacing w:after="0"/>
        <w:rPr>
          <w:rFonts w:ascii="Arial" w:eastAsia="Arial" w:hAnsi="Arial" w:cs="Arial"/>
          <w:b/>
          <w:bCs/>
          <w:i/>
          <w:iCs/>
          <w:color w:val="00A09D"/>
        </w:rPr>
      </w:pPr>
      <w:r w:rsidRPr="00587DF1">
        <w:rPr>
          <w:rFonts w:ascii="Arial" w:eastAsia="Arial" w:hAnsi="Arial" w:cs="Arial"/>
          <w:b/>
          <w:bCs/>
          <w:i/>
          <w:iCs/>
          <w:color w:val="00A09D"/>
        </w:rPr>
        <w:t>Where are we now?</w:t>
      </w:r>
    </w:p>
    <w:p w14:paraId="33630097" w14:textId="77777777" w:rsidR="001D71F5" w:rsidRPr="00587DF1" w:rsidRDefault="001D71F5" w:rsidP="001D71F5">
      <w:pPr>
        <w:rPr>
          <w:rFonts w:ascii="Arial" w:eastAsia="Arial" w:hAnsi="Arial" w:cs="Arial"/>
        </w:rPr>
      </w:pPr>
      <w:bookmarkStart w:id="128" w:name="_Hlk27136876"/>
      <w:r w:rsidRPr="00587DF1">
        <w:rPr>
          <w:rFonts w:ascii="Arial" w:eastAsia="Arial" w:hAnsi="Arial" w:cs="Arial"/>
        </w:rPr>
        <w:t xml:space="preserve">The current physical facilities at City Road limit the education and training which can be provided at Moorfields, meaning there is a risk of losing students through a lack of capacity and appropriate, modern resources. </w:t>
      </w:r>
      <w:bookmarkEnd w:id="128"/>
      <w:r w:rsidRPr="00587DF1">
        <w:rPr>
          <w:rFonts w:ascii="Arial" w:eastAsia="Arial" w:hAnsi="Arial" w:cs="Arial"/>
        </w:rPr>
        <w:t>Current issues include</w:t>
      </w:r>
      <w:r w:rsidR="00637325" w:rsidRPr="00587DF1">
        <w:rPr>
          <w:rFonts w:ascii="Arial" w:eastAsia="Arial" w:hAnsi="Arial" w:cs="Arial"/>
        </w:rPr>
        <w:t>:</w:t>
      </w:r>
    </w:p>
    <w:p w14:paraId="781A7A77" w14:textId="77777777" w:rsidR="001D71F5" w:rsidRPr="00587DF1" w:rsidRDefault="001D71F5" w:rsidP="005E0D57">
      <w:pPr>
        <w:numPr>
          <w:ilvl w:val="0"/>
          <w:numId w:val="3"/>
        </w:numPr>
        <w:pBdr>
          <w:top w:val="nil"/>
          <w:left w:val="nil"/>
          <w:bottom w:val="nil"/>
          <w:right w:val="nil"/>
          <w:between w:val="nil"/>
        </w:pBdr>
        <w:spacing w:after="0" w:line="283" w:lineRule="auto"/>
        <w:rPr>
          <w:rFonts w:ascii="Arial" w:hAnsi="Arial" w:cs="Arial"/>
          <w:color w:val="000000"/>
        </w:rPr>
      </w:pPr>
      <w:r w:rsidRPr="00587DF1">
        <w:rPr>
          <w:rFonts w:ascii="Arial" w:eastAsia="Arial" w:hAnsi="Arial" w:cs="Arial"/>
          <w:color w:val="000000"/>
        </w:rPr>
        <w:t>City Road is 2.3 miles from the main UCL campus, meaning students don’t have direct access to study infrastructure such as the library, teaching and social facilities. This reduces the quality of the learning experience and leads to some duplication of facilities and resources to counter the physical separation. Improvements to the student experience, and economies of scale could be achieved from a base closer to UCL’s main campus</w:t>
      </w:r>
      <w:r w:rsidR="00637325" w:rsidRPr="00587DF1">
        <w:rPr>
          <w:rFonts w:ascii="Arial" w:eastAsia="Arial" w:hAnsi="Arial" w:cs="Arial"/>
          <w:color w:val="000000"/>
        </w:rPr>
        <w:t>.</w:t>
      </w:r>
    </w:p>
    <w:p w14:paraId="2AD930BA" w14:textId="77777777" w:rsidR="001D71F5" w:rsidRPr="00587DF1" w:rsidRDefault="001D71F5" w:rsidP="005E0D57">
      <w:pPr>
        <w:numPr>
          <w:ilvl w:val="0"/>
          <w:numId w:val="3"/>
        </w:numPr>
        <w:pBdr>
          <w:top w:val="nil"/>
          <w:left w:val="nil"/>
          <w:bottom w:val="nil"/>
          <w:right w:val="nil"/>
          <w:between w:val="nil"/>
        </w:pBdr>
        <w:spacing w:after="0" w:line="283" w:lineRule="auto"/>
        <w:rPr>
          <w:rFonts w:ascii="Arial" w:hAnsi="Arial" w:cs="Arial"/>
          <w:color w:val="000000"/>
        </w:rPr>
      </w:pPr>
      <w:r w:rsidRPr="00587DF1">
        <w:rPr>
          <w:rFonts w:ascii="Arial" w:eastAsia="Arial" w:hAnsi="Arial" w:cs="Arial"/>
          <w:color w:val="000000"/>
        </w:rPr>
        <w:t xml:space="preserve">There are currently constraints in providing the best education experience for students. Classroom spaces are small and not suited to modern teaching, with significant refurbishment unlikely to be possible at the current site due to cost and </w:t>
      </w:r>
      <w:r w:rsidRPr="00587DF1">
        <w:rPr>
          <w:rFonts w:ascii="Arial" w:eastAsia="Arial" w:hAnsi="Arial" w:cs="Arial"/>
          <w:color w:val="000000"/>
        </w:rPr>
        <w:lastRenderedPageBreak/>
        <w:t>space restrictions. Students don’t have a central ‘gathering’ space where they could work together and collaborate – which is vital to their learning and development</w:t>
      </w:r>
      <w:r w:rsidR="00637325" w:rsidRPr="00587DF1">
        <w:rPr>
          <w:rFonts w:ascii="Arial" w:eastAsia="Arial" w:hAnsi="Arial" w:cs="Arial"/>
          <w:color w:val="000000"/>
        </w:rPr>
        <w:t>.</w:t>
      </w:r>
    </w:p>
    <w:p w14:paraId="692F0F08" w14:textId="77777777" w:rsidR="001D71F5" w:rsidRPr="00587DF1" w:rsidRDefault="001D71F5" w:rsidP="005E0D57">
      <w:pPr>
        <w:numPr>
          <w:ilvl w:val="0"/>
          <w:numId w:val="3"/>
        </w:numPr>
        <w:pBdr>
          <w:top w:val="nil"/>
          <w:left w:val="nil"/>
          <w:bottom w:val="nil"/>
          <w:right w:val="nil"/>
          <w:between w:val="nil"/>
        </w:pBdr>
        <w:spacing w:after="0" w:line="283" w:lineRule="auto"/>
        <w:rPr>
          <w:rFonts w:ascii="Arial" w:hAnsi="Arial" w:cs="Arial"/>
          <w:color w:val="000000"/>
        </w:rPr>
      </w:pPr>
      <w:r w:rsidRPr="00587DF1">
        <w:rPr>
          <w:rFonts w:ascii="Arial" w:eastAsia="Arial" w:hAnsi="Arial" w:cs="Arial"/>
          <w:color w:val="000000"/>
        </w:rPr>
        <w:t>Crucially, the current IoO and Moorfields’ education spaces cannot accommodate any expansion. Courses are always over-subscribed, leading to the potential loss of many good quality students due to a lack of capacity</w:t>
      </w:r>
      <w:r w:rsidR="00637325" w:rsidRPr="00587DF1">
        <w:rPr>
          <w:rFonts w:ascii="Arial" w:eastAsia="Arial" w:hAnsi="Arial" w:cs="Arial"/>
          <w:color w:val="000000"/>
        </w:rPr>
        <w:t>.</w:t>
      </w:r>
    </w:p>
    <w:p w14:paraId="4D60A057" w14:textId="00CC5A46" w:rsidR="001D71F5" w:rsidRPr="00587DF1" w:rsidRDefault="001D71F5" w:rsidP="005E0D57">
      <w:pPr>
        <w:numPr>
          <w:ilvl w:val="0"/>
          <w:numId w:val="3"/>
        </w:numPr>
        <w:pBdr>
          <w:top w:val="nil"/>
          <w:left w:val="nil"/>
          <w:bottom w:val="nil"/>
          <w:right w:val="nil"/>
          <w:between w:val="nil"/>
        </w:pBdr>
        <w:spacing w:after="0"/>
        <w:rPr>
          <w:rFonts w:ascii="Arial" w:hAnsi="Arial" w:cs="Arial"/>
          <w:color w:val="000000"/>
        </w:rPr>
      </w:pPr>
      <w:r w:rsidRPr="00587DF1">
        <w:rPr>
          <w:rFonts w:ascii="Arial" w:eastAsia="Arial" w:hAnsi="Arial" w:cs="Arial"/>
          <w:color w:val="000000"/>
        </w:rPr>
        <w:t xml:space="preserve">Lecture facilities at present are ’traditional’, such as tiered lecture theatres or spaces that do not lend themselves to agile and flexible use. This style is no longer considered appropriate for modern teaching. Having a space where </w:t>
      </w:r>
      <w:r w:rsidR="00AE22D1">
        <w:rPr>
          <w:rFonts w:ascii="Arial" w:eastAsia="Arial" w:hAnsi="Arial" w:cs="Arial"/>
          <w:color w:val="000000"/>
        </w:rPr>
        <w:t>educators</w:t>
      </w:r>
      <w:r w:rsidRPr="00587DF1">
        <w:rPr>
          <w:rFonts w:ascii="Arial" w:eastAsia="Arial" w:hAnsi="Arial" w:cs="Arial"/>
          <w:color w:val="000000"/>
        </w:rPr>
        <w:t xml:space="preserve"> are able to apply the most modern teaching methodologies is essential to ensure Moorfields provides students of the future with the very best learning opportunities</w:t>
      </w:r>
      <w:r w:rsidR="00637325" w:rsidRPr="00587DF1">
        <w:rPr>
          <w:rFonts w:ascii="Arial" w:eastAsia="Arial" w:hAnsi="Arial" w:cs="Arial"/>
          <w:color w:val="000000"/>
        </w:rPr>
        <w:t>.</w:t>
      </w:r>
    </w:p>
    <w:p w14:paraId="0EF3FBCE" w14:textId="77777777" w:rsidR="001D71F5" w:rsidRPr="00587DF1" w:rsidRDefault="001D71F5" w:rsidP="005E0D57">
      <w:pPr>
        <w:numPr>
          <w:ilvl w:val="0"/>
          <w:numId w:val="3"/>
        </w:numPr>
        <w:pBdr>
          <w:top w:val="nil"/>
          <w:left w:val="nil"/>
          <w:bottom w:val="nil"/>
          <w:right w:val="nil"/>
          <w:between w:val="nil"/>
        </w:pBdr>
        <w:rPr>
          <w:rFonts w:ascii="Arial" w:hAnsi="Arial" w:cs="Arial"/>
          <w:color w:val="000000"/>
        </w:rPr>
      </w:pPr>
      <w:r w:rsidRPr="00587DF1">
        <w:rPr>
          <w:rFonts w:ascii="Arial" w:eastAsia="Arial" w:hAnsi="Arial" w:cs="Arial"/>
          <w:color w:val="000000"/>
        </w:rPr>
        <w:t>Clinical and teaching facilities are in separate buildings, meaning learning opportunities in a clinical setting are not as effective as they could be.</w:t>
      </w:r>
    </w:p>
    <w:p w14:paraId="410FCB47" w14:textId="77777777" w:rsidR="001D71F5" w:rsidRPr="00587DF1" w:rsidRDefault="001D71F5" w:rsidP="001D71F5">
      <w:pPr>
        <w:spacing w:after="0"/>
        <w:rPr>
          <w:rFonts w:ascii="Arial" w:eastAsia="Arial" w:hAnsi="Arial" w:cs="Arial"/>
          <w:color w:val="00A09D"/>
        </w:rPr>
      </w:pPr>
      <w:r w:rsidRPr="00587DF1">
        <w:rPr>
          <w:rFonts w:ascii="Arial" w:eastAsia="Arial" w:hAnsi="Arial" w:cs="Arial"/>
          <w:b/>
          <w:bCs/>
          <w:i/>
          <w:iCs/>
          <w:color w:val="00A09D"/>
        </w:rPr>
        <w:t>Where do we want to be?</w:t>
      </w:r>
      <w:r w:rsidRPr="00587DF1">
        <w:rPr>
          <w:rFonts w:ascii="Arial" w:eastAsia="Arial" w:hAnsi="Arial" w:cs="Arial"/>
          <w:color w:val="00A09D"/>
        </w:rPr>
        <w:t xml:space="preserve"> </w:t>
      </w:r>
    </w:p>
    <w:p w14:paraId="15F63A89" w14:textId="03B1F1DD" w:rsidR="001D71F5" w:rsidRPr="00587DF1" w:rsidRDefault="001D71F5" w:rsidP="001D71F5">
      <w:pPr>
        <w:rPr>
          <w:rFonts w:ascii="Arial" w:eastAsia="Arial" w:hAnsi="Arial" w:cs="Arial"/>
        </w:rPr>
      </w:pPr>
      <w:r w:rsidRPr="00587DF1">
        <w:rPr>
          <w:rFonts w:ascii="Arial" w:eastAsia="Arial" w:hAnsi="Arial" w:cs="Arial"/>
        </w:rPr>
        <w:t xml:space="preserve">It is clear that there will be a need for an increase in the number of qualified and well-trained staff in all disciplines in the future, given the trends in likely demand for eye services. Expansion in capacity is vital if the supply of trained staff in the future is to be maintained. </w:t>
      </w:r>
      <w:bookmarkStart w:id="129" w:name="_Hlk27136917"/>
      <w:r w:rsidRPr="00587DF1">
        <w:rPr>
          <w:rFonts w:ascii="Arial" w:eastAsia="Arial" w:hAnsi="Arial" w:cs="Arial"/>
        </w:rPr>
        <w:t>A new joint eye care research and education facility would support a significant increase in the number of under-graduates, post-graduates</w:t>
      </w:r>
      <w:r w:rsidR="00C9177D">
        <w:rPr>
          <w:rFonts w:ascii="Arial" w:eastAsia="Arial" w:hAnsi="Arial" w:cs="Arial"/>
        </w:rPr>
        <w:t xml:space="preserve"> and clinicians </w:t>
      </w:r>
      <w:r w:rsidRPr="00587DF1">
        <w:rPr>
          <w:rFonts w:ascii="Arial" w:eastAsia="Arial" w:hAnsi="Arial" w:cs="Arial"/>
        </w:rPr>
        <w:t xml:space="preserve">training in ophthalmology and associated services, through increasing capacity, increasing opportunities </w:t>
      </w:r>
      <w:r w:rsidR="00AE22D1">
        <w:rPr>
          <w:rFonts w:ascii="Arial" w:eastAsia="Arial" w:hAnsi="Arial" w:cs="Arial"/>
        </w:rPr>
        <w:t xml:space="preserve">to </w:t>
      </w:r>
      <w:r w:rsidRPr="00587DF1">
        <w:rPr>
          <w:rFonts w:ascii="Arial" w:eastAsia="Arial" w:hAnsi="Arial" w:cs="Arial"/>
        </w:rPr>
        <w:t xml:space="preserve">experience different clinical services and areas of research, and improving student experience. </w:t>
      </w:r>
      <w:bookmarkEnd w:id="129"/>
      <w:r w:rsidRPr="00587DF1">
        <w:rPr>
          <w:rFonts w:ascii="Arial" w:eastAsia="Arial" w:hAnsi="Arial" w:cs="Arial"/>
        </w:rPr>
        <w:t xml:space="preserve">A new education and research centre would allow for the upskilling and professional development of </w:t>
      </w:r>
      <w:r w:rsidR="00AE22D1">
        <w:rPr>
          <w:rFonts w:ascii="Arial" w:eastAsia="Arial" w:hAnsi="Arial" w:cs="Arial"/>
        </w:rPr>
        <w:t>all eye care clinical professionals</w:t>
      </w:r>
      <w:r w:rsidRPr="00587DF1">
        <w:rPr>
          <w:rFonts w:ascii="Arial" w:eastAsia="Arial" w:hAnsi="Arial" w:cs="Arial"/>
        </w:rPr>
        <w:t xml:space="preserve">. </w:t>
      </w:r>
    </w:p>
    <w:p w14:paraId="22306826" w14:textId="77777777" w:rsidR="001D71F5" w:rsidRPr="00587DF1" w:rsidRDefault="001D71F5" w:rsidP="001D71F5">
      <w:pPr>
        <w:spacing w:after="0"/>
        <w:rPr>
          <w:rFonts w:ascii="Arial" w:eastAsia="Arial" w:hAnsi="Arial" w:cs="Arial"/>
          <w:b/>
          <w:bCs/>
          <w:i/>
          <w:iCs/>
          <w:color w:val="00A09D"/>
        </w:rPr>
      </w:pPr>
      <w:r w:rsidRPr="00587DF1">
        <w:rPr>
          <w:rFonts w:ascii="Arial" w:eastAsia="Arial" w:hAnsi="Arial" w:cs="Arial"/>
          <w:b/>
          <w:bCs/>
          <w:i/>
          <w:iCs/>
          <w:color w:val="00A09D"/>
        </w:rPr>
        <w:t>How do we get there?</w:t>
      </w:r>
    </w:p>
    <w:p w14:paraId="36182D22" w14:textId="77777777" w:rsidR="001D71F5" w:rsidRPr="00587DF1" w:rsidRDefault="001D71F5" w:rsidP="001D71F5">
      <w:pPr>
        <w:rPr>
          <w:rFonts w:ascii="Arial" w:eastAsia="Arial" w:hAnsi="Arial" w:cs="Arial"/>
        </w:rPr>
      </w:pPr>
      <w:bookmarkStart w:id="130" w:name="_Hlk20239489"/>
      <w:r w:rsidRPr="00587DF1">
        <w:rPr>
          <w:rFonts w:ascii="Arial" w:eastAsia="Arial" w:hAnsi="Arial" w:cs="Arial"/>
        </w:rPr>
        <w:t>Oriel has a unique opportunity to combine clinical excellence and patient outcomes with outstanding, internationally recognised research and education. A purpose-built facility that allows the effective combination of service delivery, teaching and research will enable Moorfields and UCL to continue to achieve excellence across all three disciplines. A new building will allow an approach that is free from the constraints affecting City Road.</w:t>
      </w:r>
    </w:p>
    <w:p w14:paraId="58883516" w14:textId="1BDE5A68" w:rsidR="00E66AEE" w:rsidRPr="00587DF1" w:rsidRDefault="00E66AEE" w:rsidP="001D71F5">
      <w:pPr>
        <w:rPr>
          <w:rFonts w:ascii="Arial" w:eastAsia="Arial" w:hAnsi="Arial" w:cs="Arial"/>
        </w:rPr>
      </w:pPr>
      <w:r w:rsidRPr="00587DF1">
        <w:rPr>
          <w:rFonts w:ascii="Arial" w:eastAsia="Arial" w:hAnsi="Arial" w:cs="Arial"/>
        </w:rPr>
        <w:t xml:space="preserve">The design of Oriel bringing patient care, research, and education into one building is integral to </w:t>
      </w:r>
      <w:r w:rsidR="00E10C97">
        <w:rPr>
          <w:rFonts w:ascii="Arial" w:eastAsia="Arial" w:hAnsi="Arial" w:cs="Arial"/>
        </w:rPr>
        <w:t>the partners’</w:t>
      </w:r>
      <w:r w:rsidRPr="00587DF1">
        <w:rPr>
          <w:rFonts w:ascii="Arial" w:eastAsia="Arial" w:hAnsi="Arial" w:cs="Arial"/>
        </w:rPr>
        <w:t xml:space="preserve"> ambition </w:t>
      </w:r>
      <w:r w:rsidR="00E10C97">
        <w:rPr>
          <w:rFonts w:ascii="Arial" w:eastAsia="Arial" w:hAnsi="Arial" w:cs="Arial"/>
        </w:rPr>
        <w:t xml:space="preserve">for </w:t>
      </w:r>
      <w:r w:rsidRPr="00587DF1">
        <w:rPr>
          <w:rFonts w:ascii="Arial" w:eastAsia="Arial" w:hAnsi="Arial" w:cs="Arial"/>
        </w:rPr>
        <w:t xml:space="preserve">education that is research-informed and clinically led.  The bench-to-bedside research model will be embedded into the education model, ensuring that students have a seamless transition from lectures to the lab or </w:t>
      </w:r>
      <w:r w:rsidR="00E10C97">
        <w:rPr>
          <w:rFonts w:ascii="Arial" w:eastAsia="Arial" w:hAnsi="Arial" w:cs="Arial"/>
        </w:rPr>
        <w:t>‘</w:t>
      </w:r>
      <w:r w:rsidRPr="00587DF1">
        <w:rPr>
          <w:rFonts w:ascii="Arial" w:eastAsia="Arial" w:hAnsi="Arial" w:cs="Arial"/>
        </w:rPr>
        <w:t>real</w:t>
      </w:r>
      <w:r w:rsidR="00E10C97">
        <w:rPr>
          <w:rFonts w:ascii="Arial" w:eastAsia="Arial" w:hAnsi="Arial" w:cs="Arial"/>
        </w:rPr>
        <w:t>’</w:t>
      </w:r>
      <w:r w:rsidRPr="00587DF1">
        <w:rPr>
          <w:rFonts w:ascii="Arial" w:eastAsia="Arial" w:hAnsi="Arial" w:cs="Arial"/>
        </w:rPr>
        <w:t xml:space="preserve"> clinical practice</w:t>
      </w:r>
      <w:r w:rsidR="00E10C97">
        <w:rPr>
          <w:rFonts w:ascii="Arial" w:eastAsia="Arial" w:hAnsi="Arial" w:cs="Arial"/>
        </w:rPr>
        <w:t>,</w:t>
      </w:r>
      <w:r w:rsidRPr="00587DF1">
        <w:rPr>
          <w:rFonts w:ascii="Arial" w:eastAsia="Arial" w:hAnsi="Arial" w:cs="Arial"/>
        </w:rPr>
        <w:t xml:space="preserve"> in a setting and manner that will mirror their careers and patient care.  It will also serve to illustrate and engage </w:t>
      </w:r>
      <w:r w:rsidR="00E10C97">
        <w:rPr>
          <w:rFonts w:ascii="Arial" w:eastAsia="Arial" w:hAnsi="Arial" w:cs="Arial"/>
        </w:rPr>
        <w:t>the</w:t>
      </w:r>
      <w:r w:rsidRPr="00587DF1">
        <w:rPr>
          <w:rFonts w:ascii="Arial" w:eastAsia="Arial" w:hAnsi="Arial" w:cs="Arial"/>
        </w:rPr>
        <w:t xml:space="preserve"> workforce in seeing education as a continual process over their careers rather than just at the beginning. Consequently, the integration of these three pillars of activity – patient care, research, and education in one facility is essential for creating a future workforce that sees all three as aligning </w:t>
      </w:r>
      <w:r w:rsidR="00AE22D1">
        <w:rPr>
          <w:rFonts w:ascii="Arial" w:eastAsia="Arial" w:hAnsi="Arial" w:cs="Arial"/>
        </w:rPr>
        <w:t>to</w:t>
      </w:r>
      <w:r w:rsidRPr="00587DF1">
        <w:rPr>
          <w:rFonts w:ascii="Arial" w:eastAsia="Arial" w:hAnsi="Arial" w:cs="Arial"/>
        </w:rPr>
        <w:t xml:space="preserve"> address healthcare challenges and working successfully and effectively across their career.</w:t>
      </w:r>
    </w:p>
    <w:bookmarkEnd w:id="130"/>
    <w:p w14:paraId="7C696E9F" w14:textId="77777777" w:rsidR="001D71F5" w:rsidRPr="00587DF1" w:rsidRDefault="001D71F5" w:rsidP="001D71F5">
      <w:pPr>
        <w:spacing w:after="0"/>
        <w:rPr>
          <w:rFonts w:ascii="Arial" w:eastAsia="Arial" w:hAnsi="Arial" w:cs="Arial"/>
          <w:b/>
          <w:bCs/>
          <w:i/>
          <w:iCs/>
          <w:color w:val="00A09D"/>
        </w:rPr>
      </w:pPr>
      <w:r w:rsidRPr="00587DF1">
        <w:rPr>
          <w:rFonts w:ascii="Arial" w:eastAsia="Arial" w:hAnsi="Arial" w:cs="Arial"/>
          <w:b/>
          <w:bCs/>
          <w:i/>
          <w:iCs/>
          <w:color w:val="00A09D"/>
        </w:rPr>
        <w:t>What will be the benefits?</w:t>
      </w:r>
    </w:p>
    <w:p w14:paraId="73C5BD99" w14:textId="5A6FFFA9" w:rsidR="00E66AEE" w:rsidRPr="00587DF1" w:rsidRDefault="00E66AEE" w:rsidP="00E66AEE">
      <w:pPr>
        <w:rPr>
          <w:rFonts w:ascii="Arial" w:eastAsia="Arial" w:hAnsi="Arial" w:cs="Arial"/>
        </w:rPr>
      </w:pPr>
      <w:r w:rsidRPr="00587DF1">
        <w:rPr>
          <w:rFonts w:ascii="Arial" w:eastAsia="Arial" w:hAnsi="Arial" w:cs="Arial"/>
        </w:rPr>
        <w:t>Oriel will enable the partners to improve the quality of the</w:t>
      </w:r>
      <w:r w:rsidR="00AE22D1">
        <w:rPr>
          <w:rFonts w:ascii="Arial" w:eastAsia="Arial" w:hAnsi="Arial" w:cs="Arial"/>
        </w:rPr>
        <w:t>ir</w:t>
      </w:r>
      <w:r w:rsidRPr="00587DF1">
        <w:rPr>
          <w:rFonts w:ascii="Arial" w:eastAsia="Arial" w:hAnsi="Arial" w:cs="Arial"/>
        </w:rPr>
        <w:t xml:space="preserve"> education offering, attract the highest calibre students, and increase the number of students and trainees. The benefits of this will be:</w:t>
      </w:r>
    </w:p>
    <w:p w14:paraId="04078FE5" w14:textId="77777777" w:rsidR="001D71F5" w:rsidRPr="00587DF1" w:rsidRDefault="00E66AEE" w:rsidP="005E0D57">
      <w:pPr>
        <w:pStyle w:val="ListParagraph"/>
        <w:numPr>
          <w:ilvl w:val="0"/>
          <w:numId w:val="61"/>
        </w:numPr>
        <w:rPr>
          <w:rFonts w:ascii="Arial" w:eastAsia="Arial" w:hAnsi="Arial" w:cs="Arial"/>
        </w:rPr>
      </w:pPr>
      <w:r w:rsidRPr="00587DF1">
        <w:rPr>
          <w:rFonts w:ascii="Arial" w:eastAsia="Arial" w:hAnsi="Arial" w:cs="Arial"/>
        </w:rPr>
        <w:lastRenderedPageBreak/>
        <w:t>Increased supply of qualified clinical and support staff to the wider NHS</w:t>
      </w:r>
      <w:r w:rsidR="00637325" w:rsidRPr="00587DF1">
        <w:rPr>
          <w:rFonts w:ascii="Arial" w:eastAsia="Arial" w:hAnsi="Arial" w:cs="Arial"/>
        </w:rPr>
        <w:t>.</w:t>
      </w:r>
    </w:p>
    <w:p w14:paraId="3127FAAA" w14:textId="77777777" w:rsidR="00E66AEE" w:rsidRPr="00587DF1" w:rsidRDefault="00786989" w:rsidP="005E0D57">
      <w:pPr>
        <w:pStyle w:val="ListParagraph"/>
        <w:numPr>
          <w:ilvl w:val="0"/>
          <w:numId w:val="61"/>
        </w:numPr>
        <w:rPr>
          <w:rFonts w:ascii="Arial" w:eastAsia="Arial" w:hAnsi="Arial" w:cs="Arial"/>
        </w:rPr>
      </w:pPr>
      <w:r w:rsidRPr="00587DF1">
        <w:rPr>
          <w:rFonts w:ascii="Arial" w:eastAsia="Arial" w:hAnsi="Arial" w:cs="Arial"/>
        </w:rPr>
        <w:t xml:space="preserve">Increased supply of qualified clinical and support staff </w:t>
      </w:r>
      <w:r w:rsidR="00E66AEE" w:rsidRPr="00587DF1">
        <w:rPr>
          <w:rFonts w:ascii="Arial" w:eastAsia="Arial" w:hAnsi="Arial" w:cs="Arial"/>
        </w:rPr>
        <w:t xml:space="preserve">at Moorfields, </w:t>
      </w:r>
      <w:r w:rsidRPr="00587DF1">
        <w:rPr>
          <w:rFonts w:ascii="Arial" w:eastAsia="Arial" w:hAnsi="Arial" w:cs="Arial"/>
        </w:rPr>
        <w:t>who are more likely to remain at the trust given the exciting opportunities to work at a modern, research-focused centre of excellence</w:t>
      </w:r>
      <w:r w:rsidR="00637325" w:rsidRPr="00587DF1">
        <w:rPr>
          <w:rFonts w:ascii="Arial" w:eastAsia="Arial" w:hAnsi="Arial" w:cs="Arial"/>
        </w:rPr>
        <w:t>.</w:t>
      </w:r>
    </w:p>
    <w:p w14:paraId="65C8279E" w14:textId="77777777" w:rsidR="00786989" w:rsidRPr="00587DF1" w:rsidRDefault="00786989" w:rsidP="005E0D57">
      <w:pPr>
        <w:pStyle w:val="ListParagraph"/>
        <w:numPr>
          <w:ilvl w:val="0"/>
          <w:numId w:val="61"/>
        </w:numPr>
        <w:rPr>
          <w:rFonts w:ascii="Arial" w:eastAsia="Arial" w:hAnsi="Arial" w:cs="Arial"/>
        </w:rPr>
      </w:pPr>
      <w:r w:rsidRPr="00587DF1">
        <w:rPr>
          <w:rFonts w:ascii="Arial" w:eastAsia="Arial" w:hAnsi="Arial" w:cs="Arial"/>
        </w:rPr>
        <w:t>Improved opportunities for existing Moorfields staff to develop their careers, thereby improving retention levels</w:t>
      </w:r>
      <w:r w:rsidR="00637325" w:rsidRPr="00587DF1">
        <w:rPr>
          <w:rFonts w:ascii="Arial" w:eastAsia="Arial" w:hAnsi="Arial" w:cs="Arial"/>
        </w:rPr>
        <w:t>.</w:t>
      </w:r>
    </w:p>
    <w:p w14:paraId="4AA4CCC3" w14:textId="77777777" w:rsidR="00786989" w:rsidRPr="00587DF1" w:rsidRDefault="00786989" w:rsidP="005E0D57">
      <w:pPr>
        <w:pStyle w:val="ListParagraph"/>
        <w:numPr>
          <w:ilvl w:val="0"/>
          <w:numId w:val="61"/>
        </w:numPr>
        <w:rPr>
          <w:rFonts w:ascii="Arial" w:eastAsia="Arial" w:hAnsi="Arial" w:cs="Arial"/>
        </w:rPr>
      </w:pPr>
      <w:r w:rsidRPr="00587DF1">
        <w:rPr>
          <w:rFonts w:ascii="Arial" w:eastAsia="Arial" w:hAnsi="Arial" w:cs="Arial"/>
        </w:rPr>
        <w:t>Increased income</w:t>
      </w:r>
      <w:r w:rsidR="00637325" w:rsidRPr="00587DF1">
        <w:rPr>
          <w:rFonts w:ascii="Arial" w:eastAsia="Arial" w:hAnsi="Arial" w:cs="Arial"/>
        </w:rPr>
        <w:t>.</w:t>
      </w:r>
    </w:p>
    <w:p w14:paraId="2F50320D" w14:textId="77777777" w:rsidR="00A31993" w:rsidRPr="00587DF1" w:rsidRDefault="00A31993" w:rsidP="00A31993">
      <w:pPr>
        <w:spacing w:after="0"/>
        <w:rPr>
          <w:rFonts w:ascii="Arial" w:eastAsia="Arial" w:hAnsi="Arial" w:cs="Arial"/>
        </w:rPr>
      </w:pPr>
    </w:p>
    <w:p w14:paraId="329CF510" w14:textId="77777777" w:rsidR="00160E68" w:rsidRPr="00587DF1" w:rsidRDefault="00160E68" w:rsidP="005E0D57">
      <w:pPr>
        <w:pStyle w:val="Heading2"/>
        <w:numPr>
          <w:ilvl w:val="1"/>
          <w:numId w:val="1"/>
        </w:numPr>
        <w:rPr>
          <w:rFonts w:ascii="Arial" w:eastAsia="Arial" w:hAnsi="Arial" w:cs="Arial"/>
        </w:rPr>
      </w:pPr>
      <w:bookmarkStart w:id="131" w:name="_Ref27114337"/>
      <w:bookmarkStart w:id="132" w:name="_Toc32842691"/>
      <w:r w:rsidRPr="00587DF1">
        <w:rPr>
          <w:rFonts w:ascii="Arial" w:eastAsia="Arial" w:hAnsi="Arial" w:cs="Arial"/>
          <w:color w:val="000000"/>
        </w:rPr>
        <w:t>Business need – capacity planning</w:t>
      </w:r>
      <w:bookmarkEnd w:id="131"/>
      <w:bookmarkEnd w:id="132"/>
    </w:p>
    <w:p w14:paraId="4A724692" w14:textId="77777777" w:rsidR="00A31993" w:rsidRPr="00587DF1" w:rsidRDefault="00A31993" w:rsidP="00A31993">
      <w:pPr>
        <w:spacing w:after="0"/>
        <w:rPr>
          <w:rFonts w:ascii="Arial" w:eastAsia="Arial" w:hAnsi="Arial" w:cs="Arial"/>
        </w:rPr>
      </w:pPr>
    </w:p>
    <w:p w14:paraId="6580A9A4" w14:textId="7517266D" w:rsidR="00AF7894" w:rsidRPr="00AF7894" w:rsidRDefault="00AF7894" w:rsidP="00AF7894">
      <w:pPr>
        <w:rPr>
          <w:rFonts w:ascii="Arial" w:eastAsia="Arial" w:hAnsi="Arial" w:cs="Arial"/>
        </w:rPr>
      </w:pPr>
      <w:r w:rsidRPr="00AF7894">
        <w:rPr>
          <w:rFonts w:ascii="Arial" w:eastAsia="Arial" w:hAnsi="Arial" w:cs="Arial"/>
        </w:rPr>
        <w:t xml:space="preserve">This section provides an overview of the demand and capacity planning undertaken for Oriel. Full detail is provided in Appendix </w:t>
      </w:r>
      <w:r w:rsidR="00127D77">
        <w:rPr>
          <w:rFonts w:ascii="Arial" w:eastAsia="Arial" w:hAnsi="Arial" w:cs="Arial"/>
        </w:rPr>
        <w:t>3C</w:t>
      </w:r>
      <w:r w:rsidRPr="00AF7894">
        <w:rPr>
          <w:rFonts w:ascii="Arial" w:eastAsia="Arial" w:hAnsi="Arial" w:cs="Arial"/>
        </w:rPr>
        <w:t>.</w:t>
      </w:r>
    </w:p>
    <w:p w14:paraId="70E36920" w14:textId="06743894" w:rsidR="00BC1E6B" w:rsidRPr="00BC1E6B" w:rsidRDefault="00BC1E6B" w:rsidP="005E0D57">
      <w:pPr>
        <w:pStyle w:val="Heading2"/>
        <w:numPr>
          <w:ilvl w:val="2"/>
          <w:numId w:val="1"/>
        </w:numPr>
        <w:rPr>
          <w:rFonts w:ascii="Arial" w:eastAsia="Arial" w:hAnsi="Arial" w:cs="Arial"/>
          <w:color w:val="000000"/>
        </w:rPr>
      </w:pPr>
      <w:bookmarkStart w:id="133" w:name="_Toc30670673"/>
      <w:bookmarkStart w:id="134" w:name="_Toc32842692"/>
      <w:r w:rsidRPr="00BC1E6B">
        <w:rPr>
          <w:rFonts w:ascii="Arial" w:eastAsia="Arial" w:hAnsi="Arial" w:cs="Arial"/>
          <w:color w:val="000000"/>
        </w:rPr>
        <w:t>Demand modelling</w:t>
      </w:r>
      <w:bookmarkEnd w:id="133"/>
      <w:bookmarkEnd w:id="134"/>
    </w:p>
    <w:p w14:paraId="5584C4FE" w14:textId="77777777" w:rsidR="00BC1E6B" w:rsidRDefault="00BC1E6B" w:rsidP="00BC1E6B">
      <w:pPr>
        <w:spacing w:after="0"/>
        <w:rPr>
          <w:rFonts w:ascii="Arial" w:eastAsia="Arial" w:hAnsi="Arial" w:cs="Arial"/>
        </w:rPr>
      </w:pPr>
    </w:p>
    <w:p w14:paraId="5FC34F7A" w14:textId="58126A4C" w:rsidR="00DE7536" w:rsidRDefault="00AF7894" w:rsidP="00AF7894">
      <w:pPr>
        <w:rPr>
          <w:rFonts w:ascii="Arial" w:eastAsia="Arial" w:hAnsi="Arial" w:cs="Arial"/>
        </w:rPr>
      </w:pPr>
      <w:r w:rsidRPr="00AF7894">
        <w:rPr>
          <w:rFonts w:ascii="Arial" w:eastAsia="Arial" w:hAnsi="Arial" w:cs="Arial"/>
        </w:rPr>
        <w:t xml:space="preserve">Activity projections and capacity planning have been based on demand modelling undertaken by Edge Health on behalf of commissioners. This formed part of the Decision Making Business Case (DMBC), and looked at the next 15 years. Edge Health worked closely with clinicians and operational planning representatives from Moorfields as well as the wider ophthalmology system in London. The modelling was based on a range of information sources, including data from Moorfields and commissioners, established literature and </w:t>
      </w:r>
      <w:r>
        <w:rPr>
          <w:rFonts w:ascii="Arial" w:eastAsia="Arial" w:hAnsi="Arial" w:cs="Arial"/>
        </w:rPr>
        <w:t>over 40 1:1 interviews</w:t>
      </w:r>
      <w:r w:rsidRPr="00AF7894">
        <w:rPr>
          <w:rFonts w:ascii="Arial" w:eastAsia="Arial" w:hAnsi="Arial" w:cs="Arial"/>
        </w:rPr>
        <w:t>.</w:t>
      </w:r>
    </w:p>
    <w:p w14:paraId="0160861F" w14:textId="61AC8C38" w:rsidR="00AF7894" w:rsidRDefault="00AF7894" w:rsidP="00AF7894">
      <w:pPr>
        <w:rPr>
          <w:rFonts w:ascii="Arial" w:eastAsia="Arial" w:hAnsi="Arial" w:cs="Arial"/>
        </w:rPr>
      </w:pPr>
      <w:r>
        <w:rPr>
          <w:rFonts w:ascii="Arial" w:eastAsia="Arial" w:hAnsi="Arial" w:cs="Arial"/>
        </w:rPr>
        <w:t xml:space="preserve">The workings behind </w:t>
      </w:r>
      <w:r w:rsidR="00BC1E6B">
        <w:rPr>
          <w:rFonts w:ascii="Arial" w:eastAsia="Arial" w:hAnsi="Arial" w:cs="Arial"/>
        </w:rPr>
        <w:t xml:space="preserve">this modelling are shown in Appendix </w:t>
      </w:r>
      <w:r w:rsidR="0004407D">
        <w:rPr>
          <w:rFonts w:ascii="Arial" w:eastAsia="Arial" w:hAnsi="Arial" w:cs="Arial"/>
        </w:rPr>
        <w:t>3B</w:t>
      </w:r>
      <w:r w:rsidR="00BC1E6B">
        <w:rPr>
          <w:rFonts w:ascii="Arial" w:eastAsia="Arial" w:hAnsi="Arial" w:cs="Arial"/>
        </w:rPr>
        <w:t>.</w:t>
      </w:r>
    </w:p>
    <w:p w14:paraId="665409E6" w14:textId="77777777" w:rsidR="00BC1E6B" w:rsidRPr="00587DF1" w:rsidRDefault="00BC1E6B" w:rsidP="00BC1E6B">
      <w:pPr>
        <w:rPr>
          <w:rFonts w:ascii="Arial" w:eastAsia="Arial" w:hAnsi="Arial" w:cs="Arial"/>
        </w:rPr>
      </w:pPr>
      <w:r w:rsidRPr="00587DF1">
        <w:rPr>
          <w:rFonts w:ascii="Arial" w:eastAsia="Arial" w:hAnsi="Arial" w:cs="Arial"/>
        </w:rPr>
        <w:t>The demand modelling work has shown the following projected growth rates across the different types of activity. The figures ‘with reprovisioning’ show the scale of the opportunity to provide some activity from an alternative setting. This could be a different provider, location or delivery method (e.g. virtual clinics). Moorfields will continue to work with commissioners to understand their plans for re-provisioning to ensure that development of optimum pathways is supported, as well as ensuring the trust can plan for any service change.</w:t>
      </w:r>
    </w:p>
    <w:p w14:paraId="410CAEF8" w14:textId="16DE1BAB" w:rsidR="00BC1E6B" w:rsidRPr="00587DF1" w:rsidRDefault="00BC1E6B" w:rsidP="00AE22D1">
      <w:pPr>
        <w:pStyle w:val="Caption"/>
        <w:ind w:left="1276"/>
      </w:pPr>
      <w:bookmarkStart w:id="135" w:name="_Ref30668916"/>
      <w:r w:rsidRPr="00587DF1">
        <w:t xml:space="preserve">Figure </w:t>
      </w:r>
      <w:r w:rsidR="00320059">
        <w:fldChar w:fldCharType="begin"/>
      </w:r>
      <w:r w:rsidR="00320059">
        <w:instrText xml:space="preserve"> SEQ Figure \* ARABIC </w:instrText>
      </w:r>
      <w:r w:rsidR="00320059">
        <w:fldChar w:fldCharType="separate"/>
      </w:r>
      <w:r w:rsidR="00A936CD">
        <w:rPr>
          <w:noProof/>
        </w:rPr>
        <w:t>11</w:t>
      </w:r>
      <w:r w:rsidR="00320059">
        <w:fldChar w:fldCharType="end"/>
      </w:r>
      <w:bookmarkEnd w:id="135"/>
      <w:r w:rsidRPr="00587DF1">
        <w:rPr>
          <w:noProof/>
        </w:rPr>
        <w:t>:</w:t>
      </w:r>
      <w:r w:rsidRPr="00587DF1">
        <w:t xml:space="preserve"> </w:t>
      </w:r>
      <w:r w:rsidRPr="00587DF1">
        <w:rPr>
          <w:b w:val="0"/>
          <w:bCs w:val="0"/>
        </w:rPr>
        <w:t>Average annual activity growth (2018/19 to 2034/35)</w:t>
      </w:r>
    </w:p>
    <w:p w14:paraId="1EA147F2" w14:textId="77777777" w:rsidR="00BC1E6B" w:rsidRPr="00587DF1" w:rsidRDefault="00BC1E6B" w:rsidP="00AE22D1">
      <w:pPr>
        <w:spacing w:after="0"/>
        <w:jc w:val="center"/>
        <w:rPr>
          <w:rFonts w:ascii="Arial" w:hAnsi="Arial" w:cs="Arial"/>
        </w:rPr>
      </w:pPr>
      <w:r>
        <w:rPr>
          <w:noProof/>
        </w:rPr>
        <w:drawing>
          <wp:inline distT="0" distB="0" distL="0" distR="0" wp14:anchorId="2C51DF50" wp14:editId="5BF0D614">
            <wp:extent cx="4242816" cy="940602"/>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54131" cy="943110"/>
                    </a:xfrm>
                    <a:prstGeom prst="rect">
                      <a:avLst/>
                    </a:prstGeom>
                  </pic:spPr>
                </pic:pic>
              </a:graphicData>
            </a:graphic>
          </wp:inline>
        </w:drawing>
      </w:r>
    </w:p>
    <w:p w14:paraId="5BD0472C" w14:textId="20CF3DFA" w:rsidR="00AB76DC" w:rsidRDefault="00AB76DC" w:rsidP="00AF7894">
      <w:pPr>
        <w:rPr>
          <w:rFonts w:ascii="Arial" w:eastAsia="Arial" w:hAnsi="Arial" w:cs="Arial"/>
        </w:rPr>
      </w:pPr>
    </w:p>
    <w:p w14:paraId="259E5C87" w14:textId="5670AE10" w:rsidR="00AB76DC" w:rsidRPr="00BC1E6B" w:rsidRDefault="00AB76DC" w:rsidP="005E0D57">
      <w:pPr>
        <w:pStyle w:val="Heading2"/>
        <w:numPr>
          <w:ilvl w:val="2"/>
          <w:numId w:val="1"/>
        </w:numPr>
        <w:rPr>
          <w:rFonts w:ascii="Arial" w:eastAsia="Arial" w:hAnsi="Arial" w:cs="Arial"/>
          <w:color w:val="000000"/>
        </w:rPr>
      </w:pPr>
      <w:bookmarkStart w:id="136" w:name="_Toc30670674"/>
      <w:bookmarkStart w:id="137" w:name="_Toc32842693"/>
      <w:r>
        <w:rPr>
          <w:rFonts w:ascii="Arial" w:eastAsia="Arial" w:hAnsi="Arial" w:cs="Arial"/>
          <w:color w:val="000000"/>
        </w:rPr>
        <w:t>Factors affecting capacity requirements</w:t>
      </w:r>
      <w:bookmarkEnd w:id="136"/>
      <w:bookmarkEnd w:id="137"/>
    </w:p>
    <w:p w14:paraId="2EF17AD1" w14:textId="77777777" w:rsidR="00AB76DC" w:rsidRDefault="00AB76DC" w:rsidP="00AB76DC">
      <w:pPr>
        <w:spacing w:after="0"/>
        <w:rPr>
          <w:rFonts w:ascii="Arial" w:eastAsia="Arial" w:hAnsi="Arial" w:cs="Arial"/>
        </w:rPr>
      </w:pPr>
    </w:p>
    <w:p w14:paraId="27DB5D7D" w14:textId="22C1C190" w:rsidR="00AB76DC" w:rsidRDefault="00AB76DC" w:rsidP="00AF7894">
      <w:pPr>
        <w:rPr>
          <w:rFonts w:ascii="Arial" w:eastAsia="Arial" w:hAnsi="Arial" w:cs="Arial"/>
        </w:rPr>
      </w:pPr>
      <w:r>
        <w:rPr>
          <w:rFonts w:ascii="Arial" w:eastAsia="Arial" w:hAnsi="Arial" w:cs="Arial"/>
        </w:rPr>
        <w:t xml:space="preserve">Demand modelling is set out in Appendix </w:t>
      </w:r>
      <w:r w:rsidR="0004407D">
        <w:rPr>
          <w:rFonts w:ascii="Arial" w:eastAsia="Arial" w:hAnsi="Arial" w:cs="Arial"/>
        </w:rPr>
        <w:t>3C</w:t>
      </w:r>
      <w:r>
        <w:rPr>
          <w:rFonts w:ascii="Arial" w:eastAsia="Arial" w:hAnsi="Arial" w:cs="Arial"/>
        </w:rPr>
        <w:t>. This models the impact of the following, to calculate the number of rooms required in Oriel to ensure sufficient capacity for future, while also making best use of capital funding:</w:t>
      </w:r>
    </w:p>
    <w:p w14:paraId="099F8056" w14:textId="6C01587D" w:rsidR="00AB76DC" w:rsidRDefault="00AB76DC" w:rsidP="004F4B79">
      <w:pPr>
        <w:pStyle w:val="ListParagraph"/>
        <w:numPr>
          <w:ilvl w:val="0"/>
          <w:numId w:val="148"/>
        </w:numPr>
        <w:rPr>
          <w:rFonts w:ascii="Arial" w:eastAsia="Arial" w:hAnsi="Arial" w:cs="Arial"/>
        </w:rPr>
      </w:pPr>
      <w:r>
        <w:rPr>
          <w:rFonts w:ascii="Arial" w:eastAsia="Arial" w:hAnsi="Arial" w:cs="Arial"/>
        </w:rPr>
        <w:lastRenderedPageBreak/>
        <w:t xml:space="preserve">The </w:t>
      </w:r>
      <w:r w:rsidRPr="00AB76DC">
        <w:rPr>
          <w:rFonts w:ascii="Arial" w:eastAsia="Arial" w:hAnsi="Arial" w:cs="Arial"/>
          <w:b/>
          <w:bCs/>
        </w:rPr>
        <w:t>activity growth forecasts</w:t>
      </w:r>
      <w:r w:rsidRPr="00AB76DC">
        <w:rPr>
          <w:rFonts w:ascii="Arial" w:eastAsia="Arial" w:hAnsi="Arial" w:cs="Arial"/>
        </w:rPr>
        <w:t xml:space="preserve"> set out in </w:t>
      </w:r>
      <w:r w:rsidRPr="00AB76DC">
        <w:rPr>
          <w:rFonts w:ascii="Arial" w:eastAsia="Arial" w:hAnsi="Arial" w:cs="Arial"/>
        </w:rPr>
        <w:fldChar w:fldCharType="begin"/>
      </w:r>
      <w:r w:rsidRPr="00AB76DC">
        <w:rPr>
          <w:rFonts w:ascii="Arial" w:eastAsia="Arial" w:hAnsi="Arial" w:cs="Arial"/>
        </w:rPr>
        <w:instrText xml:space="preserve"> REF _Ref30668916 \h </w:instrText>
      </w:r>
      <w:r>
        <w:rPr>
          <w:rFonts w:ascii="Arial" w:eastAsia="Arial" w:hAnsi="Arial" w:cs="Arial"/>
        </w:rPr>
        <w:instrText xml:space="preserve"> \* MERGEFORMAT </w:instrText>
      </w:r>
      <w:r w:rsidRPr="00AB76DC">
        <w:rPr>
          <w:rFonts w:ascii="Arial" w:eastAsia="Arial" w:hAnsi="Arial" w:cs="Arial"/>
        </w:rPr>
      </w:r>
      <w:r w:rsidRPr="00AB76DC">
        <w:rPr>
          <w:rFonts w:ascii="Arial" w:eastAsia="Arial" w:hAnsi="Arial" w:cs="Arial"/>
        </w:rPr>
        <w:fldChar w:fldCharType="separate"/>
      </w:r>
      <w:r w:rsidR="00A936CD" w:rsidRPr="00A936CD">
        <w:rPr>
          <w:rFonts w:ascii="Arial" w:hAnsi="Arial" w:cs="Arial"/>
        </w:rPr>
        <w:t xml:space="preserve">Figure </w:t>
      </w:r>
      <w:r w:rsidR="00A936CD" w:rsidRPr="00A936CD">
        <w:rPr>
          <w:rFonts w:ascii="Arial" w:hAnsi="Arial" w:cs="Arial"/>
          <w:noProof/>
        </w:rPr>
        <w:t>11</w:t>
      </w:r>
      <w:r w:rsidRPr="00AB76DC">
        <w:rPr>
          <w:rFonts w:ascii="Arial" w:eastAsia="Arial" w:hAnsi="Arial" w:cs="Arial"/>
        </w:rPr>
        <w:fldChar w:fldCharType="end"/>
      </w:r>
      <w:r>
        <w:rPr>
          <w:rFonts w:ascii="Arial" w:eastAsia="Arial" w:hAnsi="Arial" w:cs="Arial"/>
        </w:rPr>
        <w:t xml:space="preserve">. </w:t>
      </w:r>
      <w:r w:rsidRPr="00AB76DC">
        <w:rPr>
          <w:rFonts w:ascii="Arial" w:eastAsia="Arial" w:hAnsi="Arial" w:cs="Arial"/>
        </w:rPr>
        <w:t>As models of care to re-provision activity have not been agreed, and commissioners have agreed that the demand forecasts align with their expectations, the trust has modelled demand before reprovisioning. It should be noted that re-provisioned activity could be delivered from Oriel under a different delivery model (such as virtual clinics). Oriel will be designed flexibly so future changes in demand and service model can be accommodated.</w:t>
      </w:r>
    </w:p>
    <w:p w14:paraId="3066A797" w14:textId="568C24EE" w:rsidR="00AB76DC" w:rsidRDefault="00AB76DC" w:rsidP="004F4B79">
      <w:pPr>
        <w:pStyle w:val="ListParagraph"/>
        <w:numPr>
          <w:ilvl w:val="0"/>
          <w:numId w:val="148"/>
        </w:numPr>
        <w:rPr>
          <w:rFonts w:ascii="Arial" w:eastAsia="Arial" w:hAnsi="Arial" w:cs="Arial"/>
        </w:rPr>
      </w:pPr>
      <w:r>
        <w:rPr>
          <w:rFonts w:ascii="Arial" w:eastAsia="Arial" w:hAnsi="Arial" w:cs="Arial"/>
        </w:rPr>
        <w:t xml:space="preserve">Implementation of </w:t>
      </w:r>
      <w:r>
        <w:rPr>
          <w:rFonts w:ascii="Arial" w:eastAsia="Arial" w:hAnsi="Arial" w:cs="Arial"/>
          <w:b/>
          <w:bCs/>
        </w:rPr>
        <w:t>virtual clinics</w:t>
      </w:r>
      <w:r>
        <w:rPr>
          <w:rFonts w:ascii="Arial" w:eastAsia="Arial" w:hAnsi="Arial" w:cs="Arial"/>
        </w:rPr>
        <w:t xml:space="preserve"> for some outpatient activity.</w:t>
      </w:r>
    </w:p>
    <w:p w14:paraId="5971AD94" w14:textId="5CF3024D" w:rsidR="00AB76DC" w:rsidRDefault="00AB76DC" w:rsidP="004F4B79">
      <w:pPr>
        <w:pStyle w:val="ListParagraph"/>
        <w:numPr>
          <w:ilvl w:val="0"/>
          <w:numId w:val="148"/>
        </w:numPr>
        <w:rPr>
          <w:rFonts w:ascii="Arial" w:eastAsia="Arial" w:hAnsi="Arial" w:cs="Arial"/>
        </w:rPr>
      </w:pPr>
      <w:r>
        <w:rPr>
          <w:rFonts w:ascii="Arial" w:eastAsia="Arial" w:hAnsi="Arial" w:cs="Arial"/>
          <w:b/>
          <w:bCs/>
        </w:rPr>
        <w:t xml:space="preserve">Efficiencies </w:t>
      </w:r>
      <w:r>
        <w:rPr>
          <w:rFonts w:ascii="Arial" w:eastAsia="Arial" w:hAnsi="Arial" w:cs="Arial"/>
        </w:rPr>
        <w:t>as a result of co-location of A&amp;E and urgent care.</w:t>
      </w:r>
    </w:p>
    <w:p w14:paraId="71AC2FA4" w14:textId="1046974B" w:rsidR="00AB76DC" w:rsidRPr="00AB76DC" w:rsidRDefault="00AB76DC" w:rsidP="004F4B79">
      <w:pPr>
        <w:pStyle w:val="ListParagraph"/>
        <w:numPr>
          <w:ilvl w:val="0"/>
          <w:numId w:val="148"/>
        </w:numPr>
        <w:rPr>
          <w:rFonts w:ascii="Arial" w:eastAsia="Arial" w:hAnsi="Arial" w:cs="Arial"/>
        </w:rPr>
      </w:pPr>
      <w:r>
        <w:rPr>
          <w:rFonts w:ascii="Arial" w:eastAsia="Arial" w:hAnsi="Arial" w:cs="Arial"/>
        </w:rPr>
        <w:t xml:space="preserve">Provision of </w:t>
      </w:r>
      <w:r>
        <w:rPr>
          <w:rFonts w:ascii="Arial" w:eastAsia="Arial" w:hAnsi="Arial" w:cs="Arial"/>
          <w:b/>
          <w:bCs/>
        </w:rPr>
        <w:t>diagnostic centres</w:t>
      </w:r>
      <w:r>
        <w:rPr>
          <w:rFonts w:ascii="Arial" w:eastAsia="Arial" w:hAnsi="Arial" w:cs="Arial"/>
        </w:rPr>
        <w:t xml:space="preserve"> </w:t>
      </w:r>
      <w:r w:rsidRPr="00587DF1">
        <w:rPr>
          <w:rFonts w:ascii="Arial" w:hAnsi="Arial" w:cs="Arial"/>
        </w:rPr>
        <w:t>where imaging will be clustered to provide the diagnostics appropriate to sub-specialty pathways</w:t>
      </w:r>
      <w:r>
        <w:rPr>
          <w:rFonts w:ascii="Arial" w:hAnsi="Arial" w:cs="Arial"/>
        </w:rPr>
        <w:t>.</w:t>
      </w:r>
    </w:p>
    <w:p w14:paraId="7F26CA98" w14:textId="5E3E6F6E" w:rsidR="00AB76DC" w:rsidRPr="00AB76DC" w:rsidRDefault="00AB76DC" w:rsidP="004F4B79">
      <w:pPr>
        <w:pStyle w:val="ListParagraph"/>
        <w:numPr>
          <w:ilvl w:val="0"/>
          <w:numId w:val="148"/>
        </w:numPr>
        <w:rPr>
          <w:rFonts w:ascii="Arial" w:eastAsia="Arial" w:hAnsi="Arial" w:cs="Arial"/>
        </w:rPr>
      </w:pPr>
      <w:r>
        <w:rPr>
          <w:rFonts w:ascii="Arial" w:hAnsi="Arial" w:cs="Arial"/>
          <w:b/>
          <w:bCs/>
        </w:rPr>
        <w:t xml:space="preserve">Room utilisation </w:t>
      </w:r>
      <w:r>
        <w:rPr>
          <w:rFonts w:ascii="Arial" w:hAnsi="Arial" w:cs="Arial"/>
        </w:rPr>
        <w:t>in outpatients of 85%.</w:t>
      </w:r>
    </w:p>
    <w:p w14:paraId="1776D06B" w14:textId="72A49F0F" w:rsidR="00AB76DC" w:rsidRDefault="00AB76DC" w:rsidP="004F4B79">
      <w:pPr>
        <w:pStyle w:val="ListParagraph"/>
        <w:numPr>
          <w:ilvl w:val="0"/>
          <w:numId w:val="148"/>
        </w:numPr>
        <w:rPr>
          <w:rFonts w:ascii="Arial" w:eastAsia="Arial" w:hAnsi="Arial" w:cs="Arial"/>
        </w:rPr>
      </w:pPr>
      <w:r>
        <w:rPr>
          <w:rFonts w:ascii="Arial" w:eastAsia="Arial" w:hAnsi="Arial" w:cs="Arial"/>
        </w:rPr>
        <w:t xml:space="preserve">Improved efficiency in </w:t>
      </w:r>
      <w:r>
        <w:rPr>
          <w:rFonts w:ascii="Arial" w:eastAsia="Arial" w:hAnsi="Arial" w:cs="Arial"/>
          <w:b/>
          <w:bCs/>
        </w:rPr>
        <w:t>theatres</w:t>
      </w:r>
      <w:r>
        <w:rPr>
          <w:rFonts w:ascii="Arial" w:eastAsia="Arial" w:hAnsi="Arial" w:cs="Arial"/>
        </w:rPr>
        <w:t xml:space="preserve"> to increase throughput of cataract day cases.</w:t>
      </w:r>
    </w:p>
    <w:p w14:paraId="3076FA7C" w14:textId="40C0BF68" w:rsidR="00DF2B9A" w:rsidRDefault="00DF2B9A" w:rsidP="004F4B79">
      <w:pPr>
        <w:pStyle w:val="ListParagraph"/>
        <w:numPr>
          <w:ilvl w:val="0"/>
          <w:numId w:val="148"/>
        </w:numPr>
        <w:rPr>
          <w:rFonts w:ascii="Arial" w:eastAsia="Arial" w:hAnsi="Arial" w:cs="Arial"/>
        </w:rPr>
      </w:pPr>
      <w:r>
        <w:rPr>
          <w:rFonts w:ascii="Arial" w:eastAsia="Arial" w:hAnsi="Arial" w:cs="Arial"/>
        </w:rPr>
        <w:t>Extended opening hours:</w:t>
      </w:r>
    </w:p>
    <w:tbl>
      <w:tblPr>
        <w:tblStyle w:val="TableGrid"/>
        <w:tblW w:w="0" w:type="auto"/>
        <w:tblInd w:w="720" w:type="dxa"/>
        <w:tblLook w:val="04A0" w:firstRow="1" w:lastRow="0" w:firstColumn="1" w:lastColumn="0" w:noHBand="0" w:noVBand="1"/>
      </w:tblPr>
      <w:tblGrid>
        <w:gridCol w:w="1940"/>
        <w:gridCol w:w="1984"/>
        <w:gridCol w:w="1634"/>
        <w:gridCol w:w="1617"/>
      </w:tblGrid>
      <w:tr w:rsidR="00DF2B9A" w14:paraId="4F117FF6" w14:textId="77777777" w:rsidTr="00DF2B9A">
        <w:trPr>
          <w:trHeight w:val="262"/>
        </w:trPr>
        <w:tc>
          <w:tcPr>
            <w:tcW w:w="1940" w:type="dxa"/>
            <w:shd w:val="clear" w:color="auto" w:fill="4F81BD" w:themeFill="accent1"/>
          </w:tcPr>
          <w:p w14:paraId="5C3DC778" w14:textId="77777777" w:rsidR="00DF2B9A" w:rsidRPr="00DF2B9A" w:rsidRDefault="00DF2B9A" w:rsidP="00DF2B9A">
            <w:pPr>
              <w:pStyle w:val="ListParagraph"/>
              <w:ind w:left="0"/>
              <w:rPr>
                <w:rFonts w:ascii="Arial" w:eastAsia="Arial" w:hAnsi="Arial" w:cs="Arial"/>
                <w:b/>
                <w:bCs/>
                <w:color w:val="FFFFFF" w:themeColor="background1"/>
              </w:rPr>
            </w:pPr>
          </w:p>
        </w:tc>
        <w:tc>
          <w:tcPr>
            <w:tcW w:w="1984" w:type="dxa"/>
            <w:shd w:val="clear" w:color="auto" w:fill="4F81BD" w:themeFill="accent1"/>
          </w:tcPr>
          <w:p w14:paraId="491A35F0" w14:textId="0589D568" w:rsidR="00DF2B9A" w:rsidRPr="00DF2B9A" w:rsidRDefault="00DF2B9A" w:rsidP="00DF2B9A">
            <w:pPr>
              <w:pStyle w:val="ListParagraph"/>
              <w:ind w:left="0"/>
              <w:rPr>
                <w:rFonts w:ascii="Arial" w:eastAsia="Arial" w:hAnsi="Arial" w:cs="Arial"/>
                <w:b/>
                <w:bCs/>
                <w:color w:val="FFFFFF" w:themeColor="background1"/>
              </w:rPr>
            </w:pPr>
            <w:r w:rsidRPr="00DF2B9A">
              <w:rPr>
                <w:rFonts w:ascii="Arial" w:eastAsia="Arial" w:hAnsi="Arial" w:cs="Arial"/>
                <w:b/>
                <w:bCs/>
                <w:color w:val="FFFFFF" w:themeColor="background1"/>
              </w:rPr>
              <w:t>Monday – Friday</w:t>
            </w:r>
          </w:p>
        </w:tc>
        <w:tc>
          <w:tcPr>
            <w:tcW w:w="1634" w:type="dxa"/>
            <w:shd w:val="clear" w:color="auto" w:fill="4F81BD" w:themeFill="accent1"/>
          </w:tcPr>
          <w:p w14:paraId="0D940EE2" w14:textId="35C18547" w:rsidR="00DF2B9A" w:rsidRPr="00DF2B9A" w:rsidRDefault="00DF2B9A" w:rsidP="00DF2B9A">
            <w:pPr>
              <w:pStyle w:val="ListParagraph"/>
              <w:ind w:left="0"/>
              <w:rPr>
                <w:rFonts w:ascii="Arial" w:eastAsia="Arial" w:hAnsi="Arial" w:cs="Arial"/>
                <w:b/>
                <w:bCs/>
                <w:color w:val="FFFFFF" w:themeColor="background1"/>
              </w:rPr>
            </w:pPr>
            <w:r w:rsidRPr="00DF2B9A">
              <w:rPr>
                <w:rFonts w:ascii="Arial" w:eastAsia="Arial" w:hAnsi="Arial" w:cs="Arial"/>
                <w:b/>
                <w:bCs/>
                <w:color w:val="FFFFFF" w:themeColor="background1"/>
              </w:rPr>
              <w:t>Saturday</w:t>
            </w:r>
          </w:p>
        </w:tc>
        <w:tc>
          <w:tcPr>
            <w:tcW w:w="1617" w:type="dxa"/>
            <w:shd w:val="clear" w:color="auto" w:fill="4F81BD" w:themeFill="accent1"/>
          </w:tcPr>
          <w:p w14:paraId="040BADA7" w14:textId="7F19E7D5" w:rsidR="00DF2B9A" w:rsidRPr="00DF2B9A" w:rsidRDefault="00DF2B9A" w:rsidP="00DF2B9A">
            <w:pPr>
              <w:pStyle w:val="ListParagraph"/>
              <w:ind w:left="0"/>
              <w:rPr>
                <w:rFonts w:ascii="Arial" w:eastAsia="Arial" w:hAnsi="Arial" w:cs="Arial"/>
                <w:b/>
                <w:bCs/>
                <w:color w:val="FFFFFF" w:themeColor="background1"/>
              </w:rPr>
            </w:pPr>
            <w:r w:rsidRPr="00DF2B9A">
              <w:rPr>
                <w:rFonts w:ascii="Arial" w:eastAsia="Arial" w:hAnsi="Arial" w:cs="Arial"/>
                <w:b/>
                <w:bCs/>
                <w:color w:val="FFFFFF" w:themeColor="background1"/>
              </w:rPr>
              <w:t>Sunday</w:t>
            </w:r>
          </w:p>
        </w:tc>
      </w:tr>
      <w:tr w:rsidR="00DF2B9A" w14:paraId="68D9DC19" w14:textId="77777777" w:rsidTr="00DF2B9A">
        <w:trPr>
          <w:trHeight w:val="246"/>
        </w:trPr>
        <w:tc>
          <w:tcPr>
            <w:tcW w:w="1940" w:type="dxa"/>
          </w:tcPr>
          <w:p w14:paraId="6D66E538" w14:textId="65FF69C5" w:rsidR="00DF2B9A" w:rsidRDefault="00DF2B9A" w:rsidP="00DF2B9A">
            <w:pPr>
              <w:pStyle w:val="ListParagraph"/>
              <w:ind w:left="0"/>
              <w:rPr>
                <w:rFonts w:ascii="Arial" w:eastAsia="Arial" w:hAnsi="Arial" w:cs="Arial"/>
              </w:rPr>
            </w:pPr>
            <w:r>
              <w:rPr>
                <w:rFonts w:ascii="Arial" w:eastAsia="Arial" w:hAnsi="Arial" w:cs="Arial"/>
              </w:rPr>
              <w:t>Elective services</w:t>
            </w:r>
          </w:p>
        </w:tc>
        <w:tc>
          <w:tcPr>
            <w:tcW w:w="1984" w:type="dxa"/>
          </w:tcPr>
          <w:p w14:paraId="1F7481EB" w14:textId="0561EC0C" w:rsidR="00DF2B9A" w:rsidRDefault="00DF2B9A" w:rsidP="00DF2B9A">
            <w:pPr>
              <w:pStyle w:val="ListParagraph"/>
              <w:ind w:left="0"/>
              <w:rPr>
                <w:rFonts w:ascii="Arial" w:eastAsia="Arial" w:hAnsi="Arial" w:cs="Arial"/>
              </w:rPr>
            </w:pPr>
            <w:r>
              <w:rPr>
                <w:rFonts w:ascii="Arial" w:eastAsia="Arial" w:hAnsi="Arial" w:cs="Arial"/>
              </w:rPr>
              <w:t>9 hours</w:t>
            </w:r>
          </w:p>
        </w:tc>
        <w:tc>
          <w:tcPr>
            <w:tcW w:w="1634" w:type="dxa"/>
          </w:tcPr>
          <w:p w14:paraId="53A8CF7D" w14:textId="634EB642" w:rsidR="00DF2B9A" w:rsidRDefault="00DF2B9A" w:rsidP="00DF2B9A">
            <w:pPr>
              <w:pStyle w:val="ListParagraph"/>
              <w:ind w:left="0"/>
              <w:rPr>
                <w:rFonts w:ascii="Arial" w:eastAsia="Arial" w:hAnsi="Arial" w:cs="Arial"/>
              </w:rPr>
            </w:pPr>
            <w:r>
              <w:rPr>
                <w:rFonts w:ascii="Arial" w:eastAsia="Arial" w:hAnsi="Arial" w:cs="Arial"/>
              </w:rPr>
              <w:t>4 hours</w:t>
            </w:r>
          </w:p>
        </w:tc>
        <w:tc>
          <w:tcPr>
            <w:tcW w:w="1617" w:type="dxa"/>
          </w:tcPr>
          <w:p w14:paraId="0E2CD451" w14:textId="23DD2FAE" w:rsidR="00DF2B9A" w:rsidRDefault="00DF2B9A" w:rsidP="00DF2B9A">
            <w:pPr>
              <w:pStyle w:val="ListParagraph"/>
              <w:ind w:left="0"/>
              <w:rPr>
                <w:rFonts w:ascii="Arial" w:eastAsia="Arial" w:hAnsi="Arial" w:cs="Arial"/>
              </w:rPr>
            </w:pPr>
            <w:r>
              <w:rPr>
                <w:rFonts w:ascii="Arial" w:eastAsia="Arial" w:hAnsi="Arial" w:cs="Arial"/>
              </w:rPr>
              <w:t>0 hours</w:t>
            </w:r>
          </w:p>
        </w:tc>
      </w:tr>
      <w:tr w:rsidR="00DF2B9A" w14:paraId="62336F5D" w14:textId="77777777" w:rsidTr="00DF2B9A">
        <w:trPr>
          <w:trHeight w:val="262"/>
        </w:trPr>
        <w:tc>
          <w:tcPr>
            <w:tcW w:w="1940" w:type="dxa"/>
          </w:tcPr>
          <w:p w14:paraId="08DD9F86" w14:textId="17DD3AE5" w:rsidR="00DF2B9A" w:rsidRDefault="00DF2B9A" w:rsidP="00DF2B9A">
            <w:pPr>
              <w:pStyle w:val="ListParagraph"/>
              <w:ind w:left="0"/>
              <w:rPr>
                <w:rFonts w:ascii="Arial" w:eastAsia="Arial" w:hAnsi="Arial" w:cs="Arial"/>
              </w:rPr>
            </w:pPr>
            <w:r>
              <w:rPr>
                <w:rFonts w:ascii="Arial" w:eastAsia="Arial" w:hAnsi="Arial" w:cs="Arial"/>
              </w:rPr>
              <w:t>A&amp;E service</w:t>
            </w:r>
          </w:p>
        </w:tc>
        <w:tc>
          <w:tcPr>
            <w:tcW w:w="1984" w:type="dxa"/>
          </w:tcPr>
          <w:p w14:paraId="393D957F" w14:textId="5BD86D60" w:rsidR="00DF2B9A" w:rsidRDefault="00DF2B9A" w:rsidP="00DF2B9A">
            <w:pPr>
              <w:pStyle w:val="ListParagraph"/>
              <w:ind w:left="0"/>
              <w:rPr>
                <w:rFonts w:ascii="Arial" w:eastAsia="Arial" w:hAnsi="Arial" w:cs="Arial"/>
              </w:rPr>
            </w:pPr>
            <w:r>
              <w:rPr>
                <w:rFonts w:ascii="Arial" w:eastAsia="Arial" w:hAnsi="Arial" w:cs="Arial"/>
              </w:rPr>
              <w:t>24 hours</w:t>
            </w:r>
          </w:p>
        </w:tc>
        <w:tc>
          <w:tcPr>
            <w:tcW w:w="1634" w:type="dxa"/>
          </w:tcPr>
          <w:p w14:paraId="0A9CFD5C" w14:textId="06A935DE" w:rsidR="00DF2B9A" w:rsidRDefault="00DF2B9A" w:rsidP="00DF2B9A">
            <w:pPr>
              <w:pStyle w:val="ListParagraph"/>
              <w:ind w:left="0"/>
              <w:rPr>
                <w:rFonts w:ascii="Arial" w:eastAsia="Arial" w:hAnsi="Arial" w:cs="Arial"/>
              </w:rPr>
            </w:pPr>
            <w:r>
              <w:rPr>
                <w:rFonts w:ascii="Arial" w:eastAsia="Arial" w:hAnsi="Arial" w:cs="Arial"/>
              </w:rPr>
              <w:t>24 hours</w:t>
            </w:r>
          </w:p>
        </w:tc>
        <w:tc>
          <w:tcPr>
            <w:tcW w:w="1617" w:type="dxa"/>
          </w:tcPr>
          <w:p w14:paraId="43B06C31" w14:textId="602D6396" w:rsidR="00DF2B9A" w:rsidRDefault="00DF2B9A" w:rsidP="00DF2B9A">
            <w:pPr>
              <w:pStyle w:val="ListParagraph"/>
              <w:ind w:left="0"/>
              <w:rPr>
                <w:rFonts w:ascii="Arial" w:eastAsia="Arial" w:hAnsi="Arial" w:cs="Arial"/>
              </w:rPr>
            </w:pPr>
            <w:r>
              <w:rPr>
                <w:rFonts w:ascii="Arial" w:eastAsia="Arial" w:hAnsi="Arial" w:cs="Arial"/>
              </w:rPr>
              <w:t>24 hours</w:t>
            </w:r>
          </w:p>
        </w:tc>
      </w:tr>
      <w:tr w:rsidR="00DF2B9A" w14:paraId="3624E8AF" w14:textId="77777777" w:rsidTr="00DF2B9A">
        <w:trPr>
          <w:trHeight w:val="246"/>
        </w:trPr>
        <w:tc>
          <w:tcPr>
            <w:tcW w:w="1940" w:type="dxa"/>
          </w:tcPr>
          <w:p w14:paraId="6A441B46" w14:textId="0D3BD7D1" w:rsidR="00DF2B9A" w:rsidRDefault="00DF2B9A" w:rsidP="00DF2B9A">
            <w:pPr>
              <w:pStyle w:val="ListParagraph"/>
              <w:ind w:left="0"/>
              <w:rPr>
                <w:rFonts w:ascii="Arial" w:eastAsia="Arial" w:hAnsi="Arial" w:cs="Arial"/>
              </w:rPr>
            </w:pPr>
            <w:r>
              <w:rPr>
                <w:rFonts w:ascii="Arial" w:eastAsia="Arial" w:hAnsi="Arial" w:cs="Arial"/>
              </w:rPr>
              <w:t>Emergency surgery</w:t>
            </w:r>
          </w:p>
        </w:tc>
        <w:tc>
          <w:tcPr>
            <w:tcW w:w="1984" w:type="dxa"/>
          </w:tcPr>
          <w:p w14:paraId="51D73A20" w14:textId="66B95BCC" w:rsidR="00DF2B9A" w:rsidRDefault="00DF2B9A" w:rsidP="00DF2B9A">
            <w:pPr>
              <w:pStyle w:val="ListParagraph"/>
              <w:ind w:left="0"/>
              <w:rPr>
                <w:rFonts w:ascii="Arial" w:eastAsia="Arial" w:hAnsi="Arial" w:cs="Arial"/>
              </w:rPr>
            </w:pPr>
            <w:r>
              <w:rPr>
                <w:rFonts w:ascii="Arial" w:eastAsia="Arial" w:hAnsi="Arial" w:cs="Arial"/>
              </w:rPr>
              <w:t>Daily list</w:t>
            </w:r>
          </w:p>
        </w:tc>
        <w:tc>
          <w:tcPr>
            <w:tcW w:w="1634" w:type="dxa"/>
          </w:tcPr>
          <w:p w14:paraId="48DDB477" w14:textId="430B7190" w:rsidR="00DF2B9A" w:rsidRDefault="00DF2B9A" w:rsidP="00DF2B9A">
            <w:pPr>
              <w:pStyle w:val="ListParagraph"/>
              <w:ind w:left="0"/>
              <w:rPr>
                <w:rFonts w:ascii="Arial" w:eastAsia="Arial" w:hAnsi="Arial" w:cs="Arial"/>
              </w:rPr>
            </w:pPr>
            <w:r>
              <w:rPr>
                <w:rFonts w:ascii="Arial" w:eastAsia="Arial" w:hAnsi="Arial" w:cs="Arial"/>
              </w:rPr>
              <w:t>Daily list</w:t>
            </w:r>
          </w:p>
        </w:tc>
        <w:tc>
          <w:tcPr>
            <w:tcW w:w="1617" w:type="dxa"/>
          </w:tcPr>
          <w:p w14:paraId="7C612712" w14:textId="5E159F62" w:rsidR="00DF2B9A" w:rsidRDefault="00DF2B9A" w:rsidP="00DF2B9A">
            <w:pPr>
              <w:pStyle w:val="ListParagraph"/>
              <w:ind w:left="0"/>
              <w:rPr>
                <w:rFonts w:ascii="Arial" w:eastAsia="Arial" w:hAnsi="Arial" w:cs="Arial"/>
              </w:rPr>
            </w:pPr>
            <w:r>
              <w:rPr>
                <w:rFonts w:ascii="Arial" w:eastAsia="Arial" w:hAnsi="Arial" w:cs="Arial"/>
              </w:rPr>
              <w:t>Daily list</w:t>
            </w:r>
          </w:p>
        </w:tc>
      </w:tr>
    </w:tbl>
    <w:p w14:paraId="742E49A3" w14:textId="2ECBDE30" w:rsidR="00AB76DC" w:rsidRDefault="00AB76DC" w:rsidP="00AF7894">
      <w:pPr>
        <w:rPr>
          <w:rFonts w:ascii="Arial" w:eastAsia="Arial" w:hAnsi="Arial" w:cs="Arial"/>
        </w:rPr>
      </w:pPr>
    </w:p>
    <w:p w14:paraId="4C831347" w14:textId="24A28C28" w:rsidR="00AB76DC" w:rsidRPr="00BC1E6B" w:rsidRDefault="0025699F" w:rsidP="005E0D57">
      <w:pPr>
        <w:pStyle w:val="Heading2"/>
        <w:numPr>
          <w:ilvl w:val="2"/>
          <w:numId w:val="1"/>
        </w:numPr>
        <w:rPr>
          <w:rFonts w:ascii="Arial" w:eastAsia="Arial" w:hAnsi="Arial" w:cs="Arial"/>
          <w:color w:val="000000"/>
        </w:rPr>
      </w:pPr>
      <w:bookmarkStart w:id="138" w:name="_Toc30670675"/>
      <w:bookmarkStart w:id="139" w:name="_Toc32842694"/>
      <w:r>
        <w:rPr>
          <w:rFonts w:ascii="Arial" w:eastAsia="Arial" w:hAnsi="Arial" w:cs="Arial"/>
          <w:color w:val="000000"/>
        </w:rPr>
        <w:t>Capacity</w:t>
      </w:r>
      <w:r w:rsidR="00AB76DC">
        <w:rPr>
          <w:rFonts w:ascii="Arial" w:eastAsia="Arial" w:hAnsi="Arial" w:cs="Arial"/>
          <w:color w:val="000000"/>
        </w:rPr>
        <w:t xml:space="preserve"> requirements</w:t>
      </w:r>
      <w:bookmarkEnd w:id="138"/>
      <w:bookmarkEnd w:id="139"/>
    </w:p>
    <w:p w14:paraId="5E17A789" w14:textId="2D0F425B" w:rsidR="00AB76DC" w:rsidRDefault="00AB76DC" w:rsidP="00AB76DC">
      <w:pPr>
        <w:spacing w:after="0"/>
        <w:rPr>
          <w:rFonts w:ascii="Arial" w:eastAsia="Arial" w:hAnsi="Arial" w:cs="Arial"/>
        </w:rPr>
      </w:pPr>
    </w:p>
    <w:p w14:paraId="1433ACD5" w14:textId="4003049E" w:rsidR="00AB76DC" w:rsidRDefault="00AB76DC" w:rsidP="00AF7894">
      <w:pPr>
        <w:rPr>
          <w:rFonts w:ascii="Arial" w:eastAsia="Arial" w:hAnsi="Arial" w:cs="Arial"/>
        </w:rPr>
      </w:pPr>
      <w:r>
        <w:rPr>
          <w:rFonts w:ascii="Arial" w:eastAsia="Arial" w:hAnsi="Arial" w:cs="Arial"/>
        </w:rPr>
        <w:t xml:space="preserve">The demand modelling set out the numbers of each type of room which will be required in </w:t>
      </w:r>
      <w:r w:rsidRPr="00587DF1">
        <w:rPr>
          <w:rFonts w:ascii="Arial" w:eastAsia="Arial" w:hAnsi="Arial" w:cs="Arial"/>
        </w:rPr>
        <w:t xml:space="preserve">in </w:t>
      </w:r>
      <w:r w:rsidRPr="00AB76DC">
        <w:rPr>
          <w:rFonts w:ascii="Arial" w:eastAsia="Arial" w:hAnsi="Arial" w:cs="Arial"/>
        </w:rPr>
        <w:t xml:space="preserve">the year of Oriel opening, 5 years, and 10 years thereafter. This is shown in </w:t>
      </w:r>
      <w:r w:rsidRPr="00AB76DC">
        <w:rPr>
          <w:rFonts w:ascii="Arial" w:eastAsia="Arial" w:hAnsi="Arial" w:cs="Arial"/>
        </w:rPr>
        <w:fldChar w:fldCharType="begin"/>
      </w:r>
      <w:r w:rsidRPr="00AB76DC">
        <w:rPr>
          <w:rFonts w:ascii="Arial" w:eastAsia="Arial" w:hAnsi="Arial" w:cs="Arial"/>
        </w:rPr>
        <w:instrText xml:space="preserve"> REF _Ref30669412 \h </w:instrText>
      </w:r>
      <w:r>
        <w:rPr>
          <w:rFonts w:ascii="Arial" w:eastAsia="Arial" w:hAnsi="Arial" w:cs="Arial"/>
        </w:rPr>
        <w:instrText xml:space="preserve"> \* MERGEFORMAT </w:instrText>
      </w:r>
      <w:r w:rsidRPr="00AB76DC">
        <w:rPr>
          <w:rFonts w:ascii="Arial" w:eastAsia="Arial" w:hAnsi="Arial" w:cs="Arial"/>
        </w:rPr>
      </w:r>
      <w:r w:rsidRPr="00AB76DC">
        <w:rPr>
          <w:rFonts w:ascii="Arial" w:eastAsia="Arial" w:hAnsi="Arial" w:cs="Arial"/>
        </w:rPr>
        <w:fldChar w:fldCharType="separate"/>
      </w:r>
      <w:r w:rsidR="00A936CD" w:rsidRPr="00A936CD">
        <w:rPr>
          <w:rFonts w:ascii="Arial" w:hAnsi="Arial" w:cs="Arial"/>
        </w:rPr>
        <w:t xml:space="preserve">Table </w:t>
      </w:r>
      <w:r w:rsidR="00A936CD" w:rsidRPr="00A936CD">
        <w:rPr>
          <w:rFonts w:ascii="Arial" w:hAnsi="Arial" w:cs="Arial"/>
          <w:noProof/>
        </w:rPr>
        <w:t>12</w:t>
      </w:r>
      <w:r w:rsidRPr="00AB76DC">
        <w:rPr>
          <w:rFonts w:ascii="Arial" w:eastAsia="Arial" w:hAnsi="Arial" w:cs="Arial"/>
        </w:rPr>
        <w:fldChar w:fldCharType="end"/>
      </w:r>
      <w:r w:rsidRPr="00AB76DC">
        <w:rPr>
          <w:rFonts w:ascii="Arial" w:eastAsia="Arial" w:hAnsi="Arial" w:cs="Arial"/>
        </w:rPr>
        <w:t>. The</w:t>
      </w:r>
      <w:r>
        <w:rPr>
          <w:rFonts w:ascii="Arial" w:eastAsia="Arial" w:hAnsi="Arial" w:cs="Arial"/>
        </w:rPr>
        <w:t xml:space="preserve"> Schedule of Accommodation (SoA) has been developed to deliver an efficient and cost-effective design, while also ensuring the building has sufficient capacity for future. It should be noted that any capacity which is not used in the first years after opening could help alleviate system-wide capacity pressures.</w:t>
      </w:r>
    </w:p>
    <w:p w14:paraId="36F23FB4" w14:textId="37B8ED16" w:rsidR="00AB76DC" w:rsidRDefault="00AB76DC" w:rsidP="00AF7894">
      <w:pPr>
        <w:rPr>
          <w:rFonts w:ascii="Arial" w:eastAsia="Arial" w:hAnsi="Arial" w:cs="Arial"/>
          <w:color w:val="000000"/>
        </w:rPr>
      </w:pPr>
      <w:r w:rsidRPr="00587DF1">
        <w:rPr>
          <w:rFonts w:ascii="Arial" w:eastAsia="Arial" w:hAnsi="Arial" w:cs="Arial"/>
          <w:color w:val="000000"/>
        </w:rPr>
        <w:t xml:space="preserve">As at September 2019, 7 out of 14 London trusts providing ophthalmology were performing under the national 92% 18 week RTT </w:t>
      </w:r>
      <w:r w:rsidR="002D66A7">
        <w:rPr>
          <w:rFonts w:ascii="Arial" w:eastAsia="Arial" w:hAnsi="Arial" w:cs="Arial"/>
          <w:color w:val="000000"/>
        </w:rPr>
        <w:t>standard</w:t>
      </w:r>
      <w:r w:rsidRPr="00587DF1">
        <w:rPr>
          <w:rFonts w:ascii="Arial" w:eastAsia="Arial" w:hAnsi="Arial" w:cs="Arial"/>
          <w:color w:val="000000"/>
        </w:rPr>
        <w:t xml:space="preserve"> (note, data only available for 14 </w:t>
      </w:r>
      <w:r>
        <w:rPr>
          <w:rFonts w:ascii="Arial" w:eastAsia="Arial" w:hAnsi="Arial" w:cs="Arial"/>
          <w:color w:val="000000"/>
        </w:rPr>
        <w:t xml:space="preserve">of 17 </w:t>
      </w:r>
      <w:r w:rsidRPr="00587DF1">
        <w:rPr>
          <w:rFonts w:ascii="Arial" w:eastAsia="Arial" w:hAnsi="Arial" w:cs="Arial"/>
          <w:color w:val="000000"/>
        </w:rPr>
        <w:t xml:space="preserve">trusts). Over 7,000 patients were in breach of this target. Additional theatres in Oriel </w:t>
      </w:r>
      <w:r>
        <w:rPr>
          <w:rFonts w:ascii="Arial" w:eastAsia="Arial" w:hAnsi="Arial" w:cs="Arial"/>
          <w:color w:val="000000"/>
        </w:rPr>
        <w:t xml:space="preserve">will </w:t>
      </w:r>
      <w:r w:rsidRPr="00587DF1">
        <w:rPr>
          <w:rFonts w:ascii="Arial" w:eastAsia="Arial" w:hAnsi="Arial" w:cs="Arial"/>
          <w:color w:val="000000"/>
        </w:rPr>
        <w:t xml:space="preserve">relieve the system-wide pressure on ophthalmology capacity, particularly during winter when general acute trusts experience higher levels of unplanned care so are more likely to cancel elective ophthalmology activity. This will </w:t>
      </w:r>
      <w:r>
        <w:rPr>
          <w:rFonts w:ascii="Arial" w:eastAsia="Arial" w:hAnsi="Arial" w:cs="Arial"/>
          <w:color w:val="000000"/>
        </w:rPr>
        <w:t>provide</w:t>
      </w:r>
      <w:r w:rsidRPr="00587DF1">
        <w:rPr>
          <w:rFonts w:ascii="Arial" w:eastAsia="Arial" w:hAnsi="Arial" w:cs="Arial"/>
          <w:color w:val="000000"/>
        </w:rPr>
        <w:t xml:space="preserve"> appropriate capacity to manage long term growth (10+ years)</w:t>
      </w:r>
      <w:r>
        <w:rPr>
          <w:rFonts w:ascii="Arial" w:eastAsia="Arial" w:hAnsi="Arial" w:cs="Arial"/>
          <w:color w:val="000000"/>
        </w:rPr>
        <w:t>.</w:t>
      </w:r>
    </w:p>
    <w:p w14:paraId="2F6B5A14" w14:textId="00410660" w:rsidR="00AB76DC" w:rsidRPr="00587DF1" w:rsidRDefault="00AB76DC" w:rsidP="00AB76DC">
      <w:pPr>
        <w:pStyle w:val="Caption"/>
      </w:pPr>
      <w:bookmarkStart w:id="140" w:name="_Ref30669412"/>
      <w:bookmarkStart w:id="141" w:name="_Hlk32937531"/>
      <w:r w:rsidRPr="00587DF1">
        <w:t xml:space="preserve">Table </w:t>
      </w:r>
      <w:r w:rsidRPr="00587DF1">
        <w:fldChar w:fldCharType="begin"/>
      </w:r>
      <w:r w:rsidRPr="00587DF1">
        <w:instrText xml:space="preserve"> SEQ Table \* ARABIC </w:instrText>
      </w:r>
      <w:r w:rsidRPr="00587DF1">
        <w:fldChar w:fldCharType="separate"/>
      </w:r>
      <w:r w:rsidR="00A936CD">
        <w:rPr>
          <w:noProof/>
        </w:rPr>
        <w:t>12</w:t>
      </w:r>
      <w:r w:rsidRPr="00587DF1">
        <w:fldChar w:fldCharType="end"/>
      </w:r>
      <w:bookmarkEnd w:id="140"/>
      <w:r w:rsidRPr="00587DF1">
        <w:t>:</w:t>
      </w:r>
      <w:r w:rsidRPr="00587DF1">
        <w:rPr>
          <w:b w:val="0"/>
          <w:bCs w:val="0"/>
        </w:rPr>
        <w:t xml:space="preserve"> Current and planned room numbers</w:t>
      </w:r>
    </w:p>
    <w:tbl>
      <w:tblPr>
        <w:tblW w:w="5000" w:type="pct"/>
        <w:tblInd w:w="-459" w:type="dxa"/>
        <w:tblLook w:val="04A0" w:firstRow="1" w:lastRow="0" w:firstColumn="1" w:lastColumn="0" w:noHBand="0" w:noVBand="1"/>
      </w:tblPr>
      <w:tblGrid>
        <w:gridCol w:w="3636"/>
        <w:gridCol w:w="583"/>
        <w:gridCol w:w="584"/>
        <w:gridCol w:w="584"/>
        <w:gridCol w:w="584"/>
        <w:gridCol w:w="584"/>
        <w:gridCol w:w="584"/>
        <w:gridCol w:w="584"/>
        <w:gridCol w:w="584"/>
        <w:gridCol w:w="584"/>
        <w:gridCol w:w="584"/>
      </w:tblGrid>
      <w:tr w:rsidR="00DE33FC" w:rsidRPr="00587DF1" w14:paraId="40C6E1AC" w14:textId="77777777" w:rsidTr="00DE33FC">
        <w:trPr>
          <w:cantSplit/>
          <w:trHeight w:val="1893"/>
        </w:trPr>
        <w:tc>
          <w:tcPr>
            <w:tcW w:w="1764" w:type="pct"/>
            <w:tcBorders>
              <w:top w:val="single" w:sz="4" w:space="0" w:color="auto"/>
              <w:left w:val="single" w:sz="4" w:space="0" w:color="auto"/>
              <w:bottom w:val="single" w:sz="4" w:space="0" w:color="auto"/>
              <w:right w:val="single" w:sz="4" w:space="0" w:color="auto"/>
            </w:tcBorders>
            <w:noWrap/>
            <w:vAlign w:val="center"/>
            <w:hideMark/>
          </w:tcPr>
          <w:p w14:paraId="446B6E1C" w14:textId="77777777" w:rsidR="00AB76DC" w:rsidRPr="00587DF1" w:rsidRDefault="00AB76DC" w:rsidP="0025699F">
            <w:pPr>
              <w:rPr>
                <w:rFonts w:ascii="Arial" w:eastAsia="Arial" w:hAnsi="Arial" w:cs="Arial"/>
                <w:b/>
                <w:bCs/>
                <w:sz w:val="20"/>
              </w:rPr>
            </w:pPr>
            <w:bookmarkStart w:id="142" w:name="_Hlk32566220"/>
            <w:bookmarkStart w:id="143" w:name="_Hlk33112402"/>
            <w:r w:rsidRPr="00587DF1">
              <w:rPr>
                <w:rFonts w:ascii="Arial" w:eastAsia="Arial" w:hAnsi="Arial" w:cs="Arial"/>
                <w:b/>
                <w:bCs/>
                <w:sz w:val="20"/>
              </w:rPr>
              <w:t>ROOMS</w:t>
            </w:r>
          </w:p>
        </w:tc>
        <w:tc>
          <w:tcPr>
            <w:tcW w:w="324" w:type="pct"/>
            <w:tcBorders>
              <w:top w:val="single" w:sz="4" w:space="0" w:color="auto"/>
              <w:left w:val="single" w:sz="4" w:space="0" w:color="auto"/>
              <w:bottom w:val="single" w:sz="4" w:space="0" w:color="auto"/>
              <w:right w:val="single" w:sz="4" w:space="0" w:color="auto"/>
            </w:tcBorders>
            <w:textDirection w:val="btLr"/>
            <w:vAlign w:val="center"/>
            <w:hideMark/>
          </w:tcPr>
          <w:p w14:paraId="686BEE87" w14:textId="77777777" w:rsidR="00AB76DC" w:rsidRPr="00587DF1" w:rsidRDefault="00AB76DC" w:rsidP="0025699F">
            <w:pPr>
              <w:ind w:left="113" w:right="113"/>
              <w:rPr>
                <w:rFonts w:ascii="Arial" w:eastAsia="Arial" w:hAnsi="Arial" w:cs="Arial"/>
                <w:bCs/>
                <w:sz w:val="20"/>
              </w:rPr>
            </w:pPr>
            <w:r w:rsidRPr="00587DF1">
              <w:rPr>
                <w:rFonts w:ascii="Arial" w:eastAsia="Arial" w:hAnsi="Arial" w:cs="Arial"/>
                <w:bCs/>
                <w:sz w:val="20"/>
              </w:rPr>
              <w:t>A&amp;E Cubicles</w:t>
            </w:r>
            <w:r w:rsidRPr="00587DF1">
              <w:rPr>
                <w:rFonts w:ascii="Arial" w:eastAsia="Arial" w:hAnsi="Arial" w:cs="Arial"/>
                <w:bCs/>
                <w:sz w:val="20"/>
                <w:vertAlign w:val="superscript"/>
              </w:rPr>
              <w:t>1</w:t>
            </w:r>
            <w:r w:rsidRPr="00587DF1">
              <w:rPr>
                <w:rFonts w:ascii="Arial" w:eastAsia="Arial" w:hAnsi="Arial" w:cs="Arial"/>
                <w:bCs/>
                <w:sz w:val="20"/>
              </w:rPr>
              <w:t xml:space="preserve"> </w:t>
            </w:r>
          </w:p>
        </w:tc>
        <w:tc>
          <w:tcPr>
            <w:tcW w:w="324" w:type="pct"/>
            <w:tcBorders>
              <w:top w:val="single" w:sz="4" w:space="0" w:color="auto"/>
              <w:left w:val="single" w:sz="4" w:space="0" w:color="auto"/>
              <w:bottom w:val="single" w:sz="4" w:space="0" w:color="auto"/>
              <w:right w:val="single" w:sz="4" w:space="0" w:color="auto"/>
            </w:tcBorders>
            <w:textDirection w:val="btLr"/>
            <w:vAlign w:val="center"/>
            <w:hideMark/>
          </w:tcPr>
          <w:p w14:paraId="0FAAA064" w14:textId="77777777" w:rsidR="00AB76DC" w:rsidRPr="00587DF1" w:rsidRDefault="00AB76DC" w:rsidP="0025699F">
            <w:pPr>
              <w:ind w:left="113" w:right="113"/>
              <w:rPr>
                <w:rFonts w:ascii="Arial" w:eastAsia="Arial" w:hAnsi="Arial" w:cs="Arial"/>
                <w:bCs/>
                <w:sz w:val="20"/>
              </w:rPr>
            </w:pPr>
            <w:r w:rsidRPr="00587DF1">
              <w:rPr>
                <w:rFonts w:ascii="Arial" w:eastAsia="Arial" w:hAnsi="Arial" w:cs="Arial"/>
                <w:bCs/>
                <w:sz w:val="20"/>
              </w:rPr>
              <w:t>Urgent Care</w:t>
            </w:r>
          </w:p>
        </w:tc>
        <w:tc>
          <w:tcPr>
            <w:tcW w:w="324" w:type="pct"/>
            <w:tcBorders>
              <w:top w:val="single" w:sz="4" w:space="0" w:color="auto"/>
              <w:left w:val="single" w:sz="4" w:space="0" w:color="auto"/>
              <w:bottom w:val="single" w:sz="4" w:space="0" w:color="auto"/>
              <w:right w:val="single" w:sz="4" w:space="0" w:color="auto"/>
            </w:tcBorders>
            <w:textDirection w:val="btLr"/>
            <w:vAlign w:val="center"/>
            <w:hideMark/>
          </w:tcPr>
          <w:p w14:paraId="1FD7CCA9" w14:textId="32E892C2" w:rsidR="00AB76DC" w:rsidRPr="00587DF1" w:rsidRDefault="00AB76DC" w:rsidP="0025699F">
            <w:pPr>
              <w:ind w:left="113" w:right="113"/>
              <w:rPr>
                <w:rFonts w:ascii="Arial" w:eastAsia="Arial" w:hAnsi="Arial" w:cs="Arial"/>
                <w:bCs/>
                <w:sz w:val="20"/>
              </w:rPr>
            </w:pPr>
            <w:r w:rsidRPr="00587DF1">
              <w:rPr>
                <w:rFonts w:ascii="Arial" w:eastAsia="Arial" w:hAnsi="Arial" w:cs="Arial"/>
                <w:bCs/>
                <w:sz w:val="20"/>
              </w:rPr>
              <w:t>Consult /Exam OPD Room</w:t>
            </w:r>
            <w:r w:rsidRPr="00587DF1">
              <w:rPr>
                <w:rFonts w:ascii="Arial" w:eastAsia="Arial" w:hAnsi="Arial" w:cs="Arial"/>
                <w:bCs/>
                <w:sz w:val="20"/>
                <w:vertAlign w:val="superscript"/>
              </w:rPr>
              <w:t>2</w:t>
            </w:r>
          </w:p>
        </w:tc>
        <w:tc>
          <w:tcPr>
            <w:tcW w:w="324" w:type="pct"/>
            <w:tcBorders>
              <w:top w:val="single" w:sz="4" w:space="0" w:color="auto"/>
              <w:left w:val="single" w:sz="4" w:space="0" w:color="auto"/>
              <w:bottom w:val="single" w:sz="4" w:space="0" w:color="auto"/>
              <w:right w:val="single" w:sz="4" w:space="0" w:color="auto"/>
            </w:tcBorders>
            <w:textDirection w:val="btLr"/>
            <w:vAlign w:val="center"/>
            <w:hideMark/>
          </w:tcPr>
          <w:p w14:paraId="34D328F1" w14:textId="77777777" w:rsidR="00AB76DC" w:rsidRPr="00587DF1" w:rsidRDefault="00AB76DC" w:rsidP="0025699F">
            <w:pPr>
              <w:ind w:left="113" w:right="113"/>
              <w:rPr>
                <w:rFonts w:ascii="Arial" w:eastAsia="Arial" w:hAnsi="Arial" w:cs="Arial"/>
                <w:bCs/>
                <w:sz w:val="20"/>
              </w:rPr>
            </w:pPr>
            <w:r w:rsidRPr="00587DF1">
              <w:rPr>
                <w:rFonts w:ascii="Arial" w:eastAsia="Arial" w:hAnsi="Arial" w:cs="Arial"/>
                <w:bCs/>
                <w:sz w:val="20"/>
              </w:rPr>
              <w:t>Diagnostic (various  sizes)</w:t>
            </w:r>
          </w:p>
        </w:tc>
        <w:tc>
          <w:tcPr>
            <w:tcW w:w="324" w:type="pct"/>
            <w:tcBorders>
              <w:top w:val="single" w:sz="4" w:space="0" w:color="auto"/>
              <w:left w:val="single" w:sz="4" w:space="0" w:color="auto"/>
              <w:bottom w:val="single" w:sz="4" w:space="0" w:color="auto"/>
              <w:right w:val="single" w:sz="4" w:space="0" w:color="auto"/>
            </w:tcBorders>
            <w:textDirection w:val="btLr"/>
            <w:vAlign w:val="center"/>
            <w:hideMark/>
          </w:tcPr>
          <w:p w14:paraId="23D66C36" w14:textId="77777777" w:rsidR="00AB76DC" w:rsidRPr="00587DF1" w:rsidRDefault="00AB76DC" w:rsidP="0025699F">
            <w:pPr>
              <w:ind w:left="113" w:right="113"/>
              <w:rPr>
                <w:rFonts w:ascii="Arial" w:eastAsia="Arial" w:hAnsi="Arial" w:cs="Arial"/>
                <w:bCs/>
                <w:sz w:val="20"/>
              </w:rPr>
            </w:pPr>
            <w:r w:rsidRPr="00587DF1">
              <w:rPr>
                <w:rFonts w:ascii="Arial" w:eastAsia="Arial" w:hAnsi="Arial" w:cs="Arial"/>
                <w:bCs/>
                <w:sz w:val="20"/>
              </w:rPr>
              <w:t>Visual Fields</w:t>
            </w:r>
          </w:p>
        </w:tc>
        <w:tc>
          <w:tcPr>
            <w:tcW w:w="324" w:type="pct"/>
            <w:tcBorders>
              <w:top w:val="single" w:sz="4" w:space="0" w:color="auto"/>
              <w:left w:val="single" w:sz="4" w:space="0" w:color="auto"/>
              <w:bottom w:val="single" w:sz="4" w:space="0" w:color="auto"/>
              <w:right w:val="single" w:sz="4" w:space="0" w:color="auto"/>
            </w:tcBorders>
            <w:textDirection w:val="btLr"/>
            <w:vAlign w:val="center"/>
            <w:hideMark/>
          </w:tcPr>
          <w:p w14:paraId="7402121B" w14:textId="0F1990BB" w:rsidR="00AB76DC" w:rsidRPr="00587DF1" w:rsidRDefault="00CC6715" w:rsidP="0025699F">
            <w:pPr>
              <w:ind w:left="113" w:right="113"/>
              <w:rPr>
                <w:rFonts w:ascii="Arial" w:eastAsia="Arial" w:hAnsi="Arial" w:cs="Arial"/>
                <w:bCs/>
                <w:sz w:val="20"/>
              </w:rPr>
            </w:pPr>
            <w:r>
              <w:rPr>
                <w:rFonts w:ascii="Arial" w:eastAsia="Arial" w:hAnsi="Arial" w:cs="Arial"/>
                <w:bCs/>
                <w:sz w:val="20"/>
              </w:rPr>
              <w:t xml:space="preserve">Virtual Care </w:t>
            </w:r>
            <w:r w:rsidR="00AB76DC" w:rsidRPr="00587DF1">
              <w:rPr>
                <w:rFonts w:ascii="Arial" w:eastAsia="Arial" w:hAnsi="Arial" w:cs="Arial"/>
                <w:bCs/>
                <w:sz w:val="20"/>
              </w:rPr>
              <w:t>Diagnostic Centre</w:t>
            </w:r>
          </w:p>
        </w:tc>
        <w:tc>
          <w:tcPr>
            <w:tcW w:w="324" w:type="pct"/>
            <w:tcBorders>
              <w:top w:val="single" w:sz="4" w:space="0" w:color="auto"/>
              <w:left w:val="single" w:sz="4" w:space="0" w:color="auto"/>
              <w:bottom w:val="single" w:sz="4" w:space="0" w:color="auto"/>
              <w:right w:val="single" w:sz="4" w:space="0" w:color="auto"/>
            </w:tcBorders>
            <w:textDirection w:val="btLr"/>
            <w:vAlign w:val="center"/>
            <w:hideMark/>
          </w:tcPr>
          <w:p w14:paraId="0E7D8262" w14:textId="77777777" w:rsidR="00AB76DC" w:rsidRPr="00587DF1" w:rsidRDefault="00AB76DC" w:rsidP="0025699F">
            <w:pPr>
              <w:ind w:left="113" w:right="113"/>
              <w:rPr>
                <w:rFonts w:ascii="Arial" w:eastAsia="Arial" w:hAnsi="Arial" w:cs="Arial"/>
                <w:bCs/>
                <w:sz w:val="20"/>
              </w:rPr>
            </w:pPr>
            <w:r w:rsidRPr="00587DF1">
              <w:rPr>
                <w:rFonts w:ascii="Arial" w:eastAsia="Arial" w:hAnsi="Arial" w:cs="Arial"/>
                <w:bCs/>
                <w:sz w:val="20"/>
              </w:rPr>
              <w:t>Injection</w:t>
            </w:r>
          </w:p>
        </w:tc>
        <w:tc>
          <w:tcPr>
            <w:tcW w:w="324" w:type="pct"/>
            <w:tcBorders>
              <w:top w:val="single" w:sz="4" w:space="0" w:color="auto"/>
              <w:left w:val="single" w:sz="4" w:space="0" w:color="auto"/>
              <w:bottom w:val="single" w:sz="4" w:space="0" w:color="auto"/>
              <w:right w:val="single" w:sz="4" w:space="0" w:color="auto"/>
            </w:tcBorders>
            <w:textDirection w:val="btLr"/>
            <w:vAlign w:val="center"/>
            <w:hideMark/>
          </w:tcPr>
          <w:p w14:paraId="7FFFA4B7" w14:textId="77777777" w:rsidR="00AB76DC" w:rsidRPr="00587DF1" w:rsidRDefault="00AB76DC" w:rsidP="0025699F">
            <w:pPr>
              <w:ind w:left="113" w:right="113"/>
              <w:rPr>
                <w:rFonts w:ascii="Arial" w:eastAsia="Arial" w:hAnsi="Arial" w:cs="Arial"/>
                <w:bCs/>
                <w:sz w:val="20"/>
              </w:rPr>
            </w:pPr>
            <w:r w:rsidRPr="00587DF1">
              <w:rPr>
                <w:rFonts w:ascii="Arial" w:eastAsia="Arial" w:hAnsi="Arial" w:cs="Arial"/>
                <w:bCs/>
                <w:sz w:val="20"/>
              </w:rPr>
              <w:t>Theatres (NHS)</w:t>
            </w:r>
          </w:p>
        </w:tc>
        <w:tc>
          <w:tcPr>
            <w:tcW w:w="324" w:type="pct"/>
            <w:tcBorders>
              <w:top w:val="single" w:sz="4" w:space="0" w:color="auto"/>
              <w:left w:val="single" w:sz="4" w:space="0" w:color="auto"/>
              <w:bottom w:val="single" w:sz="4" w:space="0" w:color="auto"/>
              <w:right w:val="single" w:sz="4" w:space="0" w:color="auto"/>
            </w:tcBorders>
            <w:textDirection w:val="btLr"/>
            <w:vAlign w:val="center"/>
            <w:hideMark/>
          </w:tcPr>
          <w:p w14:paraId="0D5F0CC0" w14:textId="77777777" w:rsidR="00AB76DC" w:rsidRPr="00587DF1" w:rsidRDefault="00AB76DC" w:rsidP="0025699F">
            <w:pPr>
              <w:ind w:left="113" w:right="113"/>
              <w:rPr>
                <w:rFonts w:ascii="Arial" w:eastAsia="Arial" w:hAnsi="Arial" w:cs="Arial"/>
                <w:bCs/>
                <w:sz w:val="20"/>
              </w:rPr>
            </w:pPr>
            <w:r w:rsidRPr="00587DF1">
              <w:rPr>
                <w:rFonts w:ascii="Arial" w:eastAsia="Arial" w:hAnsi="Arial" w:cs="Arial"/>
                <w:bCs/>
                <w:sz w:val="20"/>
              </w:rPr>
              <w:t>Theatres (Private)</w:t>
            </w:r>
          </w:p>
        </w:tc>
        <w:tc>
          <w:tcPr>
            <w:tcW w:w="324" w:type="pct"/>
            <w:tcBorders>
              <w:top w:val="single" w:sz="4" w:space="0" w:color="auto"/>
              <w:left w:val="single" w:sz="4" w:space="0" w:color="auto"/>
              <w:bottom w:val="single" w:sz="4" w:space="0" w:color="auto"/>
              <w:right w:val="single" w:sz="4" w:space="0" w:color="auto"/>
            </w:tcBorders>
            <w:textDirection w:val="btLr"/>
            <w:hideMark/>
          </w:tcPr>
          <w:p w14:paraId="1278D66D" w14:textId="77777777" w:rsidR="00AB76DC" w:rsidRPr="00587DF1" w:rsidRDefault="00AB76DC" w:rsidP="0025699F">
            <w:pPr>
              <w:ind w:left="113" w:right="113"/>
              <w:rPr>
                <w:rFonts w:ascii="Arial" w:eastAsia="Arial" w:hAnsi="Arial" w:cs="Arial"/>
                <w:bCs/>
                <w:sz w:val="20"/>
              </w:rPr>
            </w:pPr>
            <w:r w:rsidRPr="00587DF1">
              <w:rPr>
                <w:rFonts w:ascii="Arial" w:eastAsia="Arial" w:hAnsi="Arial" w:cs="Arial"/>
                <w:bCs/>
                <w:sz w:val="20"/>
              </w:rPr>
              <w:t>Minor Ops (theatre 9)</w:t>
            </w:r>
          </w:p>
        </w:tc>
      </w:tr>
      <w:tr w:rsidR="00DE33FC" w:rsidRPr="00587DF1" w14:paraId="6561F8F9" w14:textId="77777777" w:rsidTr="00DE33FC">
        <w:trPr>
          <w:trHeight w:val="210"/>
        </w:trPr>
        <w:tc>
          <w:tcPr>
            <w:tcW w:w="1764" w:type="pct"/>
            <w:tcBorders>
              <w:top w:val="single" w:sz="4" w:space="0" w:color="auto"/>
              <w:left w:val="single" w:sz="4" w:space="0" w:color="auto"/>
              <w:bottom w:val="single" w:sz="4" w:space="0" w:color="auto"/>
              <w:right w:val="single" w:sz="4" w:space="0" w:color="auto"/>
            </w:tcBorders>
            <w:noWrap/>
            <w:vAlign w:val="center"/>
            <w:hideMark/>
          </w:tcPr>
          <w:p w14:paraId="28CC67AA" w14:textId="77777777" w:rsidR="00AB76DC" w:rsidRPr="00587DF1" w:rsidRDefault="00AB76DC" w:rsidP="0025699F">
            <w:pPr>
              <w:spacing w:after="0"/>
              <w:rPr>
                <w:rFonts w:ascii="Arial" w:eastAsia="Arial" w:hAnsi="Arial" w:cs="Arial"/>
                <w:sz w:val="20"/>
              </w:rPr>
            </w:pPr>
            <w:r w:rsidRPr="00587DF1">
              <w:rPr>
                <w:rFonts w:ascii="Arial" w:eastAsia="Arial" w:hAnsi="Arial" w:cs="Arial"/>
                <w:sz w:val="20"/>
              </w:rPr>
              <w:t xml:space="preserve">ADULT </w:t>
            </w:r>
          </w:p>
        </w:tc>
        <w:tc>
          <w:tcPr>
            <w:tcW w:w="324" w:type="pct"/>
            <w:tcBorders>
              <w:top w:val="single" w:sz="4" w:space="0" w:color="auto"/>
              <w:left w:val="single" w:sz="4" w:space="0" w:color="auto"/>
              <w:bottom w:val="single" w:sz="4" w:space="0" w:color="auto"/>
              <w:right w:val="single" w:sz="4" w:space="0" w:color="auto"/>
            </w:tcBorders>
            <w:noWrap/>
            <w:vAlign w:val="center"/>
            <w:hideMark/>
          </w:tcPr>
          <w:p w14:paraId="44B1B8FA" w14:textId="77777777" w:rsidR="00AB76DC" w:rsidRPr="00587DF1" w:rsidRDefault="00AB76DC" w:rsidP="0025699F">
            <w:pPr>
              <w:spacing w:after="0"/>
              <w:jc w:val="center"/>
              <w:rPr>
                <w:rFonts w:ascii="Arial" w:eastAsia="Arial" w:hAnsi="Arial" w:cs="Arial"/>
                <w:sz w:val="20"/>
              </w:rPr>
            </w:pPr>
            <w:r w:rsidRPr="00587DF1">
              <w:rPr>
                <w:rFonts w:ascii="Arial" w:eastAsia="Arial" w:hAnsi="Arial" w:cs="Arial"/>
                <w:sz w:val="20"/>
              </w:rPr>
              <w:t>22</w:t>
            </w:r>
          </w:p>
        </w:tc>
        <w:tc>
          <w:tcPr>
            <w:tcW w:w="324" w:type="pct"/>
            <w:tcBorders>
              <w:top w:val="single" w:sz="4" w:space="0" w:color="auto"/>
              <w:left w:val="single" w:sz="4" w:space="0" w:color="auto"/>
              <w:bottom w:val="single" w:sz="4" w:space="0" w:color="auto"/>
              <w:right w:val="single" w:sz="4" w:space="0" w:color="auto"/>
            </w:tcBorders>
            <w:vAlign w:val="center"/>
            <w:hideMark/>
          </w:tcPr>
          <w:p w14:paraId="71122EF3" w14:textId="77777777" w:rsidR="00AB76DC" w:rsidRPr="00587DF1" w:rsidRDefault="00AB76DC" w:rsidP="0025699F">
            <w:pPr>
              <w:spacing w:after="0"/>
              <w:jc w:val="center"/>
              <w:rPr>
                <w:rFonts w:ascii="Arial" w:eastAsia="Arial" w:hAnsi="Arial" w:cs="Arial"/>
                <w:sz w:val="20"/>
              </w:rPr>
            </w:pPr>
            <w:r w:rsidRPr="00587DF1">
              <w:rPr>
                <w:rFonts w:ascii="Arial" w:eastAsia="Arial" w:hAnsi="Arial" w:cs="Arial"/>
                <w:sz w:val="20"/>
              </w:rPr>
              <w:t>6</w:t>
            </w:r>
          </w:p>
        </w:tc>
        <w:tc>
          <w:tcPr>
            <w:tcW w:w="324" w:type="pct"/>
            <w:tcBorders>
              <w:top w:val="single" w:sz="4" w:space="0" w:color="auto"/>
              <w:left w:val="single" w:sz="4" w:space="0" w:color="auto"/>
              <w:bottom w:val="single" w:sz="4" w:space="0" w:color="auto"/>
              <w:right w:val="single" w:sz="4" w:space="0" w:color="auto"/>
            </w:tcBorders>
            <w:noWrap/>
            <w:vAlign w:val="center"/>
            <w:hideMark/>
          </w:tcPr>
          <w:p w14:paraId="61A02234" w14:textId="77777777" w:rsidR="00AB76DC" w:rsidRPr="00587DF1" w:rsidRDefault="00AB76DC" w:rsidP="0025699F">
            <w:pPr>
              <w:spacing w:after="0"/>
              <w:jc w:val="center"/>
              <w:rPr>
                <w:rFonts w:ascii="Arial" w:eastAsia="Arial" w:hAnsi="Arial" w:cs="Arial"/>
                <w:sz w:val="20"/>
              </w:rPr>
            </w:pPr>
            <w:r w:rsidRPr="00587DF1">
              <w:rPr>
                <w:rFonts w:ascii="Arial" w:eastAsia="Arial" w:hAnsi="Arial" w:cs="Arial"/>
                <w:sz w:val="20"/>
              </w:rPr>
              <w:t>143</w:t>
            </w:r>
          </w:p>
        </w:tc>
        <w:tc>
          <w:tcPr>
            <w:tcW w:w="324" w:type="pct"/>
            <w:tcBorders>
              <w:top w:val="single" w:sz="4" w:space="0" w:color="auto"/>
              <w:left w:val="single" w:sz="4" w:space="0" w:color="auto"/>
              <w:bottom w:val="single" w:sz="4" w:space="0" w:color="auto"/>
              <w:right w:val="single" w:sz="4" w:space="0" w:color="auto"/>
            </w:tcBorders>
            <w:vAlign w:val="center"/>
            <w:hideMark/>
          </w:tcPr>
          <w:p w14:paraId="574CFD88" w14:textId="77777777" w:rsidR="00AB76DC" w:rsidRPr="00587DF1" w:rsidRDefault="00AB76DC" w:rsidP="0025699F">
            <w:pPr>
              <w:spacing w:after="0"/>
              <w:jc w:val="center"/>
              <w:rPr>
                <w:rFonts w:ascii="Arial" w:eastAsia="Arial" w:hAnsi="Arial" w:cs="Arial"/>
                <w:sz w:val="20"/>
              </w:rPr>
            </w:pPr>
            <w:r w:rsidRPr="00587DF1">
              <w:rPr>
                <w:rFonts w:ascii="Arial" w:eastAsia="Arial" w:hAnsi="Arial" w:cs="Arial"/>
                <w:sz w:val="20"/>
              </w:rPr>
              <w:t>23</w:t>
            </w:r>
          </w:p>
        </w:tc>
        <w:tc>
          <w:tcPr>
            <w:tcW w:w="324" w:type="pct"/>
            <w:tcBorders>
              <w:top w:val="single" w:sz="4" w:space="0" w:color="auto"/>
              <w:left w:val="single" w:sz="4" w:space="0" w:color="auto"/>
              <w:bottom w:val="single" w:sz="4" w:space="0" w:color="auto"/>
              <w:right w:val="single" w:sz="4" w:space="0" w:color="auto"/>
            </w:tcBorders>
            <w:vAlign w:val="center"/>
            <w:hideMark/>
          </w:tcPr>
          <w:p w14:paraId="3FA71FAD" w14:textId="77777777" w:rsidR="00AB76DC" w:rsidRPr="00587DF1" w:rsidRDefault="00AB76DC" w:rsidP="0025699F">
            <w:pPr>
              <w:spacing w:after="0"/>
              <w:jc w:val="center"/>
              <w:rPr>
                <w:rFonts w:ascii="Arial" w:eastAsia="Arial" w:hAnsi="Arial" w:cs="Arial"/>
                <w:sz w:val="20"/>
              </w:rPr>
            </w:pPr>
            <w:r w:rsidRPr="00587DF1">
              <w:rPr>
                <w:rFonts w:ascii="Arial" w:eastAsia="Arial" w:hAnsi="Arial" w:cs="Arial"/>
                <w:sz w:val="20"/>
              </w:rPr>
              <w:t>6</w:t>
            </w:r>
          </w:p>
        </w:tc>
        <w:tc>
          <w:tcPr>
            <w:tcW w:w="324" w:type="pct"/>
            <w:tcBorders>
              <w:top w:val="single" w:sz="4" w:space="0" w:color="auto"/>
              <w:left w:val="single" w:sz="4" w:space="0" w:color="auto"/>
              <w:bottom w:val="single" w:sz="4" w:space="0" w:color="auto"/>
              <w:right w:val="single" w:sz="4" w:space="0" w:color="auto"/>
            </w:tcBorders>
            <w:noWrap/>
            <w:vAlign w:val="center"/>
            <w:hideMark/>
          </w:tcPr>
          <w:p w14:paraId="0976FE73" w14:textId="77777777" w:rsidR="00AB76DC" w:rsidRPr="00587DF1" w:rsidRDefault="00AB76DC" w:rsidP="0025699F">
            <w:pPr>
              <w:spacing w:after="0"/>
              <w:jc w:val="center"/>
              <w:rPr>
                <w:rFonts w:ascii="Arial" w:eastAsia="Arial" w:hAnsi="Arial" w:cs="Arial"/>
                <w:sz w:val="20"/>
              </w:rPr>
            </w:pPr>
            <w:r w:rsidRPr="00587DF1">
              <w:rPr>
                <w:rFonts w:ascii="Arial" w:eastAsia="Arial" w:hAnsi="Arial" w:cs="Arial"/>
                <w:sz w:val="20"/>
              </w:rPr>
              <w:t>2</w:t>
            </w:r>
          </w:p>
        </w:tc>
        <w:tc>
          <w:tcPr>
            <w:tcW w:w="324" w:type="pct"/>
            <w:tcBorders>
              <w:top w:val="single" w:sz="4" w:space="0" w:color="auto"/>
              <w:left w:val="single" w:sz="4" w:space="0" w:color="auto"/>
              <w:bottom w:val="single" w:sz="4" w:space="0" w:color="auto"/>
              <w:right w:val="single" w:sz="4" w:space="0" w:color="auto"/>
            </w:tcBorders>
            <w:noWrap/>
            <w:vAlign w:val="center"/>
            <w:hideMark/>
          </w:tcPr>
          <w:p w14:paraId="350C4A02" w14:textId="77777777" w:rsidR="00AB76DC" w:rsidRPr="00587DF1" w:rsidRDefault="00AB76DC" w:rsidP="0025699F">
            <w:pPr>
              <w:spacing w:after="0"/>
              <w:jc w:val="center"/>
              <w:rPr>
                <w:rFonts w:ascii="Arial" w:eastAsia="Arial" w:hAnsi="Arial" w:cs="Arial"/>
                <w:sz w:val="20"/>
              </w:rPr>
            </w:pPr>
            <w:r w:rsidRPr="00587DF1">
              <w:rPr>
                <w:rFonts w:ascii="Arial" w:eastAsia="Arial" w:hAnsi="Arial" w:cs="Arial"/>
                <w:sz w:val="20"/>
              </w:rPr>
              <w:t>4</w:t>
            </w:r>
          </w:p>
        </w:tc>
        <w:tc>
          <w:tcPr>
            <w:tcW w:w="324" w:type="pct"/>
            <w:tcBorders>
              <w:top w:val="single" w:sz="4" w:space="0" w:color="auto"/>
              <w:left w:val="single" w:sz="4" w:space="0" w:color="auto"/>
              <w:bottom w:val="single" w:sz="4" w:space="0" w:color="auto"/>
              <w:right w:val="single" w:sz="4" w:space="0" w:color="auto"/>
            </w:tcBorders>
            <w:noWrap/>
            <w:vAlign w:val="center"/>
            <w:hideMark/>
          </w:tcPr>
          <w:p w14:paraId="33800C77" w14:textId="77777777" w:rsidR="00AB76DC" w:rsidRPr="00587DF1" w:rsidRDefault="00AB76DC" w:rsidP="0025699F">
            <w:pPr>
              <w:spacing w:after="0"/>
              <w:jc w:val="center"/>
              <w:rPr>
                <w:rFonts w:ascii="Arial" w:eastAsia="Arial" w:hAnsi="Arial" w:cs="Arial"/>
                <w:sz w:val="20"/>
              </w:rPr>
            </w:pPr>
            <w:r w:rsidRPr="00587DF1">
              <w:rPr>
                <w:rFonts w:ascii="Arial" w:eastAsia="Arial" w:hAnsi="Arial" w:cs="Arial"/>
                <w:sz w:val="20"/>
              </w:rPr>
              <w:t>8</w:t>
            </w:r>
          </w:p>
        </w:tc>
        <w:tc>
          <w:tcPr>
            <w:tcW w:w="324" w:type="pct"/>
            <w:tcBorders>
              <w:top w:val="single" w:sz="4" w:space="0" w:color="auto"/>
              <w:left w:val="single" w:sz="4" w:space="0" w:color="auto"/>
              <w:bottom w:val="single" w:sz="4" w:space="0" w:color="auto"/>
              <w:right w:val="single" w:sz="4" w:space="0" w:color="auto"/>
            </w:tcBorders>
            <w:noWrap/>
            <w:vAlign w:val="center"/>
            <w:hideMark/>
          </w:tcPr>
          <w:p w14:paraId="526AED9F" w14:textId="77777777" w:rsidR="00AB76DC" w:rsidRPr="00587DF1" w:rsidRDefault="00AB76DC" w:rsidP="0025699F">
            <w:pPr>
              <w:spacing w:after="0"/>
              <w:jc w:val="center"/>
              <w:rPr>
                <w:rFonts w:ascii="Arial" w:eastAsia="Arial" w:hAnsi="Arial" w:cs="Arial"/>
                <w:sz w:val="20"/>
              </w:rPr>
            </w:pPr>
            <w:r w:rsidRPr="00587DF1">
              <w:rPr>
                <w:rFonts w:ascii="Arial" w:eastAsia="Arial" w:hAnsi="Arial" w:cs="Arial"/>
                <w:sz w:val="20"/>
              </w:rPr>
              <w:t>2</w:t>
            </w:r>
          </w:p>
        </w:tc>
        <w:tc>
          <w:tcPr>
            <w:tcW w:w="324" w:type="pct"/>
            <w:tcBorders>
              <w:top w:val="single" w:sz="4" w:space="0" w:color="auto"/>
              <w:left w:val="single" w:sz="4" w:space="0" w:color="auto"/>
              <w:bottom w:val="single" w:sz="4" w:space="0" w:color="auto"/>
              <w:right w:val="single" w:sz="4" w:space="0" w:color="auto"/>
            </w:tcBorders>
            <w:vAlign w:val="center"/>
            <w:hideMark/>
          </w:tcPr>
          <w:p w14:paraId="6B2AD609" w14:textId="77777777" w:rsidR="00AB76DC" w:rsidRPr="00587DF1" w:rsidRDefault="00AB76DC" w:rsidP="0025699F">
            <w:pPr>
              <w:spacing w:after="0"/>
              <w:jc w:val="center"/>
              <w:rPr>
                <w:rFonts w:ascii="Arial" w:eastAsia="Arial" w:hAnsi="Arial" w:cs="Arial"/>
                <w:sz w:val="20"/>
              </w:rPr>
            </w:pPr>
            <w:r w:rsidRPr="00587DF1">
              <w:rPr>
                <w:rFonts w:ascii="Arial" w:eastAsia="Arial" w:hAnsi="Arial" w:cs="Arial"/>
                <w:sz w:val="20"/>
              </w:rPr>
              <w:t>1</w:t>
            </w:r>
          </w:p>
        </w:tc>
      </w:tr>
      <w:tr w:rsidR="00DE33FC" w:rsidRPr="00587DF1" w14:paraId="48C9A8E2" w14:textId="77777777" w:rsidTr="00DE33FC">
        <w:trPr>
          <w:trHeight w:val="210"/>
        </w:trPr>
        <w:tc>
          <w:tcPr>
            <w:tcW w:w="1764" w:type="pct"/>
            <w:tcBorders>
              <w:top w:val="single" w:sz="4" w:space="0" w:color="auto"/>
              <w:left w:val="single" w:sz="4" w:space="0" w:color="auto"/>
              <w:bottom w:val="single" w:sz="4" w:space="0" w:color="auto"/>
              <w:right w:val="single" w:sz="4" w:space="0" w:color="auto"/>
            </w:tcBorders>
            <w:noWrap/>
            <w:vAlign w:val="center"/>
            <w:hideMark/>
          </w:tcPr>
          <w:p w14:paraId="7A996343" w14:textId="77777777" w:rsidR="00AB76DC" w:rsidRPr="00587DF1" w:rsidRDefault="00AB76DC" w:rsidP="0025699F">
            <w:pPr>
              <w:spacing w:after="0"/>
              <w:rPr>
                <w:rFonts w:ascii="Arial" w:eastAsia="Arial" w:hAnsi="Arial" w:cs="Arial"/>
                <w:sz w:val="20"/>
              </w:rPr>
            </w:pPr>
            <w:r w:rsidRPr="00587DF1">
              <w:rPr>
                <w:rFonts w:ascii="Arial" w:eastAsia="Arial" w:hAnsi="Arial" w:cs="Arial"/>
                <w:sz w:val="20"/>
              </w:rPr>
              <w:lastRenderedPageBreak/>
              <w:t xml:space="preserve">CHILDREN </w:t>
            </w:r>
          </w:p>
        </w:tc>
        <w:tc>
          <w:tcPr>
            <w:tcW w:w="324" w:type="pct"/>
            <w:tcBorders>
              <w:top w:val="single" w:sz="4" w:space="0" w:color="auto"/>
              <w:left w:val="single" w:sz="4" w:space="0" w:color="auto"/>
              <w:bottom w:val="single" w:sz="4" w:space="0" w:color="auto"/>
              <w:right w:val="single" w:sz="4" w:space="0" w:color="auto"/>
            </w:tcBorders>
            <w:noWrap/>
            <w:vAlign w:val="center"/>
            <w:hideMark/>
          </w:tcPr>
          <w:p w14:paraId="6981F660" w14:textId="77777777" w:rsidR="00AB76DC" w:rsidRPr="00587DF1" w:rsidRDefault="00AB76DC" w:rsidP="0025699F">
            <w:pPr>
              <w:spacing w:after="0"/>
              <w:jc w:val="center"/>
              <w:rPr>
                <w:rFonts w:ascii="Arial" w:eastAsia="Arial" w:hAnsi="Arial" w:cs="Arial"/>
                <w:sz w:val="20"/>
              </w:rPr>
            </w:pPr>
            <w:r w:rsidRPr="00587DF1">
              <w:rPr>
                <w:rFonts w:ascii="Arial" w:eastAsia="Arial" w:hAnsi="Arial" w:cs="Arial"/>
                <w:sz w:val="20"/>
              </w:rPr>
              <w:t>3</w:t>
            </w:r>
          </w:p>
        </w:tc>
        <w:tc>
          <w:tcPr>
            <w:tcW w:w="324" w:type="pct"/>
            <w:tcBorders>
              <w:top w:val="single" w:sz="4" w:space="0" w:color="auto"/>
              <w:left w:val="single" w:sz="4" w:space="0" w:color="auto"/>
              <w:bottom w:val="single" w:sz="4" w:space="0" w:color="auto"/>
              <w:right w:val="single" w:sz="4" w:space="0" w:color="auto"/>
            </w:tcBorders>
            <w:vAlign w:val="center"/>
            <w:hideMark/>
          </w:tcPr>
          <w:p w14:paraId="39D5B697" w14:textId="77777777" w:rsidR="00AB76DC" w:rsidRPr="00587DF1" w:rsidRDefault="00AB76DC" w:rsidP="0025699F">
            <w:pPr>
              <w:spacing w:after="0"/>
              <w:jc w:val="center"/>
              <w:rPr>
                <w:rFonts w:ascii="Arial" w:eastAsia="Arial" w:hAnsi="Arial" w:cs="Arial"/>
                <w:sz w:val="20"/>
              </w:rPr>
            </w:pPr>
            <w:r w:rsidRPr="00587DF1">
              <w:rPr>
                <w:rFonts w:ascii="Arial" w:eastAsia="Arial" w:hAnsi="Arial" w:cs="Arial"/>
                <w:sz w:val="20"/>
              </w:rPr>
              <w:t>0</w:t>
            </w:r>
          </w:p>
        </w:tc>
        <w:tc>
          <w:tcPr>
            <w:tcW w:w="324" w:type="pct"/>
            <w:tcBorders>
              <w:top w:val="single" w:sz="4" w:space="0" w:color="auto"/>
              <w:left w:val="single" w:sz="4" w:space="0" w:color="auto"/>
              <w:bottom w:val="single" w:sz="4" w:space="0" w:color="auto"/>
              <w:right w:val="single" w:sz="4" w:space="0" w:color="auto"/>
            </w:tcBorders>
            <w:noWrap/>
            <w:vAlign w:val="center"/>
            <w:hideMark/>
          </w:tcPr>
          <w:p w14:paraId="56CA800B" w14:textId="77777777" w:rsidR="00AB76DC" w:rsidRPr="00587DF1" w:rsidRDefault="00AB76DC" w:rsidP="0025699F">
            <w:pPr>
              <w:spacing w:after="0"/>
              <w:jc w:val="center"/>
              <w:rPr>
                <w:rFonts w:ascii="Arial" w:eastAsia="Arial" w:hAnsi="Arial" w:cs="Arial"/>
                <w:sz w:val="20"/>
              </w:rPr>
            </w:pPr>
            <w:r w:rsidRPr="00587DF1">
              <w:rPr>
                <w:rFonts w:ascii="Arial" w:eastAsia="Arial" w:hAnsi="Arial" w:cs="Arial"/>
                <w:sz w:val="20"/>
              </w:rPr>
              <w:t>23</w:t>
            </w:r>
          </w:p>
        </w:tc>
        <w:tc>
          <w:tcPr>
            <w:tcW w:w="324" w:type="pct"/>
            <w:tcBorders>
              <w:top w:val="single" w:sz="4" w:space="0" w:color="auto"/>
              <w:left w:val="single" w:sz="4" w:space="0" w:color="auto"/>
              <w:bottom w:val="single" w:sz="4" w:space="0" w:color="auto"/>
              <w:right w:val="single" w:sz="4" w:space="0" w:color="auto"/>
            </w:tcBorders>
            <w:vAlign w:val="center"/>
            <w:hideMark/>
          </w:tcPr>
          <w:p w14:paraId="319F00E3" w14:textId="77777777" w:rsidR="00AB76DC" w:rsidRPr="00587DF1" w:rsidRDefault="00AB76DC" w:rsidP="0025699F">
            <w:pPr>
              <w:spacing w:after="0"/>
              <w:jc w:val="center"/>
              <w:rPr>
                <w:rFonts w:ascii="Arial" w:eastAsia="Arial" w:hAnsi="Arial" w:cs="Arial"/>
                <w:sz w:val="20"/>
              </w:rPr>
            </w:pPr>
            <w:r w:rsidRPr="00587DF1">
              <w:rPr>
                <w:rFonts w:ascii="Arial" w:eastAsia="Arial" w:hAnsi="Arial" w:cs="Arial"/>
                <w:sz w:val="20"/>
              </w:rPr>
              <w:t>3</w:t>
            </w:r>
          </w:p>
        </w:tc>
        <w:tc>
          <w:tcPr>
            <w:tcW w:w="324" w:type="pct"/>
            <w:tcBorders>
              <w:top w:val="single" w:sz="4" w:space="0" w:color="auto"/>
              <w:left w:val="single" w:sz="4" w:space="0" w:color="auto"/>
              <w:bottom w:val="single" w:sz="4" w:space="0" w:color="auto"/>
              <w:right w:val="single" w:sz="4" w:space="0" w:color="auto"/>
            </w:tcBorders>
            <w:vAlign w:val="center"/>
            <w:hideMark/>
          </w:tcPr>
          <w:p w14:paraId="3BF1C49B" w14:textId="77777777" w:rsidR="00AB76DC" w:rsidRPr="00587DF1" w:rsidRDefault="00AB76DC" w:rsidP="0025699F">
            <w:pPr>
              <w:spacing w:after="0"/>
              <w:jc w:val="center"/>
              <w:rPr>
                <w:rFonts w:ascii="Arial" w:eastAsia="Arial" w:hAnsi="Arial" w:cs="Arial"/>
                <w:sz w:val="20"/>
              </w:rPr>
            </w:pPr>
            <w:r w:rsidRPr="00587DF1">
              <w:rPr>
                <w:rFonts w:ascii="Arial" w:eastAsia="Arial" w:hAnsi="Arial" w:cs="Arial"/>
                <w:sz w:val="20"/>
              </w:rPr>
              <w:t>1</w:t>
            </w:r>
          </w:p>
        </w:tc>
        <w:tc>
          <w:tcPr>
            <w:tcW w:w="324" w:type="pct"/>
            <w:tcBorders>
              <w:top w:val="single" w:sz="4" w:space="0" w:color="auto"/>
              <w:left w:val="single" w:sz="4" w:space="0" w:color="auto"/>
              <w:bottom w:val="single" w:sz="4" w:space="0" w:color="auto"/>
              <w:right w:val="single" w:sz="4" w:space="0" w:color="auto"/>
            </w:tcBorders>
            <w:noWrap/>
            <w:vAlign w:val="center"/>
            <w:hideMark/>
          </w:tcPr>
          <w:p w14:paraId="4510345E" w14:textId="77777777" w:rsidR="00AB76DC" w:rsidRPr="00587DF1" w:rsidRDefault="00AB76DC" w:rsidP="0025699F">
            <w:pPr>
              <w:spacing w:after="0"/>
              <w:jc w:val="center"/>
              <w:rPr>
                <w:rFonts w:ascii="Arial" w:eastAsia="Arial" w:hAnsi="Arial" w:cs="Arial"/>
                <w:sz w:val="20"/>
              </w:rPr>
            </w:pPr>
            <w:r w:rsidRPr="00587DF1">
              <w:rPr>
                <w:rFonts w:ascii="Arial" w:eastAsia="Arial" w:hAnsi="Arial" w:cs="Arial"/>
                <w:sz w:val="20"/>
              </w:rPr>
              <w:t>0</w:t>
            </w:r>
          </w:p>
        </w:tc>
        <w:tc>
          <w:tcPr>
            <w:tcW w:w="324" w:type="pct"/>
            <w:tcBorders>
              <w:top w:val="single" w:sz="4" w:space="0" w:color="auto"/>
              <w:left w:val="single" w:sz="4" w:space="0" w:color="auto"/>
              <w:bottom w:val="single" w:sz="4" w:space="0" w:color="auto"/>
              <w:right w:val="single" w:sz="4" w:space="0" w:color="auto"/>
            </w:tcBorders>
            <w:noWrap/>
            <w:vAlign w:val="center"/>
            <w:hideMark/>
          </w:tcPr>
          <w:p w14:paraId="19B5CD9F" w14:textId="77777777" w:rsidR="00AB76DC" w:rsidRPr="00587DF1" w:rsidRDefault="00AB76DC" w:rsidP="0025699F">
            <w:pPr>
              <w:spacing w:after="0"/>
              <w:jc w:val="center"/>
              <w:rPr>
                <w:rFonts w:ascii="Arial" w:eastAsia="Arial" w:hAnsi="Arial" w:cs="Arial"/>
                <w:sz w:val="20"/>
              </w:rPr>
            </w:pPr>
            <w:r w:rsidRPr="00587DF1">
              <w:rPr>
                <w:rFonts w:ascii="Arial" w:eastAsia="Arial" w:hAnsi="Arial" w:cs="Arial"/>
                <w:sz w:val="20"/>
              </w:rPr>
              <w:t>0</w:t>
            </w:r>
          </w:p>
        </w:tc>
        <w:tc>
          <w:tcPr>
            <w:tcW w:w="324" w:type="pct"/>
            <w:tcBorders>
              <w:top w:val="single" w:sz="4" w:space="0" w:color="auto"/>
              <w:left w:val="single" w:sz="4" w:space="0" w:color="auto"/>
              <w:bottom w:val="single" w:sz="4" w:space="0" w:color="auto"/>
              <w:right w:val="single" w:sz="4" w:space="0" w:color="auto"/>
            </w:tcBorders>
            <w:noWrap/>
            <w:vAlign w:val="center"/>
            <w:hideMark/>
          </w:tcPr>
          <w:p w14:paraId="6E9E0D92" w14:textId="77777777" w:rsidR="00AB76DC" w:rsidRPr="00587DF1" w:rsidRDefault="00AB76DC" w:rsidP="0025699F">
            <w:pPr>
              <w:spacing w:after="0"/>
              <w:jc w:val="center"/>
              <w:rPr>
                <w:rFonts w:ascii="Arial" w:eastAsia="Arial" w:hAnsi="Arial" w:cs="Arial"/>
                <w:sz w:val="20"/>
              </w:rPr>
            </w:pPr>
            <w:r w:rsidRPr="00587DF1">
              <w:rPr>
                <w:rFonts w:ascii="Arial" w:eastAsia="Arial" w:hAnsi="Arial" w:cs="Arial"/>
                <w:sz w:val="20"/>
              </w:rPr>
              <w:t>0</w:t>
            </w:r>
          </w:p>
        </w:tc>
        <w:tc>
          <w:tcPr>
            <w:tcW w:w="324" w:type="pct"/>
            <w:tcBorders>
              <w:top w:val="single" w:sz="4" w:space="0" w:color="auto"/>
              <w:left w:val="single" w:sz="4" w:space="0" w:color="auto"/>
              <w:bottom w:val="single" w:sz="4" w:space="0" w:color="auto"/>
              <w:right w:val="single" w:sz="4" w:space="0" w:color="auto"/>
            </w:tcBorders>
            <w:noWrap/>
            <w:vAlign w:val="center"/>
            <w:hideMark/>
          </w:tcPr>
          <w:p w14:paraId="407B9ED0" w14:textId="77777777" w:rsidR="00AB76DC" w:rsidRPr="00587DF1" w:rsidRDefault="00AB76DC" w:rsidP="0025699F">
            <w:pPr>
              <w:spacing w:after="0"/>
              <w:jc w:val="center"/>
              <w:rPr>
                <w:rFonts w:ascii="Arial" w:eastAsia="Arial" w:hAnsi="Arial" w:cs="Arial"/>
                <w:sz w:val="20"/>
              </w:rPr>
            </w:pPr>
            <w:r w:rsidRPr="00587DF1">
              <w:rPr>
                <w:rFonts w:ascii="Arial" w:eastAsia="Arial" w:hAnsi="Arial" w:cs="Arial"/>
                <w:sz w:val="20"/>
              </w:rPr>
              <w:t>0</w:t>
            </w:r>
          </w:p>
        </w:tc>
        <w:tc>
          <w:tcPr>
            <w:tcW w:w="324" w:type="pct"/>
            <w:tcBorders>
              <w:top w:val="single" w:sz="4" w:space="0" w:color="auto"/>
              <w:left w:val="single" w:sz="4" w:space="0" w:color="auto"/>
              <w:bottom w:val="single" w:sz="4" w:space="0" w:color="auto"/>
              <w:right w:val="single" w:sz="4" w:space="0" w:color="auto"/>
            </w:tcBorders>
            <w:vAlign w:val="center"/>
            <w:hideMark/>
          </w:tcPr>
          <w:p w14:paraId="6188664E" w14:textId="77777777" w:rsidR="00AB76DC" w:rsidRPr="00587DF1" w:rsidRDefault="00AB76DC" w:rsidP="0025699F">
            <w:pPr>
              <w:spacing w:after="0"/>
              <w:jc w:val="center"/>
              <w:rPr>
                <w:rFonts w:ascii="Arial" w:eastAsia="Arial" w:hAnsi="Arial" w:cs="Arial"/>
                <w:sz w:val="20"/>
              </w:rPr>
            </w:pPr>
            <w:r w:rsidRPr="00587DF1">
              <w:rPr>
                <w:rFonts w:ascii="Arial" w:eastAsia="Arial" w:hAnsi="Arial" w:cs="Arial"/>
                <w:sz w:val="20"/>
              </w:rPr>
              <w:t>0</w:t>
            </w:r>
          </w:p>
        </w:tc>
      </w:tr>
      <w:tr w:rsidR="00DE33FC" w:rsidRPr="00587DF1" w14:paraId="5C1B89C6" w14:textId="77777777" w:rsidTr="00DE33FC">
        <w:trPr>
          <w:trHeight w:val="210"/>
        </w:trPr>
        <w:tc>
          <w:tcPr>
            <w:tcW w:w="1764" w:type="pct"/>
            <w:tcBorders>
              <w:top w:val="single" w:sz="4" w:space="0" w:color="auto"/>
              <w:left w:val="single" w:sz="4" w:space="0" w:color="auto"/>
              <w:bottom w:val="single" w:sz="4" w:space="0" w:color="auto"/>
              <w:right w:val="single" w:sz="4" w:space="0" w:color="auto"/>
            </w:tcBorders>
            <w:noWrap/>
            <w:vAlign w:val="center"/>
            <w:hideMark/>
          </w:tcPr>
          <w:p w14:paraId="7B60CB2D" w14:textId="77777777" w:rsidR="00AB76DC" w:rsidRPr="00587DF1" w:rsidRDefault="00AB76DC" w:rsidP="0025699F">
            <w:pPr>
              <w:spacing w:after="0"/>
              <w:rPr>
                <w:rFonts w:ascii="Arial" w:eastAsia="Arial" w:hAnsi="Arial" w:cs="Arial"/>
                <w:b/>
                <w:bCs/>
                <w:sz w:val="20"/>
              </w:rPr>
            </w:pPr>
            <w:r w:rsidRPr="00587DF1">
              <w:rPr>
                <w:rFonts w:ascii="Arial" w:eastAsia="Arial" w:hAnsi="Arial" w:cs="Arial"/>
                <w:b/>
                <w:bCs/>
                <w:sz w:val="20"/>
              </w:rPr>
              <w:t>Total current</w:t>
            </w:r>
          </w:p>
        </w:tc>
        <w:tc>
          <w:tcPr>
            <w:tcW w:w="324" w:type="pct"/>
            <w:tcBorders>
              <w:top w:val="single" w:sz="4" w:space="0" w:color="auto"/>
              <w:left w:val="single" w:sz="4" w:space="0" w:color="auto"/>
              <w:bottom w:val="single" w:sz="4" w:space="0" w:color="auto"/>
              <w:right w:val="single" w:sz="4" w:space="0" w:color="auto"/>
            </w:tcBorders>
            <w:noWrap/>
            <w:vAlign w:val="center"/>
            <w:hideMark/>
          </w:tcPr>
          <w:p w14:paraId="4B5F7ED3" w14:textId="77777777" w:rsidR="00AB76DC" w:rsidRPr="00587DF1" w:rsidRDefault="00AB76DC" w:rsidP="0025699F">
            <w:pPr>
              <w:spacing w:after="0"/>
              <w:jc w:val="center"/>
              <w:rPr>
                <w:rFonts w:ascii="Arial" w:eastAsia="Arial" w:hAnsi="Arial" w:cs="Arial"/>
                <w:b/>
                <w:sz w:val="20"/>
              </w:rPr>
            </w:pPr>
            <w:r w:rsidRPr="00587DF1">
              <w:rPr>
                <w:rFonts w:ascii="Arial" w:eastAsia="Arial" w:hAnsi="Arial" w:cs="Arial"/>
                <w:b/>
                <w:sz w:val="20"/>
              </w:rPr>
              <w:t>25</w:t>
            </w:r>
          </w:p>
        </w:tc>
        <w:tc>
          <w:tcPr>
            <w:tcW w:w="324" w:type="pct"/>
            <w:tcBorders>
              <w:top w:val="single" w:sz="4" w:space="0" w:color="auto"/>
              <w:left w:val="single" w:sz="4" w:space="0" w:color="auto"/>
              <w:bottom w:val="single" w:sz="4" w:space="0" w:color="auto"/>
              <w:right w:val="single" w:sz="4" w:space="0" w:color="auto"/>
            </w:tcBorders>
            <w:vAlign w:val="center"/>
            <w:hideMark/>
          </w:tcPr>
          <w:p w14:paraId="299139B3" w14:textId="77777777" w:rsidR="00AB76DC" w:rsidRPr="00587DF1" w:rsidRDefault="00AB76DC" w:rsidP="0025699F">
            <w:pPr>
              <w:spacing w:after="0"/>
              <w:jc w:val="center"/>
              <w:rPr>
                <w:rFonts w:ascii="Arial" w:eastAsia="Arial" w:hAnsi="Arial" w:cs="Arial"/>
                <w:b/>
                <w:sz w:val="20"/>
              </w:rPr>
            </w:pPr>
            <w:r w:rsidRPr="00587DF1">
              <w:rPr>
                <w:rFonts w:ascii="Arial" w:eastAsia="Arial" w:hAnsi="Arial" w:cs="Arial"/>
                <w:b/>
                <w:sz w:val="20"/>
              </w:rPr>
              <w:t>6</w:t>
            </w:r>
          </w:p>
        </w:tc>
        <w:tc>
          <w:tcPr>
            <w:tcW w:w="324" w:type="pct"/>
            <w:tcBorders>
              <w:top w:val="single" w:sz="4" w:space="0" w:color="auto"/>
              <w:left w:val="single" w:sz="4" w:space="0" w:color="auto"/>
              <w:bottom w:val="single" w:sz="4" w:space="0" w:color="auto"/>
              <w:right w:val="single" w:sz="4" w:space="0" w:color="auto"/>
            </w:tcBorders>
            <w:noWrap/>
            <w:vAlign w:val="center"/>
            <w:hideMark/>
          </w:tcPr>
          <w:p w14:paraId="435F41B9" w14:textId="77777777" w:rsidR="00AB76DC" w:rsidRPr="00587DF1" w:rsidRDefault="00AB76DC" w:rsidP="0025699F">
            <w:pPr>
              <w:spacing w:after="0"/>
              <w:jc w:val="center"/>
              <w:rPr>
                <w:rFonts w:ascii="Arial" w:eastAsia="Arial" w:hAnsi="Arial" w:cs="Arial"/>
                <w:b/>
                <w:sz w:val="20"/>
              </w:rPr>
            </w:pPr>
            <w:r w:rsidRPr="00587DF1">
              <w:rPr>
                <w:rFonts w:ascii="Arial" w:eastAsia="Arial" w:hAnsi="Arial" w:cs="Arial"/>
                <w:b/>
                <w:sz w:val="20"/>
              </w:rPr>
              <w:t>166</w:t>
            </w:r>
          </w:p>
        </w:tc>
        <w:tc>
          <w:tcPr>
            <w:tcW w:w="324" w:type="pct"/>
            <w:tcBorders>
              <w:top w:val="single" w:sz="4" w:space="0" w:color="auto"/>
              <w:left w:val="single" w:sz="4" w:space="0" w:color="auto"/>
              <w:bottom w:val="single" w:sz="4" w:space="0" w:color="auto"/>
              <w:right w:val="single" w:sz="4" w:space="0" w:color="auto"/>
            </w:tcBorders>
            <w:vAlign w:val="center"/>
            <w:hideMark/>
          </w:tcPr>
          <w:p w14:paraId="38692ACD" w14:textId="77777777" w:rsidR="00AB76DC" w:rsidRPr="00587DF1" w:rsidRDefault="00AB76DC" w:rsidP="0025699F">
            <w:pPr>
              <w:spacing w:after="0"/>
              <w:jc w:val="center"/>
              <w:rPr>
                <w:rFonts w:ascii="Arial" w:eastAsia="Arial" w:hAnsi="Arial" w:cs="Arial"/>
                <w:b/>
                <w:sz w:val="20"/>
              </w:rPr>
            </w:pPr>
            <w:r w:rsidRPr="00587DF1">
              <w:rPr>
                <w:rFonts w:ascii="Arial" w:eastAsia="Arial" w:hAnsi="Arial" w:cs="Arial"/>
                <w:b/>
                <w:sz w:val="20"/>
              </w:rPr>
              <w:t>26</w:t>
            </w:r>
          </w:p>
        </w:tc>
        <w:tc>
          <w:tcPr>
            <w:tcW w:w="324" w:type="pct"/>
            <w:tcBorders>
              <w:top w:val="single" w:sz="4" w:space="0" w:color="auto"/>
              <w:left w:val="single" w:sz="4" w:space="0" w:color="auto"/>
              <w:bottom w:val="single" w:sz="4" w:space="0" w:color="auto"/>
              <w:right w:val="single" w:sz="4" w:space="0" w:color="auto"/>
            </w:tcBorders>
            <w:vAlign w:val="center"/>
            <w:hideMark/>
          </w:tcPr>
          <w:p w14:paraId="359BD716" w14:textId="77777777" w:rsidR="00AB76DC" w:rsidRPr="00587DF1" w:rsidRDefault="00AB76DC" w:rsidP="0025699F">
            <w:pPr>
              <w:spacing w:after="0"/>
              <w:jc w:val="center"/>
              <w:rPr>
                <w:rFonts w:ascii="Arial" w:eastAsia="Arial" w:hAnsi="Arial" w:cs="Arial"/>
                <w:b/>
                <w:sz w:val="20"/>
              </w:rPr>
            </w:pPr>
            <w:r w:rsidRPr="00587DF1">
              <w:rPr>
                <w:rFonts w:ascii="Arial" w:eastAsia="Arial" w:hAnsi="Arial" w:cs="Arial"/>
                <w:b/>
                <w:sz w:val="20"/>
              </w:rPr>
              <w:t>7</w:t>
            </w:r>
          </w:p>
        </w:tc>
        <w:tc>
          <w:tcPr>
            <w:tcW w:w="324" w:type="pct"/>
            <w:tcBorders>
              <w:top w:val="single" w:sz="4" w:space="0" w:color="auto"/>
              <w:left w:val="single" w:sz="4" w:space="0" w:color="auto"/>
              <w:bottom w:val="single" w:sz="4" w:space="0" w:color="auto"/>
              <w:right w:val="single" w:sz="4" w:space="0" w:color="auto"/>
            </w:tcBorders>
            <w:noWrap/>
            <w:vAlign w:val="center"/>
            <w:hideMark/>
          </w:tcPr>
          <w:p w14:paraId="36972DF3" w14:textId="77777777" w:rsidR="00AB76DC" w:rsidRPr="00587DF1" w:rsidRDefault="00AB76DC" w:rsidP="0025699F">
            <w:pPr>
              <w:spacing w:after="0"/>
              <w:jc w:val="center"/>
              <w:rPr>
                <w:rFonts w:ascii="Arial" w:eastAsia="Arial" w:hAnsi="Arial" w:cs="Arial"/>
                <w:b/>
                <w:sz w:val="20"/>
              </w:rPr>
            </w:pPr>
            <w:r w:rsidRPr="00587DF1">
              <w:rPr>
                <w:rFonts w:ascii="Arial" w:eastAsia="Arial" w:hAnsi="Arial" w:cs="Arial"/>
                <w:b/>
                <w:sz w:val="20"/>
              </w:rPr>
              <w:t>2</w:t>
            </w:r>
          </w:p>
        </w:tc>
        <w:tc>
          <w:tcPr>
            <w:tcW w:w="324" w:type="pct"/>
            <w:tcBorders>
              <w:top w:val="single" w:sz="4" w:space="0" w:color="auto"/>
              <w:left w:val="single" w:sz="4" w:space="0" w:color="auto"/>
              <w:bottom w:val="single" w:sz="4" w:space="0" w:color="auto"/>
              <w:right w:val="single" w:sz="4" w:space="0" w:color="auto"/>
            </w:tcBorders>
            <w:noWrap/>
            <w:vAlign w:val="center"/>
            <w:hideMark/>
          </w:tcPr>
          <w:p w14:paraId="60CA9DA4" w14:textId="77777777" w:rsidR="00AB76DC" w:rsidRPr="00587DF1" w:rsidRDefault="00AB76DC" w:rsidP="0025699F">
            <w:pPr>
              <w:spacing w:after="0"/>
              <w:jc w:val="center"/>
              <w:rPr>
                <w:rFonts w:ascii="Arial" w:eastAsia="Arial" w:hAnsi="Arial" w:cs="Arial"/>
                <w:b/>
                <w:sz w:val="20"/>
              </w:rPr>
            </w:pPr>
            <w:r w:rsidRPr="00587DF1">
              <w:rPr>
                <w:rFonts w:ascii="Arial" w:eastAsia="Arial" w:hAnsi="Arial" w:cs="Arial"/>
                <w:b/>
                <w:sz w:val="20"/>
              </w:rPr>
              <w:t>4</w:t>
            </w:r>
          </w:p>
        </w:tc>
        <w:tc>
          <w:tcPr>
            <w:tcW w:w="324" w:type="pct"/>
            <w:tcBorders>
              <w:top w:val="single" w:sz="4" w:space="0" w:color="auto"/>
              <w:left w:val="single" w:sz="4" w:space="0" w:color="auto"/>
              <w:bottom w:val="single" w:sz="4" w:space="0" w:color="auto"/>
              <w:right w:val="single" w:sz="4" w:space="0" w:color="auto"/>
            </w:tcBorders>
            <w:noWrap/>
            <w:vAlign w:val="center"/>
            <w:hideMark/>
          </w:tcPr>
          <w:p w14:paraId="580E78AA" w14:textId="77777777" w:rsidR="00AB76DC" w:rsidRPr="00587DF1" w:rsidRDefault="00AB76DC" w:rsidP="0025699F">
            <w:pPr>
              <w:spacing w:after="0"/>
              <w:jc w:val="center"/>
              <w:rPr>
                <w:rFonts w:ascii="Arial" w:eastAsia="Arial" w:hAnsi="Arial" w:cs="Arial"/>
                <w:b/>
                <w:sz w:val="20"/>
              </w:rPr>
            </w:pPr>
            <w:r w:rsidRPr="00587DF1">
              <w:rPr>
                <w:rFonts w:ascii="Arial" w:eastAsia="Arial" w:hAnsi="Arial" w:cs="Arial"/>
                <w:b/>
                <w:sz w:val="20"/>
              </w:rPr>
              <w:t>8</w:t>
            </w:r>
          </w:p>
        </w:tc>
        <w:tc>
          <w:tcPr>
            <w:tcW w:w="324" w:type="pct"/>
            <w:tcBorders>
              <w:top w:val="single" w:sz="4" w:space="0" w:color="auto"/>
              <w:left w:val="single" w:sz="4" w:space="0" w:color="auto"/>
              <w:bottom w:val="single" w:sz="4" w:space="0" w:color="auto"/>
              <w:right w:val="single" w:sz="4" w:space="0" w:color="auto"/>
            </w:tcBorders>
            <w:noWrap/>
            <w:vAlign w:val="center"/>
            <w:hideMark/>
          </w:tcPr>
          <w:p w14:paraId="3E37F4AA" w14:textId="77777777" w:rsidR="00AB76DC" w:rsidRPr="00587DF1" w:rsidRDefault="00AB76DC" w:rsidP="0025699F">
            <w:pPr>
              <w:spacing w:after="0"/>
              <w:jc w:val="center"/>
              <w:rPr>
                <w:rFonts w:ascii="Arial" w:eastAsia="Arial" w:hAnsi="Arial" w:cs="Arial"/>
                <w:b/>
                <w:sz w:val="20"/>
              </w:rPr>
            </w:pPr>
            <w:r w:rsidRPr="00587DF1">
              <w:rPr>
                <w:rFonts w:ascii="Arial" w:eastAsia="Arial" w:hAnsi="Arial" w:cs="Arial"/>
                <w:b/>
                <w:sz w:val="20"/>
              </w:rPr>
              <w:t>2</w:t>
            </w:r>
          </w:p>
        </w:tc>
        <w:tc>
          <w:tcPr>
            <w:tcW w:w="324" w:type="pct"/>
            <w:tcBorders>
              <w:top w:val="single" w:sz="4" w:space="0" w:color="auto"/>
              <w:left w:val="single" w:sz="4" w:space="0" w:color="auto"/>
              <w:bottom w:val="single" w:sz="4" w:space="0" w:color="auto"/>
              <w:right w:val="single" w:sz="4" w:space="0" w:color="auto"/>
            </w:tcBorders>
            <w:vAlign w:val="center"/>
            <w:hideMark/>
          </w:tcPr>
          <w:p w14:paraId="03B1EE9C" w14:textId="77777777" w:rsidR="00AB76DC" w:rsidRPr="00587DF1" w:rsidRDefault="00AB76DC" w:rsidP="0025699F">
            <w:pPr>
              <w:spacing w:after="0"/>
              <w:jc w:val="center"/>
              <w:rPr>
                <w:rFonts w:ascii="Arial" w:eastAsia="Arial" w:hAnsi="Arial" w:cs="Arial"/>
                <w:b/>
                <w:sz w:val="20"/>
              </w:rPr>
            </w:pPr>
            <w:r w:rsidRPr="00587DF1">
              <w:rPr>
                <w:rFonts w:ascii="Arial" w:eastAsia="Arial" w:hAnsi="Arial" w:cs="Arial"/>
                <w:b/>
                <w:sz w:val="20"/>
              </w:rPr>
              <w:t>1</w:t>
            </w:r>
          </w:p>
        </w:tc>
      </w:tr>
      <w:tr w:rsidR="00DE33FC" w:rsidRPr="00587DF1" w14:paraId="34A04965" w14:textId="77777777" w:rsidTr="00DE33FC">
        <w:trPr>
          <w:trHeight w:val="210"/>
        </w:trPr>
        <w:tc>
          <w:tcPr>
            <w:tcW w:w="1764"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14:paraId="27814620" w14:textId="28D8BDFD" w:rsidR="00CC6715" w:rsidRPr="00587DF1" w:rsidRDefault="00DE33FC" w:rsidP="0025699F">
            <w:pPr>
              <w:spacing w:after="0"/>
              <w:rPr>
                <w:rFonts w:ascii="Arial" w:eastAsia="Arial" w:hAnsi="Arial" w:cs="Arial"/>
                <w:b/>
                <w:bCs/>
                <w:sz w:val="20"/>
              </w:rPr>
            </w:pPr>
            <w:r>
              <w:rPr>
                <w:rFonts w:ascii="Arial" w:eastAsia="Arial" w:hAnsi="Arial" w:cs="Arial"/>
                <w:b/>
                <w:bCs/>
                <w:sz w:val="20"/>
              </w:rPr>
              <w:t xml:space="preserve">Schedule of Accommodation </w:t>
            </w:r>
            <w:r w:rsidR="00CC6715">
              <w:rPr>
                <w:rFonts w:ascii="Arial" w:eastAsia="Arial" w:hAnsi="Arial" w:cs="Arial"/>
                <w:b/>
                <w:bCs/>
                <w:sz w:val="20"/>
              </w:rPr>
              <w:t>(test to fit)</w:t>
            </w:r>
          </w:p>
        </w:tc>
        <w:tc>
          <w:tcPr>
            <w:tcW w:w="324"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14:paraId="256C0142" w14:textId="77777777" w:rsidR="00CC6715" w:rsidRPr="00587DF1" w:rsidRDefault="00CC6715" w:rsidP="0025699F">
            <w:pPr>
              <w:spacing w:after="0"/>
              <w:jc w:val="center"/>
              <w:rPr>
                <w:rFonts w:ascii="Arial" w:eastAsia="Arial" w:hAnsi="Arial" w:cs="Arial"/>
                <w:b/>
                <w:sz w:val="20"/>
              </w:rPr>
            </w:pPr>
            <w:r w:rsidRPr="00587DF1">
              <w:rPr>
                <w:rFonts w:ascii="Arial" w:eastAsia="Arial" w:hAnsi="Arial" w:cs="Arial"/>
                <w:b/>
                <w:sz w:val="20"/>
              </w:rPr>
              <w:t>30</w:t>
            </w:r>
          </w:p>
        </w:tc>
        <w:tc>
          <w:tcPr>
            <w:tcW w:w="324"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B790D54" w14:textId="77777777" w:rsidR="00CC6715" w:rsidRPr="00587DF1" w:rsidRDefault="00CC6715" w:rsidP="0025699F">
            <w:pPr>
              <w:spacing w:after="0"/>
              <w:jc w:val="center"/>
              <w:rPr>
                <w:rFonts w:ascii="Arial" w:eastAsia="Arial" w:hAnsi="Arial" w:cs="Arial"/>
                <w:b/>
                <w:sz w:val="20"/>
              </w:rPr>
            </w:pPr>
            <w:r w:rsidRPr="00587DF1">
              <w:rPr>
                <w:rFonts w:ascii="Arial" w:eastAsia="Arial" w:hAnsi="Arial" w:cs="Arial"/>
                <w:b/>
                <w:sz w:val="20"/>
              </w:rPr>
              <w:t>6</w:t>
            </w:r>
          </w:p>
        </w:tc>
        <w:tc>
          <w:tcPr>
            <w:tcW w:w="324"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14:paraId="2E012CE1" w14:textId="77777777" w:rsidR="00CC6715" w:rsidRPr="00587DF1" w:rsidRDefault="00CC6715" w:rsidP="0025699F">
            <w:pPr>
              <w:spacing w:after="0"/>
              <w:jc w:val="center"/>
              <w:rPr>
                <w:rFonts w:ascii="Arial" w:eastAsia="Arial" w:hAnsi="Arial" w:cs="Arial"/>
                <w:b/>
                <w:sz w:val="20"/>
              </w:rPr>
            </w:pPr>
            <w:r w:rsidRPr="00587DF1">
              <w:rPr>
                <w:rFonts w:ascii="Arial" w:eastAsia="Arial" w:hAnsi="Arial" w:cs="Arial"/>
                <w:b/>
                <w:sz w:val="20"/>
              </w:rPr>
              <w:t>177</w:t>
            </w:r>
          </w:p>
        </w:tc>
        <w:tc>
          <w:tcPr>
            <w:tcW w:w="971" w:type="pct"/>
            <w:gridSpan w:val="3"/>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118A52F" w14:textId="0E00A937" w:rsidR="00CC6715" w:rsidRPr="00587DF1" w:rsidRDefault="00CC6715" w:rsidP="0025699F">
            <w:pPr>
              <w:spacing w:after="0"/>
              <w:jc w:val="center"/>
              <w:rPr>
                <w:rFonts w:ascii="Arial" w:eastAsia="Arial" w:hAnsi="Arial" w:cs="Arial"/>
                <w:b/>
                <w:sz w:val="20"/>
              </w:rPr>
            </w:pPr>
            <w:r w:rsidRPr="00587DF1">
              <w:rPr>
                <w:rFonts w:ascii="Arial" w:eastAsia="Arial" w:hAnsi="Arial" w:cs="Arial"/>
                <w:b/>
                <w:sz w:val="20"/>
              </w:rPr>
              <w:t>17</w:t>
            </w:r>
            <w:r w:rsidR="00DE33FC" w:rsidRPr="00DE33FC">
              <w:rPr>
                <w:rFonts w:ascii="Arial" w:eastAsia="Arial" w:hAnsi="Arial" w:cs="Arial"/>
                <w:b/>
                <w:sz w:val="20"/>
                <w:vertAlign w:val="superscript"/>
              </w:rPr>
              <w:t>3</w:t>
            </w:r>
          </w:p>
        </w:tc>
        <w:tc>
          <w:tcPr>
            <w:tcW w:w="324" w:type="pct"/>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14:paraId="1985DBE9" w14:textId="77777777" w:rsidR="00CC6715" w:rsidRPr="00587DF1" w:rsidRDefault="00CC6715" w:rsidP="0025699F">
            <w:pPr>
              <w:spacing w:after="0"/>
              <w:jc w:val="center"/>
              <w:rPr>
                <w:rFonts w:ascii="Arial" w:eastAsia="Arial" w:hAnsi="Arial" w:cs="Arial"/>
                <w:b/>
                <w:sz w:val="20"/>
              </w:rPr>
            </w:pPr>
            <w:r w:rsidRPr="00587DF1">
              <w:rPr>
                <w:rFonts w:ascii="Arial" w:eastAsia="Arial" w:hAnsi="Arial" w:cs="Arial"/>
                <w:b/>
                <w:sz w:val="20"/>
              </w:rPr>
              <w:t>6</w:t>
            </w:r>
          </w:p>
        </w:tc>
        <w:tc>
          <w:tcPr>
            <w:tcW w:w="647" w:type="pct"/>
            <w:gridSpan w:val="2"/>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14:paraId="3F523955" w14:textId="77777777" w:rsidR="00CC6715" w:rsidRPr="00587DF1" w:rsidRDefault="00CC6715" w:rsidP="0025699F">
            <w:pPr>
              <w:spacing w:after="0"/>
              <w:jc w:val="center"/>
              <w:rPr>
                <w:rFonts w:ascii="Arial" w:eastAsia="Arial" w:hAnsi="Arial" w:cs="Arial"/>
                <w:b/>
                <w:sz w:val="20"/>
              </w:rPr>
            </w:pPr>
            <w:r w:rsidRPr="00587DF1">
              <w:rPr>
                <w:rFonts w:ascii="Arial" w:eastAsia="Arial" w:hAnsi="Arial" w:cs="Arial"/>
                <w:b/>
                <w:sz w:val="20"/>
              </w:rPr>
              <w:t>10</w:t>
            </w:r>
          </w:p>
        </w:tc>
        <w:tc>
          <w:tcPr>
            <w:tcW w:w="324" w:type="pc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506E5ADA" w14:textId="1C4846B9" w:rsidR="00CC6715" w:rsidRPr="00587DF1" w:rsidRDefault="00CC6715" w:rsidP="0025699F">
            <w:pPr>
              <w:spacing w:after="0"/>
              <w:jc w:val="center"/>
              <w:rPr>
                <w:rFonts w:ascii="Arial" w:eastAsia="Arial" w:hAnsi="Arial" w:cs="Arial"/>
                <w:b/>
                <w:sz w:val="20"/>
              </w:rPr>
            </w:pPr>
            <w:r w:rsidRPr="00587DF1">
              <w:rPr>
                <w:rFonts w:ascii="Arial" w:eastAsia="Arial" w:hAnsi="Arial" w:cs="Arial"/>
                <w:b/>
                <w:sz w:val="20"/>
              </w:rPr>
              <w:t>4</w:t>
            </w:r>
            <w:r w:rsidR="00DE33FC" w:rsidRPr="00DE33FC">
              <w:rPr>
                <w:rFonts w:ascii="Arial" w:eastAsia="Arial" w:hAnsi="Arial" w:cs="Arial"/>
                <w:b/>
                <w:sz w:val="20"/>
                <w:vertAlign w:val="superscript"/>
              </w:rPr>
              <w:t>4</w:t>
            </w:r>
          </w:p>
        </w:tc>
      </w:tr>
      <w:tr w:rsidR="00DE33FC" w:rsidRPr="00587DF1" w14:paraId="27139709" w14:textId="77777777" w:rsidTr="00DE33FC">
        <w:trPr>
          <w:trHeight w:val="210"/>
        </w:trPr>
        <w:tc>
          <w:tcPr>
            <w:tcW w:w="1764"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042C6643" w14:textId="20117C7F" w:rsidR="00AB76DC" w:rsidRPr="00587DF1" w:rsidRDefault="00DE33FC" w:rsidP="0025699F">
            <w:pPr>
              <w:spacing w:after="0"/>
              <w:rPr>
                <w:rFonts w:ascii="Arial" w:eastAsia="Arial" w:hAnsi="Arial" w:cs="Arial"/>
                <w:b/>
                <w:bCs/>
                <w:color w:val="000000" w:themeColor="text1"/>
                <w:sz w:val="20"/>
              </w:rPr>
            </w:pPr>
            <w:r>
              <w:rPr>
                <w:rFonts w:ascii="Arial" w:eastAsia="Arial" w:hAnsi="Arial" w:cs="Arial"/>
                <w:b/>
                <w:bCs/>
                <w:color w:val="000000" w:themeColor="text1"/>
                <w:sz w:val="20"/>
              </w:rPr>
              <w:t>Demand and Capacity (</w:t>
            </w:r>
            <w:r w:rsidR="00AB76DC" w:rsidRPr="00587DF1">
              <w:rPr>
                <w:rFonts w:ascii="Arial" w:eastAsia="Arial" w:hAnsi="Arial" w:cs="Arial"/>
                <w:b/>
                <w:bCs/>
                <w:color w:val="000000" w:themeColor="text1"/>
                <w:sz w:val="20"/>
              </w:rPr>
              <w:t>D&amp;C</w:t>
            </w:r>
            <w:r>
              <w:rPr>
                <w:rFonts w:ascii="Arial" w:eastAsia="Arial" w:hAnsi="Arial" w:cs="Arial"/>
                <w:b/>
                <w:bCs/>
                <w:color w:val="000000" w:themeColor="text1"/>
                <w:sz w:val="20"/>
              </w:rPr>
              <w:t>)</w:t>
            </w:r>
            <w:r w:rsidR="00AB76DC" w:rsidRPr="00587DF1">
              <w:rPr>
                <w:rFonts w:ascii="Arial" w:eastAsia="Arial" w:hAnsi="Arial" w:cs="Arial"/>
                <w:b/>
                <w:bCs/>
                <w:color w:val="000000" w:themeColor="text1"/>
                <w:sz w:val="20"/>
              </w:rPr>
              <w:t xml:space="preserve"> Forecast 2026/27</w:t>
            </w:r>
          </w:p>
        </w:tc>
        <w:tc>
          <w:tcPr>
            <w:tcW w:w="324"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365BBF27" w14:textId="77777777" w:rsidR="00AB76DC" w:rsidRPr="00587DF1" w:rsidRDefault="00AB76DC" w:rsidP="0025699F">
            <w:pPr>
              <w:spacing w:after="0"/>
              <w:jc w:val="center"/>
              <w:rPr>
                <w:rFonts w:ascii="Arial" w:eastAsia="Arial" w:hAnsi="Arial" w:cs="Arial"/>
                <w:b/>
                <w:color w:val="000000" w:themeColor="text1"/>
                <w:sz w:val="20"/>
              </w:rPr>
            </w:pPr>
            <w:r w:rsidRPr="00587DF1">
              <w:rPr>
                <w:rFonts w:ascii="Arial" w:eastAsia="Arial" w:hAnsi="Arial" w:cs="Arial"/>
                <w:b/>
                <w:color w:val="000000" w:themeColor="text1"/>
                <w:sz w:val="20"/>
              </w:rPr>
              <w:t>28</w:t>
            </w:r>
          </w:p>
        </w:tc>
        <w:tc>
          <w:tcPr>
            <w:tcW w:w="647"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8C11873" w14:textId="77777777" w:rsidR="00AB76DC" w:rsidRPr="00587DF1" w:rsidRDefault="00AB76DC" w:rsidP="0025699F">
            <w:pPr>
              <w:spacing w:after="0"/>
              <w:jc w:val="center"/>
              <w:rPr>
                <w:rFonts w:ascii="Arial" w:eastAsia="Arial" w:hAnsi="Arial" w:cs="Arial"/>
                <w:b/>
                <w:color w:val="000000" w:themeColor="text1"/>
                <w:sz w:val="20"/>
              </w:rPr>
            </w:pPr>
            <w:r w:rsidRPr="00587DF1">
              <w:rPr>
                <w:rFonts w:ascii="Arial" w:eastAsia="Arial" w:hAnsi="Arial" w:cs="Arial"/>
                <w:b/>
                <w:color w:val="000000" w:themeColor="text1"/>
                <w:sz w:val="20"/>
              </w:rPr>
              <w:t>170</w:t>
            </w:r>
          </w:p>
        </w:tc>
        <w:tc>
          <w:tcPr>
            <w:tcW w:w="647"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2D3F974" w14:textId="78D47851" w:rsidR="00AB76DC" w:rsidRPr="00587DF1" w:rsidRDefault="00F75FD4" w:rsidP="0025699F">
            <w:pPr>
              <w:spacing w:after="0"/>
              <w:jc w:val="center"/>
              <w:rPr>
                <w:rFonts w:ascii="Arial" w:eastAsia="Arial" w:hAnsi="Arial" w:cs="Arial"/>
                <w:b/>
                <w:color w:val="000000" w:themeColor="text1"/>
                <w:sz w:val="20"/>
              </w:rPr>
            </w:pPr>
            <w:r>
              <w:rPr>
                <w:rFonts w:ascii="Arial" w:eastAsia="Arial" w:hAnsi="Arial" w:cs="Arial"/>
                <w:b/>
                <w:color w:val="000000" w:themeColor="text1"/>
                <w:sz w:val="20"/>
              </w:rPr>
              <w:t>14</w:t>
            </w:r>
            <w:r w:rsidRPr="00F75FD4">
              <w:rPr>
                <w:rFonts w:ascii="Arial" w:eastAsia="Arial" w:hAnsi="Arial" w:cs="Arial"/>
                <w:b/>
                <w:color w:val="000000" w:themeColor="text1"/>
                <w:sz w:val="20"/>
                <w:vertAlign w:val="superscript"/>
              </w:rPr>
              <w:t>5</w:t>
            </w:r>
          </w:p>
        </w:tc>
        <w:tc>
          <w:tcPr>
            <w:tcW w:w="324"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39158C6A" w14:textId="77777777" w:rsidR="00AB76DC" w:rsidRPr="00587DF1" w:rsidRDefault="00AB76DC" w:rsidP="0025699F">
            <w:pPr>
              <w:spacing w:after="0"/>
              <w:jc w:val="center"/>
              <w:rPr>
                <w:rFonts w:ascii="Arial" w:eastAsia="Arial" w:hAnsi="Arial" w:cs="Arial"/>
                <w:b/>
                <w:color w:val="000000" w:themeColor="text1"/>
                <w:sz w:val="20"/>
              </w:rPr>
            </w:pPr>
            <w:r w:rsidRPr="00587DF1">
              <w:rPr>
                <w:rFonts w:ascii="Arial" w:eastAsia="Arial" w:hAnsi="Arial" w:cs="Arial"/>
                <w:b/>
                <w:color w:val="000000" w:themeColor="text1"/>
                <w:sz w:val="20"/>
              </w:rPr>
              <w:t>2.3</w:t>
            </w:r>
          </w:p>
        </w:tc>
        <w:tc>
          <w:tcPr>
            <w:tcW w:w="324"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0AB89DF8" w14:textId="77777777" w:rsidR="00AB76DC" w:rsidRPr="00587DF1" w:rsidRDefault="00AB76DC" w:rsidP="0025699F">
            <w:pPr>
              <w:spacing w:after="0"/>
              <w:jc w:val="center"/>
              <w:rPr>
                <w:rFonts w:ascii="Arial" w:eastAsia="Arial" w:hAnsi="Arial" w:cs="Arial"/>
                <w:b/>
                <w:color w:val="000000" w:themeColor="text1"/>
                <w:sz w:val="20"/>
              </w:rPr>
            </w:pPr>
            <w:r w:rsidRPr="00587DF1">
              <w:rPr>
                <w:rFonts w:ascii="Arial" w:eastAsia="Arial" w:hAnsi="Arial" w:cs="Arial"/>
                <w:b/>
                <w:color w:val="000000" w:themeColor="text1"/>
                <w:sz w:val="20"/>
              </w:rPr>
              <w:t>4.2</w:t>
            </w:r>
          </w:p>
        </w:tc>
        <w:tc>
          <w:tcPr>
            <w:tcW w:w="324"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6790F64D" w14:textId="77777777" w:rsidR="00AB76DC" w:rsidRPr="00587DF1" w:rsidRDefault="00AB76DC" w:rsidP="0025699F">
            <w:pPr>
              <w:spacing w:after="0"/>
              <w:jc w:val="center"/>
              <w:rPr>
                <w:rFonts w:ascii="Arial" w:eastAsia="Arial" w:hAnsi="Arial" w:cs="Arial"/>
                <w:b/>
                <w:color w:val="000000" w:themeColor="text1"/>
                <w:sz w:val="20"/>
              </w:rPr>
            </w:pPr>
            <w:r w:rsidRPr="00587DF1">
              <w:rPr>
                <w:rFonts w:ascii="Arial" w:eastAsia="Arial" w:hAnsi="Arial" w:cs="Arial"/>
                <w:b/>
                <w:color w:val="000000" w:themeColor="text1"/>
                <w:sz w:val="20"/>
              </w:rPr>
              <w:t>10</w:t>
            </w:r>
          </w:p>
        </w:tc>
        <w:tc>
          <w:tcPr>
            <w:tcW w:w="324"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F45E58E" w14:textId="77777777" w:rsidR="00AB76DC" w:rsidRPr="00587DF1" w:rsidRDefault="00AB76DC" w:rsidP="0025699F">
            <w:pPr>
              <w:spacing w:after="0"/>
              <w:jc w:val="center"/>
              <w:rPr>
                <w:rFonts w:ascii="Arial" w:eastAsia="Arial" w:hAnsi="Arial" w:cs="Arial"/>
                <w:b/>
                <w:i/>
                <w:sz w:val="20"/>
              </w:rPr>
            </w:pPr>
            <w:r w:rsidRPr="00587DF1">
              <w:rPr>
                <w:rFonts w:ascii="Arial" w:eastAsia="Arial" w:hAnsi="Arial" w:cs="Arial"/>
                <w:b/>
                <w:i/>
                <w:sz w:val="20"/>
              </w:rPr>
              <w:t>3</w:t>
            </w:r>
          </w:p>
        </w:tc>
        <w:tc>
          <w:tcPr>
            <w:tcW w:w="324"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7843C8B" w14:textId="77777777" w:rsidR="00AB76DC" w:rsidRPr="00587DF1" w:rsidRDefault="00AB76DC" w:rsidP="0025699F">
            <w:pPr>
              <w:spacing w:after="0"/>
              <w:jc w:val="center"/>
              <w:rPr>
                <w:rFonts w:ascii="Arial" w:eastAsia="Arial" w:hAnsi="Arial" w:cs="Arial"/>
                <w:b/>
                <w:color w:val="000000" w:themeColor="text1"/>
                <w:sz w:val="20"/>
              </w:rPr>
            </w:pPr>
          </w:p>
        </w:tc>
      </w:tr>
      <w:tr w:rsidR="00DE33FC" w:rsidRPr="00587DF1" w14:paraId="6B59DC7C" w14:textId="77777777" w:rsidTr="00DE33FC">
        <w:trPr>
          <w:trHeight w:val="210"/>
        </w:trPr>
        <w:tc>
          <w:tcPr>
            <w:tcW w:w="1764"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3595F588" w14:textId="77777777" w:rsidR="00AB76DC" w:rsidRPr="00587DF1" w:rsidRDefault="00AB76DC" w:rsidP="0025699F">
            <w:pPr>
              <w:spacing w:after="0"/>
              <w:rPr>
                <w:rFonts w:ascii="Arial" w:eastAsia="Arial" w:hAnsi="Arial" w:cs="Arial"/>
                <w:b/>
                <w:bCs/>
                <w:color w:val="000000" w:themeColor="text1"/>
                <w:sz w:val="20"/>
              </w:rPr>
            </w:pPr>
            <w:r w:rsidRPr="00587DF1">
              <w:rPr>
                <w:rFonts w:ascii="Arial" w:eastAsia="Arial" w:hAnsi="Arial" w:cs="Arial"/>
                <w:b/>
                <w:bCs/>
                <w:color w:val="000000" w:themeColor="text1"/>
                <w:sz w:val="20"/>
              </w:rPr>
              <w:t>D&amp;C Forecast 2031/32</w:t>
            </w:r>
          </w:p>
        </w:tc>
        <w:tc>
          <w:tcPr>
            <w:tcW w:w="324"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54F94443" w14:textId="77777777" w:rsidR="00AB76DC" w:rsidRPr="00587DF1" w:rsidRDefault="00AB76DC" w:rsidP="0025699F">
            <w:pPr>
              <w:spacing w:after="0"/>
              <w:jc w:val="center"/>
              <w:rPr>
                <w:rFonts w:ascii="Arial" w:eastAsia="Arial" w:hAnsi="Arial" w:cs="Arial"/>
                <w:b/>
                <w:color w:val="000000" w:themeColor="text1"/>
                <w:sz w:val="20"/>
              </w:rPr>
            </w:pPr>
            <w:r w:rsidRPr="00587DF1">
              <w:rPr>
                <w:rFonts w:ascii="Arial" w:eastAsia="Arial" w:hAnsi="Arial" w:cs="Arial"/>
                <w:b/>
                <w:color w:val="000000" w:themeColor="text1"/>
                <w:sz w:val="20"/>
              </w:rPr>
              <w:t>32</w:t>
            </w:r>
          </w:p>
        </w:tc>
        <w:tc>
          <w:tcPr>
            <w:tcW w:w="647"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9BCA0B8" w14:textId="77777777" w:rsidR="00AB76DC" w:rsidRPr="00587DF1" w:rsidRDefault="00AB76DC" w:rsidP="0025699F">
            <w:pPr>
              <w:spacing w:after="0"/>
              <w:jc w:val="center"/>
              <w:rPr>
                <w:rFonts w:ascii="Arial" w:eastAsia="Arial" w:hAnsi="Arial" w:cs="Arial"/>
                <w:b/>
                <w:color w:val="000000" w:themeColor="text1"/>
                <w:sz w:val="20"/>
              </w:rPr>
            </w:pPr>
            <w:r w:rsidRPr="00587DF1">
              <w:rPr>
                <w:rFonts w:ascii="Arial" w:eastAsia="Arial" w:hAnsi="Arial" w:cs="Arial"/>
                <w:b/>
                <w:color w:val="000000" w:themeColor="text1"/>
                <w:sz w:val="20"/>
              </w:rPr>
              <w:t>181</w:t>
            </w:r>
          </w:p>
        </w:tc>
        <w:tc>
          <w:tcPr>
            <w:tcW w:w="647"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46E9FA4" w14:textId="41A808E2" w:rsidR="00AB76DC" w:rsidRPr="00587DF1" w:rsidRDefault="00F75FD4" w:rsidP="0025699F">
            <w:pPr>
              <w:spacing w:after="0"/>
              <w:jc w:val="center"/>
              <w:rPr>
                <w:rFonts w:ascii="Arial" w:eastAsia="Arial" w:hAnsi="Arial" w:cs="Arial"/>
                <w:b/>
                <w:color w:val="000000" w:themeColor="text1"/>
                <w:sz w:val="20"/>
              </w:rPr>
            </w:pPr>
            <w:r>
              <w:rPr>
                <w:rFonts w:ascii="Arial" w:eastAsia="Arial" w:hAnsi="Arial" w:cs="Arial"/>
                <w:b/>
                <w:color w:val="000000" w:themeColor="text1"/>
                <w:sz w:val="20"/>
              </w:rPr>
              <w:t>15</w:t>
            </w:r>
            <w:r w:rsidRPr="00F75FD4">
              <w:rPr>
                <w:rFonts w:ascii="Arial" w:eastAsia="Arial" w:hAnsi="Arial" w:cs="Arial"/>
                <w:b/>
                <w:color w:val="000000" w:themeColor="text1"/>
                <w:sz w:val="20"/>
                <w:vertAlign w:val="superscript"/>
              </w:rPr>
              <w:t>5</w:t>
            </w:r>
          </w:p>
        </w:tc>
        <w:tc>
          <w:tcPr>
            <w:tcW w:w="324"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32EF2687" w14:textId="77777777" w:rsidR="00AB76DC" w:rsidRPr="00587DF1" w:rsidRDefault="00AB76DC" w:rsidP="0025699F">
            <w:pPr>
              <w:spacing w:after="0"/>
              <w:jc w:val="center"/>
              <w:rPr>
                <w:rFonts w:ascii="Arial" w:eastAsia="Arial" w:hAnsi="Arial" w:cs="Arial"/>
                <w:b/>
                <w:color w:val="000000" w:themeColor="text1"/>
                <w:sz w:val="20"/>
              </w:rPr>
            </w:pPr>
            <w:r w:rsidRPr="00587DF1">
              <w:rPr>
                <w:rFonts w:ascii="Arial" w:eastAsia="Arial" w:hAnsi="Arial" w:cs="Arial"/>
                <w:b/>
                <w:color w:val="000000" w:themeColor="text1"/>
                <w:sz w:val="20"/>
              </w:rPr>
              <w:t>2.5</w:t>
            </w:r>
          </w:p>
        </w:tc>
        <w:tc>
          <w:tcPr>
            <w:tcW w:w="324"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1BA5DB9E" w14:textId="77777777" w:rsidR="00AB76DC" w:rsidRPr="00587DF1" w:rsidRDefault="00AB76DC" w:rsidP="0025699F">
            <w:pPr>
              <w:spacing w:after="0"/>
              <w:jc w:val="center"/>
              <w:rPr>
                <w:rFonts w:ascii="Arial" w:eastAsia="Arial" w:hAnsi="Arial" w:cs="Arial"/>
                <w:b/>
                <w:color w:val="000000" w:themeColor="text1"/>
                <w:sz w:val="20"/>
              </w:rPr>
            </w:pPr>
            <w:r w:rsidRPr="00587DF1">
              <w:rPr>
                <w:rFonts w:ascii="Arial" w:eastAsia="Arial" w:hAnsi="Arial" w:cs="Arial"/>
                <w:b/>
                <w:color w:val="000000" w:themeColor="text1"/>
                <w:sz w:val="20"/>
              </w:rPr>
              <w:t>4.4</w:t>
            </w:r>
          </w:p>
        </w:tc>
        <w:tc>
          <w:tcPr>
            <w:tcW w:w="324"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44E6F651" w14:textId="77777777" w:rsidR="00AB76DC" w:rsidRPr="00587DF1" w:rsidRDefault="00AB76DC" w:rsidP="0025699F">
            <w:pPr>
              <w:spacing w:after="0"/>
              <w:jc w:val="center"/>
              <w:rPr>
                <w:rFonts w:ascii="Arial" w:eastAsia="Arial" w:hAnsi="Arial" w:cs="Arial"/>
                <w:b/>
                <w:color w:val="000000" w:themeColor="text1"/>
                <w:sz w:val="20"/>
              </w:rPr>
            </w:pPr>
            <w:r w:rsidRPr="00587DF1">
              <w:rPr>
                <w:rFonts w:ascii="Arial" w:eastAsia="Arial" w:hAnsi="Arial" w:cs="Arial"/>
                <w:b/>
                <w:color w:val="000000" w:themeColor="text1"/>
                <w:sz w:val="20"/>
              </w:rPr>
              <w:t>11</w:t>
            </w:r>
          </w:p>
        </w:tc>
        <w:tc>
          <w:tcPr>
            <w:tcW w:w="324"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B846AEC" w14:textId="77777777" w:rsidR="00AB76DC" w:rsidRPr="00587DF1" w:rsidRDefault="00AB76DC" w:rsidP="0025699F">
            <w:pPr>
              <w:spacing w:after="0"/>
              <w:jc w:val="center"/>
              <w:rPr>
                <w:rFonts w:ascii="Arial" w:eastAsia="Arial" w:hAnsi="Arial" w:cs="Arial"/>
                <w:b/>
                <w:i/>
                <w:sz w:val="20"/>
              </w:rPr>
            </w:pPr>
            <w:r w:rsidRPr="00587DF1">
              <w:rPr>
                <w:rFonts w:ascii="Arial" w:eastAsia="Arial" w:hAnsi="Arial" w:cs="Arial"/>
                <w:b/>
                <w:i/>
                <w:sz w:val="20"/>
              </w:rPr>
              <w:t>3</w:t>
            </w:r>
          </w:p>
        </w:tc>
        <w:tc>
          <w:tcPr>
            <w:tcW w:w="324"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206D658" w14:textId="77777777" w:rsidR="00AB76DC" w:rsidRPr="00587DF1" w:rsidRDefault="00AB76DC" w:rsidP="0025699F">
            <w:pPr>
              <w:spacing w:after="0"/>
              <w:jc w:val="center"/>
              <w:rPr>
                <w:rFonts w:ascii="Arial" w:eastAsia="Arial" w:hAnsi="Arial" w:cs="Arial"/>
                <w:b/>
                <w:color w:val="000000" w:themeColor="text1"/>
                <w:sz w:val="20"/>
              </w:rPr>
            </w:pPr>
          </w:p>
        </w:tc>
      </w:tr>
      <w:tr w:rsidR="00DE33FC" w:rsidRPr="00587DF1" w14:paraId="7832E9B1" w14:textId="77777777" w:rsidTr="00DE33FC">
        <w:trPr>
          <w:trHeight w:val="210"/>
        </w:trPr>
        <w:tc>
          <w:tcPr>
            <w:tcW w:w="1764"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716C7E2D" w14:textId="77777777" w:rsidR="00AB76DC" w:rsidRPr="00587DF1" w:rsidRDefault="00AB76DC" w:rsidP="0025699F">
            <w:pPr>
              <w:spacing w:after="0"/>
              <w:rPr>
                <w:rFonts w:ascii="Arial" w:eastAsia="Arial" w:hAnsi="Arial" w:cs="Arial"/>
                <w:b/>
                <w:bCs/>
                <w:color w:val="000000" w:themeColor="text1"/>
                <w:sz w:val="20"/>
              </w:rPr>
            </w:pPr>
            <w:r w:rsidRPr="00587DF1">
              <w:rPr>
                <w:rFonts w:ascii="Arial" w:eastAsia="Arial" w:hAnsi="Arial" w:cs="Arial"/>
                <w:b/>
                <w:bCs/>
                <w:color w:val="000000" w:themeColor="text1"/>
                <w:sz w:val="20"/>
              </w:rPr>
              <w:t>D&amp;C Forecast 2036/37</w:t>
            </w:r>
          </w:p>
        </w:tc>
        <w:tc>
          <w:tcPr>
            <w:tcW w:w="324"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6A316B5F" w14:textId="77777777" w:rsidR="00AB76DC" w:rsidRPr="00587DF1" w:rsidRDefault="00AB76DC" w:rsidP="0025699F">
            <w:pPr>
              <w:spacing w:after="0"/>
              <w:jc w:val="center"/>
              <w:rPr>
                <w:rFonts w:ascii="Arial" w:eastAsia="Arial" w:hAnsi="Arial" w:cs="Arial"/>
                <w:b/>
                <w:color w:val="000000" w:themeColor="text1"/>
                <w:sz w:val="20"/>
              </w:rPr>
            </w:pPr>
            <w:r w:rsidRPr="00587DF1">
              <w:rPr>
                <w:rFonts w:ascii="Arial" w:eastAsia="Arial" w:hAnsi="Arial" w:cs="Arial"/>
                <w:b/>
                <w:color w:val="000000" w:themeColor="text1"/>
                <w:sz w:val="20"/>
              </w:rPr>
              <w:t>37</w:t>
            </w:r>
          </w:p>
        </w:tc>
        <w:tc>
          <w:tcPr>
            <w:tcW w:w="647"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4F1126D" w14:textId="77777777" w:rsidR="00AB76DC" w:rsidRPr="00587DF1" w:rsidRDefault="00AB76DC" w:rsidP="0025699F">
            <w:pPr>
              <w:spacing w:after="0"/>
              <w:jc w:val="center"/>
              <w:rPr>
                <w:rFonts w:ascii="Arial" w:eastAsia="Arial" w:hAnsi="Arial" w:cs="Arial"/>
                <w:b/>
                <w:color w:val="000000" w:themeColor="text1"/>
                <w:sz w:val="20"/>
              </w:rPr>
            </w:pPr>
            <w:r w:rsidRPr="00587DF1">
              <w:rPr>
                <w:rFonts w:ascii="Arial" w:eastAsia="Arial" w:hAnsi="Arial" w:cs="Arial"/>
                <w:b/>
                <w:color w:val="000000" w:themeColor="text1"/>
                <w:sz w:val="20"/>
              </w:rPr>
              <w:t>206</w:t>
            </w:r>
          </w:p>
        </w:tc>
        <w:tc>
          <w:tcPr>
            <w:tcW w:w="647"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F5C9D31" w14:textId="6669A88E" w:rsidR="00AB76DC" w:rsidRPr="00587DF1" w:rsidRDefault="00F75FD4" w:rsidP="0025699F">
            <w:pPr>
              <w:spacing w:after="0"/>
              <w:jc w:val="center"/>
              <w:rPr>
                <w:rFonts w:ascii="Arial" w:eastAsia="Arial" w:hAnsi="Arial" w:cs="Arial"/>
                <w:b/>
                <w:color w:val="000000" w:themeColor="text1"/>
                <w:sz w:val="20"/>
              </w:rPr>
            </w:pPr>
            <w:r>
              <w:rPr>
                <w:rFonts w:ascii="Arial" w:eastAsia="Arial" w:hAnsi="Arial" w:cs="Arial"/>
                <w:b/>
                <w:color w:val="000000" w:themeColor="text1"/>
                <w:sz w:val="20"/>
              </w:rPr>
              <w:t>18</w:t>
            </w:r>
            <w:r w:rsidRPr="00F75FD4">
              <w:rPr>
                <w:rFonts w:ascii="Arial" w:eastAsia="Arial" w:hAnsi="Arial" w:cs="Arial"/>
                <w:b/>
                <w:color w:val="000000" w:themeColor="text1"/>
                <w:sz w:val="20"/>
                <w:vertAlign w:val="superscript"/>
              </w:rPr>
              <w:t>5</w:t>
            </w:r>
          </w:p>
        </w:tc>
        <w:tc>
          <w:tcPr>
            <w:tcW w:w="324"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0F07201E" w14:textId="77777777" w:rsidR="00AB76DC" w:rsidRPr="00587DF1" w:rsidRDefault="00AB76DC" w:rsidP="0025699F">
            <w:pPr>
              <w:spacing w:after="0"/>
              <w:jc w:val="center"/>
              <w:rPr>
                <w:rFonts w:ascii="Arial" w:eastAsia="Arial" w:hAnsi="Arial" w:cs="Arial"/>
                <w:b/>
                <w:color w:val="000000" w:themeColor="text1"/>
                <w:sz w:val="20"/>
              </w:rPr>
            </w:pPr>
            <w:r w:rsidRPr="00587DF1">
              <w:rPr>
                <w:rFonts w:ascii="Arial" w:eastAsia="Arial" w:hAnsi="Arial" w:cs="Arial"/>
                <w:b/>
                <w:color w:val="000000" w:themeColor="text1"/>
                <w:sz w:val="20"/>
              </w:rPr>
              <w:t>2.8</w:t>
            </w:r>
          </w:p>
        </w:tc>
        <w:tc>
          <w:tcPr>
            <w:tcW w:w="324"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1F67E509" w14:textId="77777777" w:rsidR="00AB76DC" w:rsidRPr="00587DF1" w:rsidRDefault="00AB76DC" w:rsidP="0025699F">
            <w:pPr>
              <w:spacing w:after="0"/>
              <w:jc w:val="center"/>
              <w:rPr>
                <w:rFonts w:ascii="Arial" w:eastAsia="Arial" w:hAnsi="Arial" w:cs="Arial"/>
                <w:b/>
                <w:color w:val="000000" w:themeColor="text1"/>
                <w:sz w:val="20"/>
              </w:rPr>
            </w:pPr>
            <w:r w:rsidRPr="00587DF1">
              <w:rPr>
                <w:rFonts w:ascii="Arial" w:eastAsia="Arial" w:hAnsi="Arial" w:cs="Arial"/>
                <w:b/>
                <w:color w:val="000000" w:themeColor="text1"/>
                <w:sz w:val="20"/>
              </w:rPr>
              <w:t>5.1</w:t>
            </w:r>
          </w:p>
        </w:tc>
        <w:tc>
          <w:tcPr>
            <w:tcW w:w="324"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6FCA3E58" w14:textId="77777777" w:rsidR="00AB76DC" w:rsidRPr="00587DF1" w:rsidRDefault="00AB76DC" w:rsidP="0025699F">
            <w:pPr>
              <w:spacing w:after="0"/>
              <w:jc w:val="center"/>
              <w:rPr>
                <w:rFonts w:ascii="Arial" w:eastAsia="Arial" w:hAnsi="Arial" w:cs="Arial"/>
                <w:b/>
                <w:color w:val="000000" w:themeColor="text1"/>
                <w:sz w:val="20"/>
              </w:rPr>
            </w:pPr>
            <w:r w:rsidRPr="00587DF1">
              <w:rPr>
                <w:rFonts w:ascii="Arial" w:eastAsia="Arial" w:hAnsi="Arial" w:cs="Arial"/>
                <w:b/>
                <w:color w:val="000000" w:themeColor="text1"/>
                <w:sz w:val="20"/>
              </w:rPr>
              <w:t>12</w:t>
            </w:r>
          </w:p>
        </w:tc>
        <w:tc>
          <w:tcPr>
            <w:tcW w:w="324"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CC69906" w14:textId="5B37A4D7" w:rsidR="00AB76DC" w:rsidRPr="00587DF1" w:rsidRDefault="00AB76DC" w:rsidP="0025699F">
            <w:pPr>
              <w:spacing w:after="0"/>
              <w:jc w:val="center"/>
              <w:rPr>
                <w:rFonts w:ascii="Arial" w:eastAsia="Arial" w:hAnsi="Arial" w:cs="Arial"/>
                <w:b/>
                <w:i/>
                <w:sz w:val="20"/>
              </w:rPr>
            </w:pPr>
            <w:r w:rsidRPr="00587DF1">
              <w:rPr>
                <w:rFonts w:ascii="Arial" w:eastAsia="Arial" w:hAnsi="Arial" w:cs="Arial"/>
                <w:b/>
                <w:i/>
                <w:sz w:val="20"/>
              </w:rPr>
              <w:t>3</w:t>
            </w:r>
          </w:p>
        </w:tc>
        <w:tc>
          <w:tcPr>
            <w:tcW w:w="324"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9E95A1E" w14:textId="77777777" w:rsidR="00AB76DC" w:rsidRPr="00587DF1" w:rsidRDefault="00AB76DC" w:rsidP="0025699F">
            <w:pPr>
              <w:spacing w:after="0"/>
              <w:jc w:val="center"/>
              <w:rPr>
                <w:rFonts w:ascii="Arial" w:eastAsia="Arial" w:hAnsi="Arial" w:cs="Arial"/>
                <w:b/>
                <w:color w:val="000000" w:themeColor="text1"/>
                <w:sz w:val="20"/>
              </w:rPr>
            </w:pPr>
          </w:p>
        </w:tc>
      </w:tr>
    </w:tbl>
    <w:bookmarkEnd w:id="142"/>
    <w:p w14:paraId="543C1F5D" w14:textId="77777777" w:rsidR="00AB76DC" w:rsidRPr="00587DF1" w:rsidRDefault="00AB76DC" w:rsidP="00AB76DC">
      <w:pPr>
        <w:spacing w:after="0"/>
        <w:rPr>
          <w:rFonts w:ascii="Arial" w:eastAsia="Arial" w:hAnsi="Arial" w:cs="Arial"/>
          <w:i/>
          <w:iCs/>
          <w:sz w:val="20"/>
          <w:szCs w:val="20"/>
        </w:rPr>
      </w:pPr>
      <w:r w:rsidRPr="00587DF1">
        <w:rPr>
          <w:rFonts w:ascii="Arial" w:eastAsia="Arial" w:hAnsi="Arial" w:cs="Arial"/>
          <w:bCs/>
          <w:i/>
          <w:iCs/>
          <w:sz w:val="20"/>
          <w:szCs w:val="20"/>
          <w:vertAlign w:val="superscript"/>
        </w:rPr>
        <w:t>1</w:t>
      </w:r>
      <w:r w:rsidRPr="00587DF1">
        <w:rPr>
          <w:rFonts w:ascii="Arial" w:eastAsia="Arial" w:hAnsi="Arial" w:cs="Arial"/>
          <w:bCs/>
          <w:i/>
          <w:iCs/>
          <w:sz w:val="20"/>
          <w:szCs w:val="20"/>
        </w:rPr>
        <w:t>includes CDU &amp; Isolation, excludes Triage cubicles</w:t>
      </w:r>
    </w:p>
    <w:p w14:paraId="218C1A90" w14:textId="4A6860A5" w:rsidR="00AB76DC" w:rsidRDefault="00AB76DC" w:rsidP="00AB76DC">
      <w:pPr>
        <w:spacing w:after="0"/>
        <w:rPr>
          <w:rFonts w:ascii="Arial" w:eastAsia="Arial" w:hAnsi="Arial" w:cs="Arial"/>
          <w:i/>
          <w:iCs/>
          <w:sz w:val="20"/>
          <w:szCs w:val="20"/>
        </w:rPr>
      </w:pPr>
      <w:r w:rsidRPr="00587DF1">
        <w:rPr>
          <w:rFonts w:ascii="Arial" w:eastAsia="Arial" w:hAnsi="Arial" w:cs="Arial"/>
          <w:i/>
          <w:iCs/>
          <w:sz w:val="20"/>
          <w:szCs w:val="20"/>
          <w:vertAlign w:val="superscript"/>
        </w:rPr>
        <w:t>2</w:t>
      </w:r>
      <w:r w:rsidRPr="00587DF1">
        <w:rPr>
          <w:rFonts w:ascii="Arial" w:eastAsia="Arial" w:hAnsi="Arial" w:cs="Arial"/>
          <w:i/>
          <w:iCs/>
          <w:sz w:val="20"/>
          <w:szCs w:val="20"/>
        </w:rPr>
        <w:t>includes treatment rooms, ocular prosthetics &amp; pre-assessment</w:t>
      </w:r>
    </w:p>
    <w:p w14:paraId="21508697" w14:textId="3EF1B726" w:rsidR="00DE33FC" w:rsidRDefault="00DE33FC" w:rsidP="00AB76DC">
      <w:pPr>
        <w:spacing w:after="0"/>
        <w:rPr>
          <w:rFonts w:ascii="Arial" w:eastAsia="Arial" w:hAnsi="Arial" w:cs="Arial"/>
          <w:i/>
          <w:iCs/>
          <w:sz w:val="20"/>
          <w:szCs w:val="20"/>
        </w:rPr>
      </w:pPr>
      <w:r w:rsidRPr="00DE33FC">
        <w:rPr>
          <w:rFonts w:ascii="Arial" w:eastAsia="Arial" w:hAnsi="Arial" w:cs="Arial"/>
          <w:i/>
          <w:iCs/>
          <w:sz w:val="20"/>
          <w:szCs w:val="20"/>
          <w:vertAlign w:val="superscript"/>
        </w:rPr>
        <w:t>3</w:t>
      </w:r>
      <w:r>
        <w:rPr>
          <w:rFonts w:ascii="Arial" w:eastAsia="Arial" w:hAnsi="Arial" w:cs="Arial"/>
          <w:i/>
          <w:iCs/>
          <w:sz w:val="20"/>
          <w:szCs w:val="20"/>
        </w:rPr>
        <w:t>this reflects the efficiencies which can be gained through providing diagnostic centres of various sizes, designed around diagnostic bundles</w:t>
      </w:r>
    </w:p>
    <w:bookmarkEnd w:id="141"/>
    <w:p w14:paraId="1B918EA6" w14:textId="0A18A202" w:rsidR="00DE33FC" w:rsidRDefault="00DE33FC" w:rsidP="00AB76DC">
      <w:pPr>
        <w:spacing w:after="0"/>
        <w:rPr>
          <w:rFonts w:ascii="Arial" w:eastAsia="Arial" w:hAnsi="Arial" w:cs="Arial"/>
          <w:i/>
          <w:iCs/>
          <w:sz w:val="20"/>
          <w:szCs w:val="20"/>
        </w:rPr>
      </w:pPr>
      <w:r w:rsidRPr="00DE33FC">
        <w:rPr>
          <w:rFonts w:ascii="Arial" w:eastAsia="Arial" w:hAnsi="Arial" w:cs="Arial"/>
          <w:i/>
          <w:iCs/>
          <w:sz w:val="20"/>
          <w:szCs w:val="20"/>
          <w:vertAlign w:val="superscript"/>
        </w:rPr>
        <w:t>4</w:t>
      </w:r>
      <w:r>
        <w:rPr>
          <w:rFonts w:ascii="Arial" w:eastAsia="Arial" w:hAnsi="Arial" w:cs="Arial"/>
          <w:i/>
          <w:iCs/>
          <w:sz w:val="20"/>
          <w:szCs w:val="20"/>
        </w:rPr>
        <w:t>while the D&amp;C forecast shows requirement for 14 theatres, an activity review has been undertaken with clinical colleagues to identify activity (primarily high-volume cataracts) which could be undertaken in a minor ops theatre, thereby improving space efficiency.</w:t>
      </w:r>
    </w:p>
    <w:p w14:paraId="6E0BCD76" w14:textId="4D489F86" w:rsidR="00F75FD4" w:rsidRDefault="00F75FD4" w:rsidP="00AB76DC">
      <w:pPr>
        <w:spacing w:after="0"/>
        <w:rPr>
          <w:rFonts w:ascii="Arial" w:eastAsia="Arial" w:hAnsi="Arial" w:cs="Arial"/>
          <w:i/>
          <w:iCs/>
          <w:sz w:val="20"/>
          <w:szCs w:val="20"/>
        </w:rPr>
      </w:pPr>
      <w:r w:rsidRPr="00F75FD4">
        <w:rPr>
          <w:rFonts w:ascii="Arial" w:eastAsia="Arial" w:hAnsi="Arial" w:cs="Arial"/>
          <w:i/>
          <w:iCs/>
          <w:sz w:val="20"/>
          <w:szCs w:val="20"/>
          <w:vertAlign w:val="superscript"/>
        </w:rPr>
        <w:t>5</w:t>
      </w:r>
      <w:r>
        <w:rPr>
          <w:rFonts w:ascii="Arial" w:eastAsia="Arial" w:hAnsi="Arial" w:cs="Arial"/>
          <w:i/>
          <w:iCs/>
          <w:sz w:val="20"/>
          <w:szCs w:val="20"/>
        </w:rPr>
        <w:t>assumes 3 machines per room</w:t>
      </w:r>
    </w:p>
    <w:bookmarkEnd w:id="143"/>
    <w:p w14:paraId="3CEF0473" w14:textId="00BBB250" w:rsidR="00AF7894" w:rsidRDefault="00AF7894" w:rsidP="00DE7536">
      <w:pPr>
        <w:spacing w:after="0" w:line="240" w:lineRule="auto"/>
        <w:rPr>
          <w:rFonts w:ascii="Arial" w:eastAsia="Arial" w:hAnsi="Arial" w:cs="Arial"/>
        </w:rPr>
      </w:pPr>
    </w:p>
    <w:p w14:paraId="3BB4513F" w14:textId="61C854B1" w:rsidR="00DD2C20" w:rsidRDefault="00DD2C20" w:rsidP="00DE7536">
      <w:pPr>
        <w:spacing w:after="0" w:line="240" w:lineRule="auto"/>
        <w:rPr>
          <w:rFonts w:ascii="Arial" w:eastAsia="Arial" w:hAnsi="Arial" w:cs="Arial"/>
        </w:rPr>
      </w:pPr>
      <w:r>
        <w:rPr>
          <w:rFonts w:ascii="Arial" w:eastAsia="Arial" w:hAnsi="Arial" w:cs="Arial"/>
        </w:rPr>
        <w:t>This shows that the building will have capacity to 2031/32 under the current operating assumptions. Growth beyond this will be mitigated through extended opening hours.</w:t>
      </w:r>
    </w:p>
    <w:p w14:paraId="77B98E72" w14:textId="249A9DC2" w:rsidR="00CC6715" w:rsidRDefault="00CC6715" w:rsidP="00DE7536">
      <w:pPr>
        <w:spacing w:after="0" w:line="240" w:lineRule="auto"/>
        <w:rPr>
          <w:rFonts w:ascii="Arial" w:eastAsia="Arial" w:hAnsi="Arial" w:cs="Arial"/>
          <w:color w:val="000000"/>
        </w:rPr>
      </w:pPr>
    </w:p>
    <w:p w14:paraId="5AA2D625" w14:textId="77777777" w:rsidR="00CC6715" w:rsidRPr="00587DF1" w:rsidRDefault="00CC6715" w:rsidP="00DE7536">
      <w:pPr>
        <w:spacing w:after="0" w:line="240" w:lineRule="auto"/>
        <w:rPr>
          <w:rFonts w:ascii="Arial" w:eastAsia="Arial" w:hAnsi="Arial" w:cs="Arial"/>
          <w:color w:val="000000"/>
        </w:rPr>
      </w:pPr>
    </w:p>
    <w:p w14:paraId="62CCD9F4" w14:textId="77777777" w:rsidR="00DE7536" w:rsidRPr="00587DF1" w:rsidRDefault="00DE7536" w:rsidP="00DE7536">
      <w:pPr>
        <w:spacing w:after="0" w:line="240" w:lineRule="auto"/>
        <w:rPr>
          <w:rFonts w:ascii="Arial" w:eastAsia="Arial" w:hAnsi="Arial" w:cs="Arial"/>
          <w:color w:val="000000"/>
        </w:rPr>
      </w:pPr>
    </w:p>
    <w:p w14:paraId="67D24F4A" w14:textId="77777777" w:rsidR="00E47761" w:rsidRPr="00B146F0" w:rsidRDefault="001D71F5" w:rsidP="005E0D57">
      <w:pPr>
        <w:pStyle w:val="Heading2"/>
        <w:numPr>
          <w:ilvl w:val="1"/>
          <w:numId w:val="1"/>
        </w:numPr>
        <w:rPr>
          <w:rFonts w:ascii="Arial" w:eastAsia="Arial" w:hAnsi="Arial" w:cs="Arial"/>
          <w:color w:val="000000"/>
        </w:rPr>
      </w:pPr>
      <w:bookmarkStart w:id="144" w:name="_Toc27129273"/>
      <w:bookmarkStart w:id="145" w:name="_Toc32842695"/>
      <w:r w:rsidRPr="00B146F0">
        <w:rPr>
          <w:rFonts w:ascii="Arial" w:eastAsia="Arial" w:hAnsi="Arial" w:cs="Arial"/>
          <w:color w:val="000000"/>
        </w:rPr>
        <w:t>This is a u</w:t>
      </w:r>
      <w:r w:rsidR="00E47761" w:rsidRPr="00B146F0">
        <w:rPr>
          <w:rFonts w:ascii="Arial" w:eastAsia="Arial" w:hAnsi="Arial" w:cs="Arial"/>
          <w:color w:val="000000"/>
        </w:rPr>
        <w:t xml:space="preserve">nique opportunity to secure the future of </w:t>
      </w:r>
      <w:r w:rsidR="00AD3E2C" w:rsidRPr="00B146F0">
        <w:rPr>
          <w:rFonts w:ascii="Arial" w:eastAsia="Arial" w:hAnsi="Arial" w:cs="Arial"/>
          <w:color w:val="000000"/>
        </w:rPr>
        <w:t>Moorfields</w:t>
      </w:r>
      <w:r w:rsidR="00E47761" w:rsidRPr="00B146F0">
        <w:rPr>
          <w:rFonts w:ascii="Arial" w:eastAsia="Arial" w:hAnsi="Arial" w:cs="Arial"/>
          <w:color w:val="000000"/>
        </w:rPr>
        <w:t xml:space="preserve"> and UCL IoO</w:t>
      </w:r>
      <w:bookmarkEnd w:id="144"/>
      <w:bookmarkEnd w:id="145"/>
    </w:p>
    <w:p w14:paraId="0A38A812" w14:textId="77777777" w:rsidR="00E47761" w:rsidRPr="00587DF1" w:rsidRDefault="00E47761" w:rsidP="00E47761">
      <w:pPr>
        <w:spacing w:after="0"/>
        <w:rPr>
          <w:rFonts w:ascii="Arial" w:eastAsia="Arial" w:hAnsi="Arial" w:cs="Arial"/>
        </w:rPr>
      </w:pPr>
    </w:p>
    <w:p w14:paraId="3A947A61" w14:textId="46AFD8E5" w:rsidR="00E47761" w:rsidRPr="00587DF1" w:rsidRDefault="00E47761" w:rsidP="00E47761">
      <w:pPr>
        <w:rPr>
          <w:rFonts w:ascii="Arial" w:eastAsia="Arial" w:hAnsi="Arial" w:cs="Arial"/>
        </w:rPr>
      </w:pPr>
      <w:r w:rsidRPr="00587DF1">
        <w:rPr>
          <w:rFonts w:ascii="Arial" w:eastAsia="Arial" w:hAnsi="Arial" w:cs="Arial"/>
        </w:rPr>
        <w:t>While many of the issues faced at the City Road site are not currently critical,</w:t>
      </w:r>
      <w:r w:rsidR="00667468" w:rsidRPr="00587DF1">
        <w:rPr>
          <w:rFonts w:ascii="Arial" w:eastAsia="Arial" w:hAnsi="Arial" w:cs="Arial"/>
        </w:rPr>
        <w:t xml:space="preserve"> they will become so in the future.</w:t>
      </w:r>
      <w:r w:rsidRPr="00587DF1">
        <w:rPr>
          <w:rFonts w:ascii="Arial" w:eastAsia="Arial" w:hAnsi="Arial" w:cs="Arial"/>
        </w:rPr>
        <w:t xml:space="preserve"> </w:t>
      </w:r>
      <w:r w:rsidR="00AD3E2C" w:rsidRPr="00587DF1">
        <w:rPr>
          <w:rFonts w:ascii="Arial" w:eastAsia="Arial" w:hAnsi="Arial" w:cs="Arial"/>
        </w:rPr>
        <w:t>Moorfields</w:t>
      </w:r>
      <w:r w:rsidRPr="00587DF1">
        <w:rPr>
          <w:rFonts w:ascii="Arial" w:eastAsia="Arial" w:hAnsi="Arial" w:cs="Arial"/>
        </w:rPr>
        <w:t xml:space="preserve"> and UCL IoO have a unique opportunity to provide a fully future-proofed cutting edge facility at St Pancras, with a real focus on research and education. The St Pancras site is available in 2022 as a result of projects underway by C</w:t>
      </w:r>
      <w:r w:rsidR="00D60A93" w:rsidRPr="00587DF1">
        <w:rPr>
          <w:rFonts w:ascii="Arial" w:eastAsia="Arial" w:hAnsi="Arial" w:cs="Arial"/>
        </w:rPr>
        <w:t>&amp;</w:t>
      </w:r>
      <w:r w:rsidRPr="00587DF1">
        <w:rPr>
          <w:rFonts w:ascii="Arial" w:eastAsia="Arial" w:hAnsi="Arial" w:cs="Arial"/>
        </w:rPr>
        <w:t xml:space="preserve">I and WHT. </w:t>
      </w:r>
      <w:r w:rsidR="00AD3E2C" w:rsidRPr="00587DF1">
        <w:rPr>
          <w:rFonts w:ascii="Arial" w:eastAsia="Arial" w:hAnsi="Arial" w:cs="Arial"/>
        </w:rPr>
        <w:t>Moorfields</w:t>
      </w:r>
      <w:r w:rsidRPr="00587DF1">
        <w:rPr>
          <w:rFonts w:ascii="Arial" w:eastAsia="Arial" w:hAnsi="Arial" w:cs="Arial"/>
        </w:rPr>
        <w:t xml:space="preserve"> has the opportunity to purchase </w:t>
      </w:r>
      <w:r w:rsidR="00DD2C20">
        <w:rPr>
          <w:rFonts w:ascii="Arial" w:eastAsia="Arial" w:hAnsi="Arial" w:cs="Arial"/>
        </w:rPr>
        <w:t xml:space="preserve">two acres of the </w:t>
      </w:r>
      <w:r w:rsidRPr="00587DF1">
        <w:rPr>
          <w:rFonts w:ascii="Arial" w:eastAsia="Arial" w:hAnsi="Arial" w:cs="Arial"/>
        </w:rPr>
        <w:t>site directly without having to compete on the open market, which is likely to represent better value than purchasing land from a developer. It is unlikely that a site of this size, so close to the existing City Road site and a major public transport hub, will become available again.</w:t>
      </w:r>
    </w:p>
    <w:p w14:paraId="6D27ABC9" w14:textId="184F6F61" w:rsidR="00E47761" w:rsidRPr="00587DF1" w:rsidRDefault="00E47761" w:rsidP="00E47761">
      <w:pPr>
        <w:rPr>
          <w:rFonts w:ascii="Arial" w:eastAsia="Arial" w:hAnsi="Arial" w:cs="Arial"/>
        </w:rPr>
      </w:pPr>
      <w:r w:rsidRPr="00587DF1">
        <w:rPr>
          <w:rFonts w:ascii="Arial" w:eastAsia="Arial" w:hAnsi="Arial" w:cs="Arial"/>
        </w:rPr>
        <w:t xml:space="preserve">Oriel will enable </w:t>
      </w:r>
      <w:r w:rsidR="00AD3E2C" w:rsidRPr="00587DF1">
        <w:rPr>
          <w:rFonts w:ascii="Arial" w:eastAsia="Arial" w:hAnsi="Arial" w:cs="Arial"/>
        </w:rPr>
        <w:t xml:space="preserve">Moorfields </w:t>
      </w:r>
      <w:r w:rsidRPr="00587DF1">
        <w:rPr>
          <w:rFonts w:ascii="Arial" w:eastAsia="Arial" w:hAnsi="Arial" w:cs="Arial"/>
        </w:rPr>
        <w:t>to plan for the future, providing additional capacity which will become critically important in future years, and providing the flexibility to respond to future changes – something which is increasingly challenging in the existing City Road site. The running costs (including maintenance and infrastructure upgrades) and Carbon emissions of the building will be lower than current, as described in the Economic and Finance cases of this OBC.</w:t>
      </w:r>
    </w:p>
    <w:p w14:paraId="25F621FA" w14:textId="77777777" w:rsidR="00F05F85" w:rsidRPr="00587DF1" w:rsidRDefault="00F05F85" w:rsidP="00E47761">
      <w:pPr>
        <w:rPr>
          <w:rFonts w:ascii="Arial" w:eastAsia="Arial" w:hAnsi="Arial" w:cs="Arial"/>
        </w:rPr>
      </w:pPr>
      <w:r w:rsidRPr="00587DF1">
        <w:rPr>
          <w:rFonts w:ascii="Arial" w:eastAsia="Arial" w:hAnsi="Arial" w:cs="Arial"/>
        </w:rPr>
        <w:t xml:space="preserve">Oriel represents a critically important opportunity to develop the research and education undertaken by the Moorfields / UCL IoO partnership. It will provide a state-of-the-art facility which will enable collaboration between researchers and clinicians, enable UCL to increase its research output for the benefit of more patients, and solidify the partnership’s position as an internationally recognised centre of excellence for ophthalmology. The new site will support the whole of the </w:t>
      </w:r>
      <w:r w:rsidR="00FA2D12" w:rsidRPr="00587DF1">
        <w:rPr>
          <w:rFonts w:ascii="Arial" w:eastAsia="Arial" w:hAnsi="Arial" w:cs="Arial"/>
        </w:rPr>
        <w:t>trust</w:t>
      </w:r>
      <w:r w:rsidRPr="00587DF1">
        <w:rPr>
          <w:rFonts w:ascii="Arial" w:eastAsia="Arial" w:hAnsi="Arial" w:cs="Arial"/>
        </w:rPr>
        <w:t xml:space="preserve">, providing a catalyst for change across the network and </w:t>
      </w:r>
      <w:r w:rsidRPr="00587DF1">
        <w:rPr>
          <w:rFonts w:ascii="Arial" w:eastAsia="Arial" w:hAnsi="Arial" w:cs="Arial"/>
        </w:rPr>
        <w:lastRenderedPageBreak/>
        <w:t>attracting the best staff and students to work and train at Moorfields. It will enable both Moorfields and UCL to maximise the benefits of their already highly successful partnership.</w:t>
      </w:r>
    </w:p>
    <w:p w14:paraId="6E823348" w14:textId="77777777" w:rsidR="00444EE9" w:rsidRPr="00587DF1" w:rsidRDefault="00444EE9" w:rsidP="00444EE9">
      <w:pPr>
        <w:rPr>
          <w:rFonts w:ascii="Arial" w:eastAsia="Arial" w:hAnsi="Arial" w:cs="Arial"/>
        </w:rPr>
      </w:pPr>
      <w:r w:rsidRPr="00587DF1">
        <w:rPr>
          <w:rFonts w:ascii="Arial" w:eastAsia="Arial" w:hAnsi="Arial" w:cs="Arial"/>
        </w:rPr>
        <w:t>Moorfields and UCL IoO clinicians and researchers are committed to the World Health Organisation (WHO) and International Agency for the Prevention of Blindness (IAPB)’s Vision 2020: The Right to Sight</w:t>
      </w:r>
      <w:r w:rsidRPr="00587DF1">
        <w:rPr>
          <w:rStyle w:val="FootnoteReference"/>
          <w:rFonts w:ascii="Arial" w:eastAsia="Arial" w:hAnsi="Arial" w:cs="Arial"/>
        </w:rPr>
        <w:footnoteReference w:id="7"/>
      </w:r>
      <w:r w:rsidRPr="00587DF1">
        <w:rPr>
          <w:rFonts w:ascii="Arial" w:eastAsia="Arial" w:hAnsi="Arial" w:cs="Arial"/>
        </w:rPr>
        <w:t xml:space="preserve">, which sets out the goal to eliminate the main causes of all preventable and treatable blindness. This was published in 1999 with the aim of achieving this by 2020. A report by </w:t>
      </w:r>
      <w:r w:rsidR="00F05F85" w:rsidRPr="00587DF1">
        <w:rPr>
          <w:rFonts w:ascii="Arial" w:eastAsia="Arial" w:hAnsi="Arial" w:cs="Arial"/>
        </w:rPr>
        <w:t>the World Innovation Summit for Health (WISH) Eye Health Forum in 2018</w:t>
      </w:r>
      <w:r w:rsidR="00F05F85" w:rsidRPr="00587DF1">
        <w:rPr>
          <w:rStyle w:val="FootnoteReference"/>
          <w:rFonts w:ascii="Arial" w:eastAsia="Arial" w:hAnsi="Arial" w:cs="Arial"/>
        </w:rPr>
        <w:footnoteReference w:id="8"/>
      </w:r>
      <w:r w:rsidR="00F05F85" w:rsidRPr="00587DF1">
        <w:rPr>
          <w:rFonts w:ascii="Arial" w:eastAsia="Arial" w:hAnsi="Arial" w:cs="Arial"/>
        </w:rPr>
        <w:t xml:space="preserve"> highlighted the need for new models of care in order to keep pace with future challenges and continue to provide the best care for all, including promoting collaboration across different levels of care and research, virtual clinics and teleophthalmology, and harnessing technological advances (e.g. use of artificial intelligence, new drug delivery systems). The report sets out five evidence-based recommendations;</w:t>
      </w:r>
    </w:p>
    <w:p w14:paraId="13F64B98" w14:textId="77777777" w:rsidR="00F05F85" w:rsidRPr="00587DF1" w:rsidRDefault="00F05F85" w:rsidP="005E0D57">
      <w:pPr>
        <w:pStyle w:val="ListParagraph"/>
        <w:numPr>
          <w:ilvl w:val="0"/>
          <w:numId w:val="20"/>
        </w:numPr>
        <w:rPr>
          <w:rFonts w:ascii="Arial" w:eastAsia="Arial" w:hAnsi="Arial" w:cs="Arial"/>
        </w:rPr>
      </w:pPr>
      <w:r w:rsidRPr="00587DF1">
        <w:rPr>
          <w:rFonts w:ascii="Arial" w:eastAsia="Arial" w:hAnsi="Arial" w:cs="Arial"/>
        </w:rPr>
        <w:t>Prioritise this most precious sense by promoting early access to prevention, diagnosis and treatment</w:t>
      </w:r>
    </w:p>
    <w:p w14:paraId="6ABEB233" w14:textId="77777777" w:rsidR="00F05F85" w:rsidRPr="00587DF1" w:rsidRDefault="00F05F85" w:rsidP="005E0D57">
      <w:pPr>
        <w:pStyle w:val="ListParagraph"/>
        <w:numPr>
          <w:ilvl w:val="0"/>
          <w:numId w:val="20"/>
        </w:numPr>
        <w:rPr>
          <w:rFonts w:ascii="Arial" w:eastAsia="Arial" w:hAnsi="Arial" w:cs="Arial"/>
        </w:rPr>
      </w:pPr>
      <w:r w:rsidRPr="00587DF1">
        <w:rPr>
          <w:rFonts w:ascii="Arial" w:eastAsia="Arial" w:hAnsi="Arial" w:cs="Arial"/>
        </w:rPr>
        <w:t>Invest in sustainable, universal eye health</w:t>
      </w:r>
    </w:p>
    <w:p w14:paraId="30C74045" w14:textId="77777777" w:rsidR="00F05F85" w:rsidRPr="00587DF1" w:rsidRDefault="00F05F85" w:rsidP="005E0D57">
      <w:pPr>
        <w:pStyle w:val="ListParagraph"/>
        <w:numPr>
          <w:ilvl w:val="0"/>
          <w:numId w:val="20"/>
        </w:numPr>
        <w:rPr>
          <w:rFonts w:ascii="Arial" w:eastAsia="Arial" w:hAnsi="Arial" w:cs="Arial"/>
        </w:rPr>
      </w:pPr>
      <w:r w:rsidRPr="00587DF1">
        <w:rPr>
          <w:rFonts w:ascii="Arial" w:eastAsia="Arial" w:hAnsi="Arial" w:cs="Arial"/>
        </w:rPr>
        <w:t>Embrace the power of partnership and collaboration</w:t>
      </w:r>
    </w:p>
    <w:p w14:paraId="66F96690" w14:textId="77777777" w:rsidR="00F05F85" w:rsidRPr="00587DF1" w:rsidRDefault="00F05F85" w:rsidP="005E0D57">
      <w:pPr>
        <w:pStyle w:val="ListParagraph"/>
        <w:numPr>
          <w:ilvl w:val="0"/>
          <w:numId w:val="20"/>
        </w:numPr>
        <w:rPr>
          <w:rFonts w:ascii="Arial" w:eastAsia="Arial" w:hAnsi="Arial" w:cs="Arial"/>
        </w:rPr>
      </w:pPr>
      <w:r w:rsidRPr="00587DF1">
        <w:rPr>
          <w:rFonts w:ascii="Arial" w:eastAsia="Arial" w:hAnsi="Arial" w:cs="Arial"/>
        </w:rPr>
        <w:t>Promote excellence in education and training</w:t>
      </w:r>
    </w:p>
    <w:p w14:paraId="08E097CE" w14:textId="77777777" w:rsidR="00F05F85" w:rsidRPr="00587DF1" w:rsidRDefault="00F05F85" w:rsidP="005E0D57">
      <w:pPr>
        <w:pStyle w:val="ListParagraph"/>
        <w:numPr>
          <w:ilvl w:val="0"/>
          <w:numId w:val="20"/>
        </w:numPr>
        <w:rPr>
          <w:rFonts w:ascii="Arial" w:eastAsia="Arial" w:hAnsi="Arial" w:cs="Arial"/>
        </w:rPr>
      </w:pPr>
      <w:r w:rsidRPr="00587DF1">
        <w:rPr>
          <w:rFonts w:ascii="Arial" w:eastAsia="Arial" w:hAnsi="Arial" w:cs="Arial"/>
        </w:rPr>
        <w:t>Utilise technology and innovation</w:t>
      </w:r>
    </w:p>
    <w:p w14:paraId="2B2C661F" w14:textId="77777777" w:rsidR="00F05F85" w:rsidRPr="00587DF1" w:rsidRDefault="00F05F85" w:rsidP="00E47761">
      <w:pPr>
        <w:rPr>
          <w:rFonts w:ascii="Arial" w:eastAsia="Arial" w:hAnsi="Arial" w:cs="Arial"/>
        </w:rPr>
      </w:pPr>
      <w:r w:rsidRPr="00587DF1">
        <w:rPr>
          <w:rFonts w:ascii="Arial" w:eastAsia="Arial" w:hAnsi="Arial" w:cs="Arial"/>
        </w:rPr>
        <w:t>Oriel will deliver a state-of-the-art, flexible building</w:t>
      </w:r>
      <w:r w:rsidR="00D60A93" w:rsidRPr="00587DF1">
        <w:rPr>
          <w:rFonts w:ascii="Arial" w:eastAsia="Arial" w:hAnsi="Arial" w:cs="Arial"/>
        </w:rPr>
        <w:t xml:space="preserve"> located in London’s Knowledge Quarter</w:t>
      </w:r>
      <w:r w:rsidR="00D60A93" w:rsidRPr="00587DF1">
        <w:rPr>
          <w:rStyle w:val="FootnoteReference"/>
          <w:rFonts w:ascii="Arial" w:eastAsia="Arial" w:hAnsi="Arial" w:cs="Arial"/>
        </w:rPr>
        <w:footnoteReference w:id="9"/>
      </w:r>
      <w:r w:rsidRPr="00587DF1">
        <w:rPr>
          <w:rFonts w:ascii="Arial" w:eastAsia="Arial" w:hAnsi="Arial" w:cs="Arial"/>
        </w:rPr>
        <w:t xml:space="preserve"> which enables Moorfields to continue to pursue these recommendations. Without this, Moorfields will be unable to continue to lead the way in providing excellent patient care, and exploring new treatment options to eliminate preventable sight loss.</w:t>
      </w:r>
    </w:p>
    <w:p w14:paraId="61567426" w14:textId="77777777" w:rsidR="00E47761" w:rsidRDefault="00E47761" w:rsidP="00E47761">
      <w:pPr>
        <w:rPr>
          <w:rFonts w:ascii="Arial" w:eastAsia="Arial" w:hAnsi="Arial" w:cs="Arial"/>
        </w:rPr>
      </w:pPr>
      <w:r w:rsidRPr="00587DF1">
        <w:rPr>
          <w:rFonts w:ascii="Arial" w:eastAsia="Arial" w:hAnsi="Arial" w:cs="Arial"/>
        </w:rPr>
        <w:t xml:space="preserve">Finally, </w:t>
      </w:r>
      <w:r w:rsidR="003842E6" w:rsidRPr="00587DF1">
        <w:rPr>
          <w:rFonts w:ascii="Arial" w:eastAsia="Arial" w:hAnsi="Arial" w:cs="Arial"/>
        </w:rPr>
        <w:t>t</w:t>
      </w:r>
      <w:r w:rsidRPr="00587DF1">
        <w:rPr>
          <w:rFonts w:ascii="Arial" w:eastAsia="Arial" w:hAnsi="Arial" w:cs="Arial"/>
        </w:rPr>
        <w:t xml:space="preserve">he </w:t>
      </w:r>
      <w:r w:rsidR="00FA2D12" w:rsidRPr="00587DF1">
        <w:rPr>
          <w:rFonts w:ascii="Arial" w:eastAsia="Arial" w:hAnsi="Arial" w:cs="Arial"/>
        </w:rPr>
        <w:t>trust</w:t>
      </w:r>
      <w:r w:rsidRPr="00587DF1">
        <w:rPr>
          <w:rFonts w:ascii="Arial" w:eastAsia="Arial" w:hAnsi="Arial" w:cs="Arial"/>
        </w:rPr>
        <w:t xml:space="preserve"> will not be able to maintain its high reputation and standards of care without significant investment in the medium term future, and it is highly unlikely that another opportunity like this will become available again.</w:t>
      </w:r>
    </w:p>
    <w:p w14:paraId="4F58FAFB" w14:textId="77777777" w:rsidR="00FF6E56" w:rsidRPr="00587DF1" w:rsidRDefault="00FF6E56" w:rsidP="00B146F0">
      <w:pPr>
        <w:spacing w:after="0"/>
        <w:rPr>
          <w:rFonts w:ascii="Arial" w:eastAsia="Arial" w:hAnsi="Arial" w:cs="Arial"/>
        </w:rPr>
      </w:pPr>
    </w:p>
    <w:p w14:paraId="7FC3CAB2" w14:textId="77777777" w:rsidR="00C01CEF" w:rsidRPr="00B146F0" w:rsidRDefault="00B146F0" w:rsidP="005E0D57">
      <w:pPr>
        <w:pStyle w:val="Heading2"/>
        <w:numPr>
          <w:ilvl w:val="1"/>
          <w:numId w:val="1"/>
        </w:numPr>
        <w:rPr>
          <w:rFonts w:ascii="Arial" w:eastAsia="Arial" w:hAnsi="Arial" w:cs="Arial"/>
          <w:color w:val="000000"/>
        </w:rPr>
      </w:pPr>
      <w:bookmarkStart w:id="146" w:name="_Ref24699972"/>
      <w:bookmarkStart w:id="147" w:name="_Toc27129274"/>
      <w:bookmarkStart w:id="148" w:name="_Toc32842696"/>
      <w:r>
        <w:rPr>
          <w:rFonts w:ascii="Arial" w:eastAsia="Arial" w:hAnsi="Arial" w:cs="Arial"/>
          <w:color w:val="000000"/>
        </w:rPr>
        <w:t>P</w:t>
      </w:r>
      <w:r w:rsidR="00C01CEF" w:rsidRPr="00B146F0">
        <w:rPr>
          <w:rFonts w:ascii="Arial" w:eastAsia="Arial" w:hAnsi="Arial" w:cs="Arial"/>
          <w:color w:val="000000"/>
        </w:rPr>
        <w:t>ublic consultation</w:t>
      </w:r>
      <w:bookmarkEnd w:id="146"/>
      <w:bookmarkEnd w:id="147"/>
      <w:bookmarkEnd w:id="148"/>
    </w:p>
    <w:p w14:paraId="1543F997" w14:textId="77777777" w:rsidR="00C01CEF" w:rsidRPr="00587DF1" w:rsidRDefault="00C01CEF" w:rsidP="00984E33">
      <w:pPr>
        <w:spacing w:after="0"/>
        <w:rPr>
          <w:rFonts w:ascii="Arial" w:eastAsia="Arial" w:hAnsi="Arial" w:cs="Arial"/>
        </w:rPr>
      </w:pPr>
    </w:p>
    <w:p w14:paraId="6BCAD11F" w14:textId="77777777" w:rsidR="00B146F0" w:rsidRPr="00B146F0" w:rsidRDefault="00B146F0" w:rsidP="005E0D57">
      <w:pPr>
        <w:pStyle w:val="Heading2"/>
        <w:numPr>
          <w:ilvl w:val="2"/>
          <w:numId w:val="1"/>
        </w:numPr>
        <w:rPr>
          <w:rFonts w:ascii="Arial" w:eastAsia="Arial" w:hAnsi="Arial" w:cs="Arial"/>
          <w:color w:val="000000"/>
        </w:rPr>
      </w:pPr>
      <w:bookmarkStart w:id="149" w:name="_Toc27746674"/>
      <w:bookmarkStart w:id="150" w:name="_Toc30168739"/>
      <w:bookmarkStart w:id="151" w:name="_Toc30670678"/>
      <w:bookmarkStart w:id="152" w:name="_Toc32842697"/>
      <w:r>
        <w:rPr>
          <w:rFonts w:ascii="Arial" w:eastAsia="Arial" w:hAnsi="Arial" w:cs="Arial"/>
          <w:color w:val="000000"/>
        </w:rPr>
        <w:t>Overview</w:t>
      </w:r>
      <w:bookmarkEnd w:id="149"/>
      <w:bookmarkEnd w:id="150"/>
      <w:bookmarkEnd w:id="151"/>
      <w:bookmarkEnd w:id="152"/>
    </w:p>
    <w:p w14:paraId="5EC58619" w14:textId="77777777" w:rsidR="00B146F0" w:rsidRDefault="00B146F0" w:rsidP="00B146F0">
      <w:pPr>
        <w:tabs>
          <w:tab w:val="left" w:pos="1350"/>
        </w:tabs>
        <w:spacing w:after="0"/>
        <w:rPr>
          <w:rFonts w:ascii="Arial" w:hAnsi="Arial" w:cs="Arial"/>
        </w:rPr>
      </w:pPr>
    </w:p>
    <w:p w14:paraId="5AB66664" w14:textId="3A70A046" w:rsidR="00984E33" w:rsidRPr="00587DF1" w:rsidRDefault="00984E33" w:rsidP="00984E33">
      <w:pPr>
        <w:tabs>
          <w:tab w:val="left" w:pos="1350"/>
        </w:tabs>
        <w:rPr>
          <w:rFonts w:ascii="Arial" w:hAnsi="Arial" w:cs="Arial"/>
        </w:rPr>
      </w:pPr>
      <w:r w:rsidRPr="00587DF1">
        <w:rPr>
          <w:rFonts w:ascii="Arial" w:hAnsi="Arial" w:cs="Arial"/>
        </w:rPr>
        <w:t xml:space="preserve">On 24 May 2019, a 16-week public consultation was launched to seek the views from as many people as possible about the proposal to move services from City Road to the St Pancras Hospital site. The consultation was led by NHS Camden CCG, on behalf of the 14 CCGs who each commission over £2m p.a. of activity from Moorfields’ City Road site, in partnership with NHS England Specialised Commissioning who are the largest single commissioner of Moorfields services at City Road. These organisations, together with </w:t>
      </w:r>
      <w:r w:rsidRPr="00587DF1">
        <w:rPr>
          <w:rFonts w:ascii="Arial" w:hAnsi="Arial" w:cs="Arial"/>
        </w:rPr>
        <w:lastRenderedPageBreak/>
        <w:t xml:space="preserve">Moorfields, have overseen the consultation and development of </w:t>
      </w:r>
      <w:r w:rsidR="00F876F9">
        <w:rPr>
          <w:rFonts w:ascii="Arial" w:hAnsi="Arial" w:cs="Arial"/>
        </w:rPr>
        <w:t>the</w:t>
      </w:r>
      <w:r w:rsidR="00F876F9" w:rsidRPr="00587DF1">
        <w:rPr>
          <w:rFonts w:ascii="Arial" w:hAnsi="Arial" w:cs="Arial"/>
        </w:rPr>
        <w:t xml:space="preserve"> </w:t>
      </w:r>
      <w:r w:rsidRPr="00587DF1">
        <w:rPr>
          <w:rFonts w:ascii="Arial" w:hAnsi="Arial" w:cs="Arial"/>
        </w:rPr>
        <w:t>Decision-Making Business Case (DMBC).</w:t>
      </w:r>
    </w:p>
    <w:p w14:paraId="2282E717" w14:textId="6320B323" w:rsidR="00984E33" w:rsidRPr="00587DF1" w:rsidRDefault="00984E33" w:rsidP="00984E33">
      <w:pPr>
        <w:tabs>
          <w:tab w:val="left" w:pos="1350"/>
        </w:tabs>
        <w:rPr>
          <w:rFonts w:ascii="Arial" w:eastAsia="Arial" w:hAnsi="Arial" w:cs="Arial"/>
          <w:lang w:val="en-US"/>
        </w:rPr>
      </w:pPr>
      <w:r w:rsidRPr="00587DF1">
        <w:rPr>
          <w:rFonts w:ascii="Arial" w:hAnsi="Arial" w:cs="Arial"/>
        </w:rPr>
        <w:t xml:space="preserve">The consultation team spoke to over 4,600 people, including 1,511 survey responses. They attended 99 meetings and events including discussion workshops run by Moorfields, and attendance at existing groups. </w:t>
      </w:r>
      <w:r w:rsidRPr="00587DF1">
        <w:rPr>
          <w:rFonts w:ascii="Arial" w:eastAsia="Arial" w:hAnsi="Arial" w:cs="Arial"/>
          <w:lang w:val="en-US"/>
        </w:rPr>
        <w:t>They included specific workshops on key issues, such as accessibility. The consultation specifically sought the views of groups of people with protected characteristics and rare conditions, to ensure their views were captured on the proposal itself and any potential impact on equality.</w:t>
      </w:r>
    </w:p>
    <w:p w14:paraId="12E83241" w14:textId="77777777" w:rsidR="00984E33" w:rsidRPr="00587DF1" w:rsidRDefault="00984E33" w:rsidP="00984E33">
      <w:pPr>
        <w:tabs>
          <w:tab w:val="left" w:pos="1350"/>
        </w:tabs>
        <w:rPr>
          <w:rFonts w:ascii="Arial" w:eastAsiaTheme="minorHAnsi" w:hAnsi="Arial" w:cs="Arial"/>
        </w:rPr>
      </w:pPr>
      <w:r w:rsidRPr="00587DF1">
        <w:rPr>
          <w:rFonts w:ascii="Arial" w:hAnsi="Arial" w:cs="Arial"/>
        </w:rPr>
        <w:t xml:space="preserve">Consultation feedback was independently analysed in a report which was published on the Oriel website for feedback before finalising. </w:t>
      </w:r>
      <w:r w:rsidRPr="00587DF1">
        <w:rPr>
          <w:rFonts w:ascii="Arial" w:eastAsia="Arial" w:hAnsi="Arial" w:cs="Arial"/>
          <w:lang w:val="en-US"/>
        </w:rPr>
        <w:t>Commissioners are confident that robust conclusions can be drawn from the consultation because r</w:t>
      </w:r>
      <w:r w:rsidRPr="00587DF1">
        <w:rPr>
          <w:rFonts w:ascii="Arial" w:hAnsi="Arial" w:cs="Arial"/>
        </w:rPr>
        <w:t>esponse rates were high, and consistent themes were heard throughout.</w:t>
      </w:r>
    </w:p>
    <w:p w14:paraId="70DC935E" w14:textId="77777777" w:rsidR="00984E33" w:rsidRPr="00587DF1" w:rsidRDefault="00984E33" w:rsidP="00984E33">
      <w:pPr>
        <w:tabs>
          <w:tab w:val="left" w:pos="1350"/>
        </w:tabs>
        <w:rPr>
          <w:rFonts w:ascii="Arial" w:hAnsi="Arial" w:cs="Arial"/>
        </w:rPr>
      </w:pPr>
      <w:r w:rsidRPr="00587DF1">
        <w:rPr>
          <w:rFonts w:ascii="Arial" w:hAnsi="Arial" w:cs="Arial"/>
        </w:rPr>
        <w:t>The key themes from the consultation feedback were:</w:t>
      </w:r>
    </w:p>
    <w:p w14:paraId="590E8059" w14:textId="77777777" w:rsidR="00984E33" w:rsidRPr="00587DF1" w:rsidRDefault="00984E33" w:rsidP="005E0D57">
      <w:pPr>
        <w:pStyle w:val="ListParagraph"/>
        <w:numPr>
          <w:ilvl w:val="0"/>
          <w:numId w:val="82"/>
        </w:numPr>
        <w:shd w:val="clear" w:color="auto" w:fill="FFFFFF"/>
        <w:rPr>
          <w:rFonts w:ascii="Arial" w:hAnsi="Arial" w:cs="Arial"/>
        </w:rPr>
      </w:pPr>
      <w:r w:rsidRPr="00587DF1">
        <w:rPr>
          <w:rFonts w:ascii="Arial" w:hAnsi="Arial" w:cs="Arial"/>
          <w:b/>
          <w:bCs/>
        </w:rPr>
        <w:t>Overall agreement</w:t>
      </w:r>
      <w:r w:rsidRPr="00587DF1">
        <w:rPr>
          <w:rFonts w:ascii="Arial" w:hAnsi="Arial" w:cs="Arial"/>
        </w:rPr>
        <w:t xml:space="preserve"> with the proposal to build a new centre at St Pancras – including 73% of survey respondents.</w:t>
      </w:r>
    </w:p>
    <w:p w14:paraId="1C5EB246" w14:textId="77777777" w:rsidR="00984E33" w:rsidRPr="00587DF1" w:rsidRDefault="00984E33" w:rsidP="005E0D57">
      <w:pPr>
        <w:pStyle w:val="ListParagraph"/>
        <w:numPr>
          <w:ilvl w:val="0"/>
          <w:numId w:val="82"/>
        </w:numPr>
        <w:shd w:val="clear" w:color="auto" w:fill="FFFFFF"/>
        <w:rPr>
          <w:rFonts w:ascii="Arial" w:hAnsi="Arial" w:cs="Arial"/>
        </w:rPr>
      </w:pPr>
      <w:r w:rsidRPr="00587DF1">
        <w:rPr>
          <w:rFonts w:ascii="Arial" w:hAnsi="Arial" w:cs="Arial"/>
          <w:b/>
          <w:bCs/>
        </w:rPr>
        <w:t>Maintaining the high quality of clinical care</w:t>
      </w:r>
      <w:r w:rsidRPr="00587DF1">
        <w:rPr>
          <w:rFonts w:ascii="Arial" w:hAnsi="Arial" w:cs="Arial"/>
        </w:rPr>
        <w:t xml:space="preserve"> at Moorfields is the highest importance.</w:t>
      </w:r>
    </w:p>
    <w:p w14:paraId="77E9D608" w14:textId="77777777" w:rsidR="00984E33" w:rsidRPr="00587DF1" w:rsidRDefault="00984E33" w:rsidP="005E0D57">
      <w:pPr>
        <w:pStyle w:val="ListParagraph"/>
        <w:numPr>
          <w:ilvl w:val="0"/>
          <w:numId w:val="82"/>
        </w:numPr>
        <w:shd w:val="clear" w:color="auto" w:fill="FFFFFF"/>
        <w:rPr>
          <w:rFonts w:ascii="Arial" w:hAnsi="Arial" w:cs="Arial"/>
        </w:rPr>
      </w:pPr>
      <w:r w:rsidRPr="00587DF1">
        <w:rPr>
          <w:rFonts w:ascii="Arial" w:hAnsi="Arial" w:cs="Arial"/>
          <w:b/>
          <w:bCs/>
        </w:rPr>
        <w:t>Patients and public should be involved</w:t>
      </w:r>
      <w:r w:rsidRPr="00587DF1">
        <w:rPr>
          <w:rFonts w:ascii="Arial" w:hAnsi="Arial" w:cs="Arial"/>
        </w:rPr>
        <w:t xml:space="preserve"> in further development of proposals.</w:t>
      </w:r>
    </w:p>
    <w:p w14:paraId="60C4F05C" w14:textId="77777777" w:rsidR="00984E33" w:rsidRPr="00587DF1" w:rsidRDefault="00984E33" w:rsidP="005E0D57">
      <w:pPr>
        <w:pStyle w:val="ListParagraph"/>
        <w:numPr>
          <w:ilvl w:val="0"/>
          <w:numId w:val="82"/>
        </w:numPr>
        <w:shd w:val="clear" w:color="auto" w:fill="FFFFFF"/>
        <w:rPr>
          <w:rFonts w:ascii="Arial" w:hAnsi="Arial" w:cs="Arial"/>
        </w:rPr>
      </w:pPr>
      <w:r w:rsidRPr="00587DF1">
        <w:rPr>
          <w:rFonts w:ascii="Arial" w:hAnsi="Arial" w:cs="Arial"/>
        </w:rPr>
        <w:t xml:space="preserve">A majority of people </w:t>
      </w:r>
      <w:r w:rsidRPr="00587DF1">
        <w:rPr>
          <w:rFonts w:ascii="Arial" w:hAnsi="Arial" w:cs="Arial"/>
          <w:b/>
          <w:bCs/>
        </w:rPr>
        <w:t>support the St Pancras location</w:t>
      </w:r>
      <w:r w:rsidRPr="00587DF1">
        <w:rPr>
          <w:rFonts w:ascii="Arial" w:hAnsi="Arial" w:cs="Arial"/>
        </w:rPr>
        <w:t xml:space="preserve">. Alternative sites suggested were evaluated by independent property experts and found to be </w:t>
      </w:r>
      <w:r w:rsidR="00B146F0">
        <w:rPr>
          <w:rFonts w:ascii="Arial" w:hAnsi="Arial" w:cs="Arial"/>
        </w:rPr>
        <w:t>unsuitable for Oriel</w:t>
      </w:r>
      <w:r w:rsidRPr="00587DF1">
        <w:rPr>
          <w:rFonts w:ascii="Arial" w:hAnsi="Arial" w:cs="Arial"/>
        </w:rPr>
        <w:t>. A slightly higher level of dissatisfaction with the proposals was expressed by people living in east London.</w:t>
      </w:r>
    </w:p>
    <w:p w14:paraId="7E45D235" w14:textId="77777777" w:rsidR="00984E33" w:rsidRPr="00587DF1" w:rsidRDefault="00984E33" w:rsidP="005E0D57">
      <w:pPr>
        <w:pStyle w:val="ListParagraph"/>
        <w:numPr>
          <w:ilvl w:val="0"/>
          <w:numId w:val="82"/>
        </w:numPr>
        <w:shd w:val="clear" w:color="auto" w:fill="FFFFFF"/>
        <w:rPr>
          <w:rFonts w:ascii="Arial" w:hAnsi="Arial" w:cs="Arial"/>
        </w:rPr>
      </w:pPr>
      <w:r w:rsidRPr="00587DF1">
        <w:rPr>
          <w:rFonts w:ascii="Arial" w:hAnsi="Arial" w:cs="Arial"/>
          <w:b/>
          <w:bCs/>
        </w:rPr>
        <w:t>Accessibility</w:t>
      </w:r>
      <w:r w:rsidRPr="00587DF1">
        <w:rPr>
          <w:rFonts w:ascii="Arial" w:hAnsi="Arial" w:cs="Arial"/>
        </w:rPr>
        <w:t xml:space="preserve"> to and around the proposed St Pancras site is extremely important. Key concerns included the difficulties of navigating a busy open-plan area from a station with multiple exits. Suggestions were made as to how Moorfields could help </w:t>
      </w:r>
      <w:r w:rsidR="00B146F0">
        <w:rPr>
          <w:rFonts w:ascii="Arial" w:hAnsi="Arial" w:cs="Arial"/>
        </w:rPr>
        <w:t>people</w:t>
      </w:r>
      <w:r w:rsidRPr="00587DF1">
        <w:rPr>
          <w:rFonts w:ascii="Arial" w:hAnsi="Arial" w:cs="Arial"/>
        </w:rPr>
        <w:t xml:space="preserve"> travel the last half</w:t>
      </w:r>
      <w:r w:rsidR="00B146F0">
        <w:rPr>
          <w:rFonts w:ascii="Arial" w:hAnsi="Arial" w:cs="Arial"/>
        </w:rPr>
        <w:t xml:space="preserve"> </w:t>
      </w:r>
      <w:r w:rsidRPr="00587DF1">
        <w:rPr>
          <w:rFonts w:ascii="Arial" w:hAnsi="Arial" w:cs="Arial"/>
        </w:rPr>
        <w:t>mile to the St Pancras site, and navigate the building.</w:t>
      </w:r>
    </w:p>
    <w:p w14:paraId="579E44D2" w14:textId="77777777" w:rsidR="00984E33" w:rsidRPr="00587DF1" w:rsidRDefault="00984E33" w:rsidP="005E0D57">
      <w:pPr>
        <w:pStyle w:val="ListParagraph"/>
        <w:numPr>
          <w:ilvl w:val="0"/>
          <w:numId w:val="82"/>
        </w:numPr>
        <w:shd w:val="clear" w:color="auto" w:fill="FFFFFF"/>
        <w:rPr>
          <w:rFonts w:ascii="Arial" w:hAnsi="Arial" w:cs="Arial"/>
        </w:rPr>
      </w:pPr>
      <w:r w:rsidRPr="00587DF1">
        <w:rPr>
          <w:rFonts w:ascii="Arial" w:hAnsi="Arial" w:cs="Arial"/>
        </w:rPr>
        <w:t xml:space="preserve">Some aspects of </w:t>
      </w:r>
      <w:r w:rsidRPr="00587DF1">
        <w:rPr>
          <w:rFonts w:ascii="Arial" w:hAnsi="Arial" w:cs="Arial"/>
          <w:b/>
          <w:bCs/>
        </w:rPr>
        <w:t>patient experience</w:t>
      </w:r>
      <w:r w:rsidRPr="00587DF1">
        <w:rPr>
          <w:rFonts w:ascii="Arial" w:hAnsi="Arial" w:cs="Arial"/>
        </w:rPr>
        <w:t xml:space="preserve"> could be improved now.</w:t>
      </w:r>
    </w:p>
    <w:p w14:paraId="6DC31902" w14:textId="57D7BBB8" w:rsidR="00984E33" w:rsidRPr="00587DF1" w:rsidRDefault="00984E33" w:rsidP="00984E33">
      <w:pPr>
        <w:shd w:val="clear" w:color="auto" w:fill="FFFFFF"/>
        <w:rPr>
          <w:rFonts w:ascii="Arial" w:hAnsi="Arial" w:cs="Arial"/>
        </w:rPr>
      </w:pPr>
      <w:r w:rsidRPr="00587DF1">
        <w:rPr>
          <w:rFonts w:ascii="Arial" w:hAnsi="Arial" w:cs="Arial"/>
        </w:rPr>
        <w:t xml:space="preserve">This is described in detail in the Decision-Making Business Case (DMBC) </w:t>
      </w:r>
      <w:r w:rsidRPr="00DD2C20">
        <w:rPr>
          <w:rFonts w:ascii="Arial" w:hAnsi="Arial" w:cs="Arial"/>
        </w:rPr>
        <w:t xml:space="preserve">available at </w:t>
      </w:r>
      <w:hyperlink r:id="rId25" w:history="1">
        <w:r w:rsidR="00DD2C20" w:rsidRPr="00DD2C20">
          <w:rPr>
            <w:rStyle w:val="Hyperlink"/>
            <w:rFonts w:ascii="Arial" w:hAnsi="Arial" w:cs="Arial"/>
          </w:rPr>
          <w:t>https://oriel-london.org.uk/committees-in-common-documents/</w:t>
        </w:r>
      </w:hyperlink>
      <w:r w:rsidRPr="00DD2C20">
        <w:rPr>
          <w:rFonts w:ascii="Arial" w:hAnsi="Arial" w:cs="Arial"/>
        </w:rPr>
        <w:t>.</w:t>
      </w:r>
    </w:p>
    <w:p w14:paraId="70A35111" w14:textId="77777777" w:rsidR="00984E33" w:rsidRPr="00587DF1" w:rsidRDefault="00984E33" w:rsidP="00984E33">
      <w:pPr>
        <w:shd w:val="clear" w:color="auto" w:fill="FFFFFF"/>
        <w:rPr>
          <w:rFonts w:ascii="Arial" w:hAnsi="Arial" w:cs="Arial"/>
        </w:rPr>
      </w:pPr>
      <w:r w:rsidRPr="00587DF1">
        <w:rPr>
          <w:rFonts w:ascii="Arial" w:hAnsi="Arial" w:cs="Arial"/>
        </w:rPr>
        <w:t xml:space="preserve">This high level of support and valuable feedback on how </w:t>
      </w:r>
      <w:r w:rsidR="00E81F68" w:rsidRPr="00587DF1">
        <w:rPr>
          <w:rFonts w:ascii="Arial" w:hAnsi="Arial" w:cs="Arial"/>
        </w:rPr>
        <w:t xml:space="preserve">the trust can best capitalise on the opportunity to improve patient experience and service through Oriel, </w:t>
      </w:r>
      <w:r w:rsidR="00265985" w:rsidRPr="00587DF1">
        <w:rPr>
          <w:rFonts w:ascii="Arial" w:hAnsi="Arial" w:cs="Arial"/>
        </w:rPr>
        <w:t>provides further evidence of the need for a new centre.</w:t>
      </w:r>
    </w:p>
    <w:p w14:paraId="4469F662" w14:textId="77777777" w:rsidR="00265985" w:rsidRPr="00587DF1" w:rsidRDefault="00265985" w:rsidP="00984E33">
      <w:pPr>
        <w:shd w:val="clear" w:color="auto" w:fill="FFFFFF"/>
        <w:rPr>
          <w:rFonts w:ascii="Arial" w:hAnsi="Arial" w:cs="Arial"/>
        </w:rPr>
      </w:pPr>
      <w:r w:rsidRPr="00587DF1">
        <w:rPr>
          <w:rFonts w:ascii="Arial" w:hAnsi="Arial" w:cs="Arial"/>
        </w:rPr>
        <w:t>In addition to the feedback received, the DMBC describes the following activities undertaken as part of the consultation:</w:t>
      </w:r>
    </w:p>
    <w:p w14:paraId="301DD529" w14:textId="5B134C34" w:rsidR="00265985" w:rsidRPr="00587DF1" w:rsidRDefault="00265985" w:rsidP="005E0D57">
      <w:pPr>
        <w:pStyle w:val="ListParagraph"/>
        <w:numPr>
          <w:ilvl w:val="0"/>
          <w:numId w:val="83"/>
        </w:numPr>
        <w:shd w:val="clear" w:color="auto" w:fill="FFFFFF"/>
        <w:rPr>
          <w:rFonts w:ascii="Arial" w:hAnsi="Arial" w:cs="Arial"/>
        </w:rPr>
      </w:pPr>
      <w:r w:rsidRPr="00587DF1">
        <w:rPr>
          <w:rFonts w:ascii="Arial" w:hAnsi="Arial" w:cs="Arial"/>
          <w:b/>
          <w:bCs/>
        </w:rPr>
        <w:t xml:space="preserve">System modelling: </w:t>
      </w:r>
      <w:r w:rsidRPr="00587DF1">
        <w:rPr>
          <w:rFonts w:ascii="Arial" w:hAnsi="Arial" w:cs="Arial"/>
        </w:rPr>
        <w:t xml:space="preserve">This identified a forecast annual increase in demand for ophthalmology outpatient services of 3.1%, which could be reduced to 2.3% if activity is re-provisioned in alternative settings. This is described in section </w:t>
      </w:r>
      <w:r w:rsidRPr="00587DF1">
        <w:rPr>
          <w:rFonts w:ascii="Arial" w:hAnsi="Arial" w:cs="Arial"/>
        </w:rPr>
        <w:fldChar w:fldCharType="begin"/>
      </w:r>
      <w:r w:rsidRPr="00587DF1">
        <w:rPr>
          <w:rFonts w:ascii="Arial" w:hAnsi="Arial" w:cs="Arial"/>
        </w:rPr>
        <w:instrText xml:space="preserve"> REF _Ref27114337 \r \h </w:instrText>
      </w:r>
      <w:r w:rsidR="00587DF1">
        <w:rPr>
          <w:rFonts w:ascii="Arial" w:hAnsi="Arial" w:cs="Arial"/>
        </w:rPr>
        <w:instrText xml:space="preserve"> \* MERGEFORMAT </w:instrText>
      </w:r>
      <w:r w:rsidRPr="00587DF1">
        <w:rPr>
          <w:rFonts w:ascii="Arial" w:hAnsi="Arial" w:cs="Arial"/>
        </w:rPr>
      </w:r>
      <w:r w:rsidRPr="00587DF1">
        <w:rPr>
          <w:rFonts w:ascii="Arial" w:hAnsi="Arial" w:cs="Arial"/>
        </w:rPr>
        <w:fldChar w:fldCharType="separate"/>
      </w:r>
      <w:r w:rsidR="00A936CD">
        <w:rPr>
          <w:rFonts w:ascii="Arial" w:hAnsi="Arial" w:cs="Arial"/>
        </w:rPr>
        <w:t>3.11</w:t>
      </w:r>
      <w:r w:rsidRPr="00587DF1">
        <w:rPr>
          <w:rFonts w:ascii="Arial" w:hAnsi="Arial" w:cs="Arial"/>
        </w:rPr>
        <w:fldChar w:fldCharType="end"/>
      </w:r>
      <w:r w:rsidRPr="00587DF1">
        <w:rPr>
          <w:rFonts w:ascii="Arial" w:hAnsi="Arial" w:cs="Arial"/>
        </w:rPr>
        <w:t>.</w:t>
      </w:r>
    </w:p>
    <w:p w14:paraId="03874B48" w14:textId="77E6F03B" w:rsidR="00265985" w:rsidRPr="00587DF1" w:rsidRDefault="00265985" w:rsidP="005E0D57">
      <w:pPr>
        <w:pStyle w:val="ListParagraph"/>
        <w:numPr>
          <w:ilvl w:val="0"/>
          <w:numId w:val="83"/>
        </w:numPr>
        <w:shd w:val="clear" w:color="auto" w:fill="FFFFFF"/>
        <w:rPr>
          <w:rFonts w:ascii="Arial" w:hAnsi="Arial" w:cs="Arial"/>
          <w:b/>
          <w:bCs/>
        </w:rPr>
      </w:pPr>
      <w:r w:rsidRPr="00587DF1">
        <w:rPr>
          <w:rFonts w:ascii="Arial" w:hAnsi="Arial" w:cs="Arial"/>
          <w:b/>
          <w:bCs/>
        </w:rPr>
        <w:t xml:space="preserve">Options appraisal validation: </w:t>
      </w:r>
      <w:r w:rsidRPr="00587DF1">
        <w:rPr>
          <w:rFonts w:ascii="Arial" w:hAnsi="Arial" w:cs="Arial"/>
        </w:rPr>
        <w:t xml:space="preserve">The options appraisal process is described in chapter </w:t>
      </w:r>
      <w:r w:rsidRPr="00587DF1">
        <w:rPr>
          <w:rFonts w:ascii="Arial" w:hAnsi="Arial" w:cs="Arial"/>
        </w:rPr>
        <w:fldChar w:fldCharType="begin"/>
      </w:r>
      <w:r w:rsidRPr="00587DF1">
        <w:rPr>
          <w:rFonts w:ascii="Arial" w:hAnsi="Arial" w:cs="Arial"/>
        </w:rPr>
        <w:instrText xml:space="preserve"> REF _Ref24718143 \r \h </w:instrText>
      </w:r>
      <w:r w:rsidR="00587DF1">
        <w:rPr>
          <w:rFonts w:ascii="Arial" w:hAnsi="Arial" w:cs="Arial"/>
        </w:rPr>
        <w:instrText xml:space="preserve"> \* MERGEFORMAT </w:instrText>
      </w:r>
      <w:r w:rsidRPr="00587DF1">
        <w:rPr>
          <w:rFonts w:ascii="Arial" w:hAnsi="Arial" w:cs="Arial"/>
        </w:rPr>
      </w:r>
      <w:r w:rsidRPr="00587DF1">
        <w:rPr>
          <w:rFonts w:ascii="Arial" w:hAnsi="Arial" w:cs="Arial"/>
        </w:rPr>
        <w:fldChar w:fldCharType="separate"/>
      </w:r>
      <w:r w:rsidR="00A936CD">
        <w:rPr>
          <w:rFonts w:ascii="Arial" w:hAnsi="Arial" w:cs="Arial"/>
        </w:rPr>
        <w:t>4</w:t>
      </w:r>
      <w:r w:rsidRPr="00587DF1">
        <w:rPr>
          <w:rFonts w:ascii="Arial" w:hAnsi="Arial" w:cs="Arial"/>
        </w:rPr>
        <w:fldChar w:fldCharType="end"/>
      </w:r>
      <w:r w:rsidRPr="00587DF1">
        <w:rPr>
          <w:rFonts w:ascii="Arial" w:hAnsi="Arial" w:cs="Arial"/>
        </w:rPr>
        <w:t xml:space="preserve">. Following consultation close, the options appraisal was validated to identify any feedback that could change the preferred option. This involved two workshops with </w:t>
      </w:r>
      <w:r w:rsidRPr="00587DF1">
        <w:rPr>
          <w:rFonts w:ascii="Arial" w:hAnsi="Arial" w:cs="Arial"/>
        </w:rPr>
        <w:lastRenderedPageBreak/>
        <w:t>patients and public representatives to review the critical success factors, and a review of alternative sites suggested during the consultation. It was concluded that the proposed relocation of Moorfields services from City Road to the St Pancras site remains the preferred option.</w:t>
      </w:r>
    </w:p>
    <w:p w14:paraId="785FC446" w14:textId="77777777" w:rsidR="00265985" w:rsidRPr="00587DF1" w:rsidRDefault="00265985" w:rsidP="005E0D57">
      <w:pPr>
        <w:pStyle w:val="ListParagraph"/>
        <w:numPr>
          <w:ilvl w:val="0"/>
          <w:numId w:val="83"/>
        </w:numPr>
        <w:rPr>
          <w:rFonts w:ascii="Arial" w:hAnsi="Arial" w:cs="Arial"/>
        </w:rPr>
      </w:pPr>
      <w:r w:rsidRPr="00587DF1">
        <w:rPr>
          <w:rFonts w:ascii="Arial" w:hAnsi="Arial" w:cs="Arial"/>
          <w:b/>
          <w:bCs/>
        </w:rPr>
        <w:t xml:space="preserve">Integrated Health Inequalities and Equality Impact Assessment (IIA): </w:t>
      </w:r>
      <w:r w:rsidRPr="00587DF1">
        <w:rPr>
          <w:rFonts w:ascii="Arial" w:hAnsi="Arial" w:cs="Arial"/>
        </w:rPr>
        <w:t>Commissioners appointed an independent expert to undertake an IIA, to ensure the project does not have a disproportionate impact upon any groups with protected characteristics. The IIA found that Moorfields City Road service users are more likely than in other healthcare settings to have one or more of the protected characteristics. Users of services at the City Road site often have a long and trusted relationship with the teams located there. The analysis showed a number of protected characteristics, health inequalities and health impacts were not negatively impacted by this proposed relocation. A summary of the key impacts are:</w:t>
      </w:r>
    </w:p>
    <w:p w14:paraId="0CF99756" w14:textId="77777777" w:rsidR="00265985" w:rsidRPr="00587DF1" w:rsidRDefault="00265985" w:rsidP="00190084">
      <w:pPr>
        <w:pStyle w:val="ListParagraph"/>
        <w:numPr>
          <w:ilvl w:val="1"/>
          <w:numId w:val="86"/>
        </w:numPr>
        <w:rPr>
          <w:rFonts w:ascii="Arial" w:hAnsi="Arial" w:cs="Arial"/>
        </w:rPr>
      </w:pPr>
      <w:r w:rsidRPr="00587DF1">
        <w:rPr>
          <w:rFonts w:ascii="Arial" w:hAnsi="Arial" w:cs="Arial"/>
        </w:rPr>
        <w:t>Most feedback supported the proposal to relocate.</w:t>
      </w:r>
    </w:p>
    <w:p w14:paraId="5E2F72EA" w14:textId="77777777" w:rsidR="00265985" w:rsidRPr="00587DF1" w:rsidRDefault="00265985" w:rsidP="00190084">
      <w:pPr>
        <w:pStyle w:val="ListParagraph"/>
        <w:numPr>
          <w:ilvl w:val="1"/>
          <w:numId w:val="86"/>
        </w:numPr>
        <w:rPr>
          <w:rFonts w:ascii="Arial" w:hAnsi="Arial" w:cs="Arial"/>
        </w:rPr>
      </w:pPr>
      <w:r w:rsidRPr="00587DF1">
        <w:rPr>
          <w:rFonts w:ascii="Arial" w:hAnsi="Arial" w:cs="Arial"/>
        </w:rPr>
        <w:t>People felt that the new centre would benefit both patients and staff, in that a specialist and highly regarded hospital such as Moorfields needs 21st century purpose-built facilities providing a world class centre of excellence.</w:t>
      </w:r>
    </w:p>
    <w:p w14:paraId="5D586F72" w14:textId="77777777" w:rsidR="00265985" w:rsidRPr="00B146F0" w:rsidRDefault="00265985" w:rsidP="00190084">
      <w:pPr>
        <w:pStyle w:val="ListParagraph"/>
        <w:numPr>
          <w:ilvl w:val="1"/>
          <w:numId w:val="86"/>
        </w:numPr>
        <w:rPr>
          <w:rFonts w:ascii="Arial" w:hAnsi="Arial" w:cs="Arial"/>
        </w:rPr>
      </w:pPr>
      <w:r w:rsidRPr="00587DF1">
        <w:rPr>
          <w:rFonts w:ascii="Arial" w:hAnsi="Arial" w:cs="Arial"/>
        </w:rPr>
        <w:t>The primary issue for people with protected characteristics is the complexity of navigating the last half mile.</w:t>
      </w:r>
    </w:p>
    <w:p w14:paraId="24B84C98" w14:textId="77777777" w:rsidR="00B146F0" w:rsidRDefault="00B146F0" w:rsidP="005E0D57">
      <w:pPr>
        <w:pStyle w:val="Heading2"/>
        <w:numPr>
          <w:ilvl w:val="2"/>
          <w:numId w:val="1"/>
        </w:numPr>
        <w:rPr>
          <w:rFonts w:ascii="Arial" w:hAnsi="Arial" w:cs="Arial"/>
        </w:rPr>
      </w:pPr>
      <w:bookmarkStart w:id="153" w:name="_Toc27746675"/>
      <w:bookmarkStart w:id="154" w:name="_Toc30168740"/>
      <w:bookmarkStart w:id="155" w:name="_Toc30670679"/>
      <w:bookmarkStart w:id="156" w:name="_Toc32842698"/>
      <w:r w:rsidRPr="00B146F0">
        <w:rPr>
          <w:rFonts w:ascii="Arial" w:eastAsia="Arial" w:hAnsi="Arial" w:cs="Arial"/>
          <w:color w:val="000000"/>
        </w:rPr>
        <w:t>Commissioner</w:t>
      </w:r>
      <w:r>
        <w:rPr>
          <w:rFonts w:ascii="Arial" w:hAnsi="Arial" w:cs="Arial"/>
        </w:rPr>
        <w:t xml:space="preserve"> recommendations</w:t>
      </w:r>
      <w:bookmarkEnd w:id="153"/>
      <w:bookmarkEnd w:id="154"/>
      <w:bookmarkEnd w:id="155"/>
      <w:bookmarkEnd w:id="156"/>
    </w:p>
    <w:p w14:paraId="4D5F3770" w14:textId="77777777" w:rsidR="00B146F0" w:rsidRDefault="00B146F0" w:rsidP="00B146F0">
      <w:pPr>
        <w:shd w:val="clear" w:color="auto" w:fill="FFFFFF"/>
        <w:spacing w:after="0"/>
        <w:rPr>
          <w:rFonts w:ascii="Arial" w:hAnsi="Arial" w:cs="Arial"/>
        </w:rPr>
      </w:pPr>
    </w:p>
    <w:p w14:paraId="58DEA3D2" w14:textId="016DFEF9" w:rsidR="00B146F0" w:rsidRDefault="00265985" w:rsidP="00B146F0">
      <w:pPr>
        <w:shd w:val="clear" w:color="auto" w:fill="FFFFFF"/>
        <w:rPr>
          <w:rFonts w:ascii="Arial" w:hAnsi="Arial" w:cs="Arial"/>
        </w:rPr>
      </w:pPr>
      <w:r w:rsidRPr="00DD2C20">
        <w:rPr>
          <w:rFonts w:ascii="Arial" w:hAnsi="Arial" w:cs="Arial"/>
        </w:rPr>
        <w:t xml:space="preserve">The </w:t>
      </w:r>
      <w:r w:rsidRPr="00DD2C20">
        <w:rPr>
          <w:rFonts w:ascii="Arial" w:hAnsi="Arial" w:cs="Arial"/>
          <w:b/>
          <w:bCs/>
        </w:rPr>
        <w:t xml:space="preserve">recommendations </w:t>
      </w:r>
      <w:r w:rsidRPr="00DD2C20">
        <w:rPr>
          <w:rFonts w:ascii="Arial" w:hAnsi="Arial" w:cs="Arial"/>
        </w:rPr>
        <w:t xml:space="preserve">approved </w:t>
      </w:r>
      <w:r w:rsidRPr="00587DF1">
        <w:rPr>
          <w:rFonts w:ascii="Arial" w:hAnsi="Arial" w:cs="Arial"/>
        </w:rPr>
        <w:t>by NHS England LRET and the Committees in Common of the 14 CCGs were:</w:t>
      </w:r>
    </w:p>
    <w:p w14:paraId="4ABDD9A5" w14:textId="77777777" w:rsidR="00DD2C20" w:rsidRPr="00DD2C20" w:rsidRDefault="00DD2C20" w:rsidP="00DD2C20">
      <w:pPr>
        <w:pStyle w:val="ListParagraph"/>
        <w:numPr>
          <w:ilvl w:val="0"/>
          <w:numId w:val="84"/>
        </w:numPr>
        <w:spacing w:after="0"/>
        <w:ind w:left="426"/>
        <w:rPr>
          <w:rFonts w:ascii="Arial" w:eastAsia="Times New Roman" w:hAnsi="Arial" w:cs="Arial"/>
          <w:b/>
        </w:rPr>
      </w:pPr>
      <w:r w:rsidRPr="00DD2C20">
        <w:rPr>
          <w:rFonts w:ascii="Arial" w:eastAsia="Times New Roman" w:hAnsi="Arial" w:cs="Arial"/>
          <w:b/>
        </w:rPr>
        <w:t>Accessibility</w:t>
      </w:r>
    </w:p>
    <w:p w14:paraId="70535EBD" w14:textId="77777777" w:rsidR="00DD2C20" w:rsidRPr="00FE4B91" w:rsidRDefault="00DD2C20" w:rsidP="00DD2C20">
      <w:pPr>
        <w:ind w:left="284"/>
        <w:rPr>
          <w:rFonts w:ascii="Arial" w:hAnsi="Arial" w:cs="Arial"/>
        </w:rPr>
      </w:pPr>
      <w:r w:rsidRPr="00FE4B91">
        <w:rPr>
          <w:rFonts w:ascii="Arial" w:hAnsi="Arial" w:cs="Arial"/>
        </w:rPr>
        <w:t xml:space="preserve">The consultation clearly highlights accessibility both within the new site, and for the last half mile to the St Pancras site.  To ensure this is addressed, Moorfields </w:t>
      </w:r>
      <w:r>
        <w:rPr>
          <w:rFonts w:ascii="Arial" w:hAnsi="Arial" w:cs="Arial"/>
        </w:rPr>
        <w:t xml:space="preserve">Eye </w:t>
      </w:r>
      <w:r w:rsidRPr="00FE4B91">
        <w:rPr>
          <w:rFonts w:ascii="Arial" w:hAnsi="Arial" w:cs="Arial"/>
        </w:rPr>
        <w:t xml:space="preserve">Hospital should develop and implement a robust accessibility plan, which is co-designed by </w:t>
      </w:r>
      <w:r>
        <w:rPr>
          <w:rFonts w:ascii="Arial" w:hAnsi="Arial" w:cs="Arial"/>
        </w:rPr>
        <w:t>the Trust</w:t>
      </w:r>
      <w:r w:rsidRPr="00FE4B91">
        <w:rPr>
          <w:rFonts w:ascii="Arial" w:hAnsi="Arial" w:cs="Arial"/>
        </w:rPr>
        <w:t xml:space="preserve"> in partnership with sight loss charities, Oriel Advisory Group, patients, transport providers, local authorities, commissioners and voluntary organisations. The accessibility plan should be incorporated into the building master plan, planning application and the development of the Oriel Full Business Case. </w:t>
      </w:r>
    </w:p>
    <w:p w14:paraId="780A0C8E" w14:textId="77777777" w:rsidR="00DD2C20" w:rsidRPr="00FE4B91" w:rsidRDefault="00DD2C20" w:rsidP="00DD2C20">
      <w:pPr>
        <w:pStyle w:val="ListParagraph"/>
        <w:numPr>
          <w:ilvl w:val="0"/>
          <w:numId w:val="84"/>
        </w:numPr>
        <w:spacing w:after="0"/>
        <w:ind w:left="426"/>
        <w:rPr>
          <w:rFonts w:ascii="Arial" w:eastAsia="Times New Roman" w:hAnsi="Arial" w:cs="Arial"/>
          <w:b/>
        </w:rPr>
      </w:pPr>
      <w:r w:rsidRPr="00FE4B91">
        <w:rPr>
          <w:rFonts w:ascii="Arial" w:eastAsia="Times New Roman" w:hAnsi="Arial" w:cs="Arial"/>
          <w:b/>
        </w:rPr>
        <w:t>Working in partnership and programme governance</w:t>
      </w:r>
    </w:p>
    <w:p w14:paraId="34908C56" w14:textId="77777777" w:rsidR="00DD2C20" w:rsidRPr="00FE4B91" w:rsidRDefault="00DD2C20" w:rsidP="00DD2C20">
      <w:pPr>
        <w:ind w:left="284"/>
        <w:rPr>
          <w:rFonts w:ascii="Arial" w:hAnsi="Arial" w:cs="Arial"/>
        </w:rPr>
      </w:pPr>
      <w:r w:rsidRPr="00FE4B91">
        <w:rPr>
          <w:rFonts w:ascii="Arial" w:hAnsi="Arial" w:cs="Arial"/>
        </w:rPr>
        <w:t xml:space="preserve">The Committee in Common would like to thank all statutory, non-statutory groups and members of the public who contributed to the consultation to provide such a wealth of information to inform the decision and future design of the proposed St Pancras site. They also commend the approach and valuable input of the Oriel Advisory Group and the network of other partners into the consultation process. </w:t>
      </w:r>
    </w:p>
    <w:p w14:paraId="286496AF" w14:textId="77777777" w:rsidR="00DD2C20" w:rsidRPr="00DD2C20" w:rsidRDefault="00DD2C20" w:rsidP="00DD2C20">
      <w:pPr>
        <w:ind w:left="284"/>
        <w:rPr>
          <w:rFonts w:ascii="Arial" w:hAnsi="Arial" w:cs="Arial"/>
        </w:rPr>
      </w:pPr>
      <w:r w:rsidRPr="00FE4B91">
        <w:rPr>
          <w:rFonts w:ascii="Arial" w:hAnsi="Arial" w:cs="Arial"/>
        </w:rPr>
        <w:t xml:space="preserve">As such, the Committee recommends that </w:t>
      </w:r>
      <w:r>
        <w:rPr>
          <w:rFonts w:ascii="Arial" w:hAnsi="Arial" w:cs="Arial"/>
        </w:rPr>
        <w:t xml:space="preserve">the </w:t>
      </w:r>
      <w:r w:rsidRPr="00FE4B91">
        <w:rPr>
          <w:rFonts w:ascii="Arial" w:hAnsi="Arial" w:cs="Arial"/>
        </w:rPr>
        <w:t>Oriel programme continue</w:t>
      </w:r>
      <w:r>
        <w:rPr>
          <w:rFonts w:ascii="Arial" w:hAnsi="Arial" w:cs="Arial"/>
        </w:rPr>
        <w:t>s</w:t>
      </w:r>
      <w:r w:rsidRPr="00FE4B91">
        <w:rPr>
          <w:rFonts w:ascii="Arial" w:hAnsi="Arial" w:cs="Arial"/>
        </w:rPr>
        <w:t xml:space="preserve"> to actively involve the Oriel Advisory Group as well as the extensive range of stakeholders that have contributed to the consultation, in the development of the centre at the St Pancras site</w:t>
      </w:r>
      <w:r w:rsidRPr="00DD2C20">
        <w:rPr>
          <w:rFonts w:ascii="Arial" w:hAnsi="Arial" w:cs="Arial"/>
        </w:rPr>
        <w:t xml:space="preserve">. </w:t>
      </w:r>
    </w:p>
    <w:p w14:paraId="35F59071" w14:textId="2F235D75" w:rsidR="00DD2C20" w:rsidRPr="00FE4B91" w:rsidRDefault="00DD2C20" w:rsidP="00DD2C20">
      <w:pPr>
        <w:ind w:left="284"/>
        <w:rPr>
          <w:rFonts w:ascii="Arial" w:hAnsi="Arial" w:cs="Arial"/>
        </w:rPr>
      </w:pPr>
      <w:r w:rsidRPr="00FE4B91">
        <w:rPr>
          <w:rFonts w:ascii="Arial" w:hAnsi="Arial" w:cs="Arial"/>
        </w:rPr>
        <w:t xml:space="preserve">Given the St Pancras site development includes a range of stakeholders, the Committee recommends further consideration be given, with NHS England and Improvement, about </w:t>
      </w:r>
      <w:r w:rsidRPr="00FE4B91">
        <w:rPr>
          <w:rFonts w:ascii="Arial" w:hAnsi="Arial" w:cs="Arial"/>
        </w:rPr>
        <w:lastRenderedPageBreak/>
        <w:t xml:space="preserve">the need for formal programme governance, which brings together the multiple stakeholders involved in the St Pancras site development, including NCL STP representation to ensure there is robust strategic oversight of the development as a whole. </w:t>
      </w:r>
    </w:p>
    <w:p w14:paraId="28B302DD" w14:textId="77777777" w:rsidR="00DD2C20" w:rsidRPr="00FE4B91" w:rsidRDefault="00DD2C20" w:rsidP="00DD2C20">
      <w:pPr>
        <w:ind w:left="284"/>
        <w:rPr>
          <w:rFonts w:ascii="Arial" w:hAnsi="Arial" w:cs="Arial"/>
        </w:rPr>
      </w:pPr>
      <w:r w:rsidRPr="00FE4B91">
        <w:rPr>
          <w:rFonts w:ascii="Arial" w:hAnsi="Arial" w:cs="Arial"/>
        </w:rPr>
        <w:t xml:space="preserve">Governance for the Oriel development of the new St Pancras site will be through the </w:t>
      </w:r>
      <w:r>
        <w:rPr>
          <w:rFonts w:ascii="Arial" w:hAnsi="Arial" w:cs="Arial"/>
        </w:rPr>
        <w:t>joint</w:t>
      </w:r>
      <w:r w:rsidRPr="00FE4B91">
        <w:rPr>
          <w:rFonts w:ascii="Arial" w:hAnsi="Arial" w:cs="Arial"/>
        </w:rPr>
        <w:t xml:space="preserve"> governance mechanisms</w:t>
      </w:r>
      <w:r>
        <w:rPr>
          <w:rFonts w:ascii="Arial" w:hAnsi="Arial" w:cs="Arial"/>
        </w:rPr>
        <w:t xml:space="preserve"> agreed by the Trust and UCL</w:t>
      </w:r>
      <w:r w:rsidRPr="00FE4B91">
        <w:rPr>
          <w:rFonts w:ascii="Arial" w:hAnsi="Arial" w:cs="Arial"/>
        </w:rPr>
        <w:t xml:space="preserve">. The Trust will report progress of the development into the proposed St Pancras site governance. </w:t>
      </w:r>
    </w:p>
    <w:p w14:paraId="76819A85" w14:textId="77777777" w:rsidR="00DD2C20" w:rsidRPr="00FE4B91" w:rsidRDefault="00DD2C20" w:rsidP="00DD2C20">
      <w:pPr>
        <w:pStyle w:val="ListParagraph"/>
        <w:numPr>
          <w:ilvl w:val="0"/>
          <w:numId w:val="84"/>
        </w:numPr>
        <w:spacing w:after="0"/>
        <w:ind w:left="426"/>
        <w:rPr>
          <w:rFonts w:ascii="Arial" w:eastAsia="Times New Roman" w:hAnsi="Arial" w:cs="Arial"/>
          <w:b/>
        </w:rPr>
      </w:pPr>
      <w:r w:rsidRPr="00DD2C20">
        <w:rPr>
          <w:rFonts w:ascii="Arial" w:eastAsia="Times New Roman" w:hAnsi="Arial" w:cs="Arial"/>
          <w:b/>
        </w:rPr>
        <w:t xml:space="preserve">Service Improvement </w:t>
      </w:r>
    </w:p>
    <w:p w14:paraId="6511D008" w14:textId="77777777" w:rsidR="00DD2C20" w:rsidRPr="00FE4B91" w:rsidRDefault="00DD2C20" w:rsidP="00DD2C20">
      <w:pPr>
        <w:ind w:left="284"/>
        <w:rPr>
          <w:rFonts w:ascii="Arial" w:hAnsi="Arial" w:cs="Arial"/>
        </w:rPr>
      </w:pPr>
      <w:r w:rsidRPr="00FE4B91">
        <w:rPr>
          <w:rFonts w:ascii="Arial" w:hAnsi="Arial" w:cs="Arial"/>
        </w:rPr>
        <w:t>Feedback during the consultation identified improvements in patient experience that can be commenced prior to the proposed move. It is recommended that Moorfields review the feedback received during the consultation and address areas of improvement before implementation of Oriel where possible.</w:t>
      </w:r>
    </w:p>
    <w:p w14:paraId="3B5AE63A" w14:textId="77777777" w:rsidR="00DD2C20" w:rsidRPr="00DD2C20" w:rsidRDefault="00DD2C20" w:rsidP="00DD2C20">
      <w:pPr>
        <w:pStyle w:val="ListParagraph"/>
        <w:numPr>
          <w:ilvl w:val="0"/>
          <w:numId w:val="84"/>
        </w:numPr>
        <w:spacing w:after="0"/>
        <w:ind w:left="426"/>
        <w:rPr>
          <w:rFonts w:ascii="Arial" w:eastAsia="Times New Roman" w:hAnsi="Arial" w:cs="Arial"/>
          <w:b/>
        </w:rPr>
      </w:pPr>
      <w:r w:rsidRPr="00DD2C20">
        <w:rPr>
          <w:rFonts w:ascii="Arial" w:eastAsia="Times New Roman" w:hAnsi="Arial" w:cs="Arial"/>
          <w:b/>
        </w:rPr>
        <w:t>New Models of Care</w:t>
      </w:r>
    </w:p>
    <w:p w14:paraId="293F03A2" w14:textId="77777777" w:rsidR="00DD2C20" w:rsidRPr="00DD2C20" w:rsidRDefault="00DD2C20" w:rsidP="00DD2C20">
      <w:pPr>
        <w:ind w:left="284"/>
        <w:rPr>
          <w:rFonts w:ascii="Arial" w:hAnsi="Arial" w:cs="Arial"/>
        </w:rPr>
      </w:pPr>
      <w:r w:rsidRPr="00DD2C20">
        <w:rPr>
          <w:rFonts w:ascii="Arial" w:hAnsi="Arial" w:cs="Arial"/>
        </w:rPr>
        <w:t>The ophthalmology demand and capacity modelling highlighted the potential benefits of working collaboratively to ensure a coherent approach to the development and implementation of new models of care that improves care for patients and provides care closer to home. To realise this potential, it is recommended that post decision making:</w:t>
      </w:r>
    </w:p>
    <w:p w14:paraId="717B190B" w14:textId="77777777" w:rsidR="00DD2C20" w:rsidRPr="00FE4B91" w:rsidRDefault="00DD2C20" w:rsidP="00DD2C20">
      <w:pPr>
        <w:pStyle w:val="ListParagraph"/>
        <w:numPr>
          <w:ilvl w:val="0"/>
          <w:numId w:val="83"/>
        </w:numPr>
        <w:shd w:val="clear" w:color="auto" w:fill="FFFFFF"/>
        <w:rPr>
          <w:rFonts w:ascii="Arial" w:hAnsi="Arial" w:cs="Arial"/>
        </w:rPr>
      </w:pPr>
      <w:r w:rsidRPr="00FE4B91">
        <w:rPr>
          <w:rFonts w:ascii="Arial" w:hAnsi="Arial" w:cs="Arial"/>
        </w:rPr>
        <w:t xml:space="preserve">Commissioners </w:t>
      </w:r>
      <w:r w:rsidRPr="00FE4B91">
        <w:rPr>
          <w:rFonts w:ascii="Arial" w:hAnsi="Arial" w:cs="Arial"/>
          <w:b/>
        </w:rPr>
        <w:t xml:space="preserve">establish a London Ophthalmology Collaborative </w:t>
      </w:r>
      <w:r w:rsidRPr="00FE4B91">
        <w:rPr>
          <w:rFonts w:ascii="Arial" w:hAnsi="Arial" w:cs="Arial"/>
        </w:rPr>
        <w:t xml:space="preserve">to </w:t>
      </w:r>
      <w:r w:rsidRPr="00DD2C20">
        <w:rPr>
          <w:rFonts w:ascii="Arial" w:hAnsi="Arial" w:cs="Arial"/>
          <w:b/>
          <w:bCs/>
        </w:rPr>
        <w:t>progress</w:t>
      </w:r>
      <w:r w:rsidRPr="00FE4B91">
        <w:rPr>
          <w:rFonts w:ascii="Arial" w:hAnsi="Arial" w:cs="Arial"/>
        </w:rPr>
        <w:t xml:space="preserve"> system-wide service redesign of eye care services across London, which would support:</w:t>
      </w:r>
    </w:p>
    <w:p w14:paraId="1A7CA7DF" w14:textId="77777777" w:rsidR="00DD2C20" w:rsidRPr="00FE4B91" w:rsidRDefault="00DD2C20" w:rsidP="00DD2C20">
      <w:pPr>
        <w:pStyle w:val="NormalWeb"/>
        <w:numPr>
          <w:ilvl w:val="1"/>
          <w:numId w:val="85"/>
        </w:numPr>
        <w:spacing w:before="0" w:beforeAutospacing="0" w:after="0" w:afterAutospacing="0" w:line="276" w:lineRule="auto"/>
        <w:ind w:left="1287"/>
        <w:rPr>
          <w:rFonts w:ascii="Arial" w:hAnsi="Arial" w:cs="Arial"/>
          <w:sz w:val="22"/>
          <w:szCs w:val="22"/>
        </w:rPr>
      </w:pPr>
      <w:r w:rsidRPr="00FE4B91">
        <w:rPr>
          <w:rFonts w:ascii="Arial" w:hAnsi="Arial" w:cs="Arial"/>
          <w:sz w:val="22"/>
          <w:szCs w:val="22"/>
        </w:rPr>
        <w:t xml:space="preserve">Collaboration between system partners including Moorfields and relevant commissioners to develop coherence and standardisation in the pathways experienced by ophthalmology patients. </w:t>
      </w:r>
    </w:p>
    <w:p w14:paraId="3B40C6A4" w14:textId="77777777" w:rsidR="00DD2C20" w:rsidRPr="00FE4B91" w:rsidRDefault="00DD2C20" w:rsidP="00DD2C20">
      <w:pPr>
        <w:pStyle w:val="NormalWeb"/>
        <w:numPr>
          <w:ilvl w:val="1"/>
          <w:numId w:val="85"/>
        </w:numPr>
        <w:spacing w:before="0" w:beforeAutospacing="0" w:after="0" w:afterAutospacing="0" w:line="276" w:lineRule="auto"/>
        <w:ind w:left="1287"/>
        <w:rPr>
          <w:rFonts w:ascii="Arial" w:hAnsi="Arial" w:cs="Arial"/>
          <w:sz w:val="22"/>
          <w:szCs w:val="22"/>
        </w:rPr>
      </w:pPr>
      <w:r w:rsidRPr="00FE4B91">
        <w:rPr>
          <w:rFonts w:ascii="Arial" w:hAnsi="Arial" w:cs="Arial"/>
          <w:sz w:val="22"/>
          <w:szCs w:val="22"/>
        </w:rPr>
        <w:t>Delivering the aspiration relating to follow up outpatient appointments as set out in the NHS long term plan, where clinically appropriate.</w:t>
      </w:r>
    </w:p>
    <w:p w14:paraId="3F1156FF" w14:textId="77777777" w:rsidR="00DD2C20" w:rsidRPr="00FE4B91" w:rsidRDefault="00DD2C20" w:rsidP="00DD2C20">
      <w:pPr>
        <w:pStyle w:val="NormalWeb"/>
        <w:numPr>
          <w:ilvl w:val="1"/>
          <w:numId w:val="85"/>
        </w:numPr>
        <w:spacing w:before="0" w:beforeAutospacing="0" w:after="0" w:afterAutospacing="0" w:line="276" w:lineRule="auto"/>
        <w:ind w:left="1287"/>
        <w:rPr>
          <w:rFonts w:ascii="Arial" w:hAnsi="Arial" w:cs="Arial"/>
          <w:sz w:val="22"/>
          <w:szCs w:val="22"/>
        </w:rPr>
      </w:pPr>
      <w:r w:rsidRPr="00FE4B91">
        <w:rPr>
          <w:rFonts w:ascii="Arial" w:hAnsi="Arial" w:cs="Arial"/>
          <w:sz w:val="22"/>
          <w:szCs w:val="22"/>
        </w:rPr>
        <w:t>Man</w:t>
      </w:r>
      <w:r>
        <w:rPr>
          <w:rFonts w:ascii="Arial" w:hAnsi="Arial" w:cs="Arial"/>
          <w:sz w:val="22"/>
          <w:szCs w:val="22"/>
        </w:rPr>
        <w:t>aging</w:t>
      </w:r>
      <w:r w:rsidRPr="00FE4B91">
        <w:rPr>
          <w:rFonts w:ascii="Arial" w:hAnsi="Arial" w:cs="Arial"/>
          <w:sz w:val="22"/>
          <w:szCs w:val="22"/>
        </w:rPr>
        <w:t xml:space="preserve"> activity growth assumptions as outlined in the Ophthalmology Systems Modelling report to support a sustainable model of high quality eye care. </w:t>
      </w:r>
    </w:p>
    <w:p w14:paraId="1743512D" w14:textId="77777777" w:rsidR="00DD2C20" w:rsidRPr="00FE4B91" w:rsidRDefault="00DD2C20" w:rsidP="00DD2C20">
      <w:pPr>
        <w:pStyle w:val="NormalWeb"/>
        <w:numPr>
          <w:ilvl w:val="1"/>
          <w:numId w:val="85"/>
        </w:numPr>
        <w:spacing w:before="0" w:beforeAutospacing="0" w:after="0" w:afterAutospacing="0" w:line="276" w:lineRule="auto"/>
        <w:ind w:left="1287"/>
        <w:rPr>
          <w:rFonts w:ascii="Arial" w:hAnsi="Arial" w:cs="Arial"/>
          <w:sz w:val="22"/>
          <w:szCs w:val="22"/>
        </w:rPr>
      </w:pPr>
      <w:r w:rsidRPr="00FE4B91">
        <w:rPr>
          <w:rFonts w:ascii="Arial" w:hAnsi="Arial" w:cs="Arial"/>
          <w:sz w:val="22"/>
          <w:szCs w:val="22"/>
        </w:rPr>
        <w:t>Determining potential for future collaboration between Western Eye Hospital and Moorfields to ensure the most effective model of eye care services.</w:t>
      </w:r>
    </w:p>
    <w:p w14:paraId="0C8DEB57" w14:textId="77777777" w:rsidR="00DD2C20" w:rsidRPr="00FE4B91" w:rsidRDefault="00DD2C20" w:rsidP="00DD2C20">
      <w:pPr>
        <w:spacing w:after="0"/>
        <w:ind w:left="1069"/>
        <w:rPr>
          <w:rFonts w:ascii="Arial" w:eastAsia="Times New Roman" w:hAnsi="Arial" w:cs="Arial"/>
        </w:rPr>
      </w:pPr>
    </w:p>
    <w:p w14:paraId="3B8A20BA" w14:textId="77777777" w:rsidR="00DD2C20" w:rsidRPr="00DD2C20" w:rsidRDefault="00DD2C20" w:rsidP="00DD2C20">
      <w:pPr>
        <w:ind w:left="284"/>
        <w:rPr>
          <w:rFonts w:ascii="Arial" w:hAnsi="Arial" w:cs="Arial"/>
        </w:rPr>
      </w:pPr>
      <w:r w:rsidRPr="00DD2C20">
        <w:rPr>
          <w:rFonts w:ascii="Arial" w:hAnsi="Arial" w:cs="Arial"/>
        </w:rPr>
        <w:t>The Collaborative will build upon the modelling work undertaken for the DMBC, and delivery of the NHS Long Term Plan. The proposed new building will be designed flexibly to adapt to changing models of care as this develops. It should be noted the proposed relocation is not dependent on the work to establish a London Ophthalmology Collaborative.</w:t>
      </w:r>
    </w:p>
    <w:p w14:paraId="1DB8BF96" w14:textId="77777777" w:rsidR="00DD2C20" w:rsidRPr="00DD2C20" w:rsidRDefault="00DD2C20" w:rsidP="00DD2C20">
      <w:pPr>
        <w:pStyle w:val="ListParagraph"/>
        <w:numPr>
          <w:ilvl w:val="0"/>
          <w:numId w:val="84"/>
        </w:numPr>
        <w:spacing w:after="0"/>
        <w:ind w:left="426"/>
        <w:rPr>
          <w:rFonts w:ascii="Arial" w:eastAsia="Times New Roman" w:hAnsi="Arial" w:cs="Arial"/>
          <w:b/>
        </w:rPr>
      </w:pPr>
      <w:r w:rsidRPr="00DD2C20">
        <w:rPr>
          <w:rFonts w:ascii="Arial" w:eastAsia="Times New Roman" w:hAnsi="Arial" w:cs="Arial"/>
          <w:b/>
        </w:rPr>
        <w:t xml:space="preserve">Workforce and transition </w:t>
      </w:r>
    </w:p>
    <w:p w14:paraId="539A9C95" w14:textId="77777777" w:rsidR="00DD2C20" w:rsidRPr="00DD2C20" w:rsidRDefault="00DD2C20" w:rsidP="00DD2C20">
      <w:pPr>
        <w:ind w:left="284"/>
        <w:rPr>
          <w:rFonts w:ascii="Arial" w:hAnsi="Arial" w:cs="Arial"/>
        </w:rPr>
      </w:pPr>
      <w:r w:rsidRPr="00DD2C20">
        <w:rPr>
          <w:rFonts w:ascii="Arial" w:hAnsi="Arial" w:cs="Arial"/>
        </w:rPr>
        <w:t>To optimise the benefits of the new centre as referenced in both the PCBC and DMBC, it is recommended that Moorfields:</w:t>
      </w:r>
    </w:p>
    <w:p w14:paraId="6D75D7B8" w14:textId="77777777" w:rsidR="00DD2C20" w:rsidRPr="00FE4B91" w:rsidRDefault="00DD2C20" w:rsidP="00DD2C20">
      <w:pPr>
        <w:pStyle w:val="ListParagraph"/>
        <w:numPr>
          <w:ilvl w:val="0"/>
          <w:numId w:val="83"/>
        </w:numPr>
        <w:shd w:val="clear" w:color="auto" w:fill="FFFFFF"/>
        <w:rPr>
          <w:rFonts w:ascii="Arial" w:eastAsia="Times New Roman" w:hAnsi="Arial" w:cs="Arial"/>
        </w:rPr>
      </w:pPr>
      <w:r w:rsidRPr="00FE4B91">
        <w:rPr>
          <w:rFonts w:ascii="Arial" w:eastAsia="Times New Roman" w:hAnsi="Arial" w:cs="Arial"/>
        </w:rPr>
        <w:t xml:space="preserve">Develop an </w:t>
      </w:r>
      <w:r w:rsidRPr="00FE4B91">
        <w:rPr>
          <w:rFonts w:ascii="Arial" w:eastAsia="Times New Roman" w:hAnsi="Arial" w:cs="Arial"/>
          <w:b/>
        </w:rPr>
        <w:t>organisational development program</w:t>
      </w:r>
      <w:r>
        <w:rPr>
          <w:rFonts w:ascii="Arial" w:eastAsia="Times New Roman" w:hAnsi="Arial" w:cs="Arial"/>
          <w:b/>
        </w:rPr>
        <w:t>me</w:t>
      </w:r>
      <w:r w:rsidRPr="00FE4B91">
        <w:rPr>
          <w:rFonts w:ascii="Arial" w:eastAsia="Times New Roman" w:hAnsi="Arial" w:cs="Arial"/>
        </w:rPr>
        <w:t xml:space="preserve"> to integrate </w:t>
      </w:r>
      <w:r w:rsidRPr="00DD2C20">
        <w:rPr>
          <w:rFonts w:ascii="Arial" w:hAnsi="Arial" w:cs="Arial"/>
          <w:b/>
          <w:bCs/>
        </w:rPr>
        <w:t>clinical</w:t>
      </w:r>
      <w:r w:rsidRPr="00FE4B91">
        <w:rPr>
          <w:rFonts w:ascii="Arial" w:eastAsia="Times New Roman" w:hAnsi="Arial" w:cs="Arial"/>
        </w:rPr>
        <w:t xml:space="preserve"> services, research and education, which enable optimal use of the new facilities and enable </w:t>
      </w:r>
      <w:r w:rsidRPr="00FE4B91">
        <w:rPr>
          <w:rFonts w:ascii="Arial" w:eastAsia="Times New Roman" w:hAnsi="Arial" w:cs="Arial"/>
        </w:rPr>
        <w:lastRenderedPageBreak/>
        <w:t>the Trust to realise the benefits of integrating research, education and innovation with clinical practice.</w:t>
      </w:r>
    </w:p>
    <w:p w14:paraId="5CE194A5" w14:textId="2A9EF4D5" w:rsidR="00DD2C20" w:rsidRPr="00FE4B91" w:rsidRDefault="00DD2C20" w:rsidP="00DD2C20">
      <w:pPr>
        <w:pStyle w:val="ListParagraph"/>
        <w:numPr>
          <w:ilvl w:val="0"/>
          <w:numId w:val="83"/>
        </w:numPr>
        <w:shd w:val="clear" w:color="auto" w:fill="FFFFFF"/>
        <w:spacing w:after="0"/>
        <w:rPr>
          <w:rFonts w:ascii="Arial" w:eastAsia="Times New Roman" w:hAnsi="Arial" w:cs="Arial"/>
        </w:rPr>
      </w:pPr>
      <w:r w:rsidRPr="00DD2C20">
        <w:rPr>
          <w:rFonts w:ascii="Arial" w:hAnsi="Arial" w:cs="Arial"/>
        </w:rPr>
        <w:t>Acknowledge</w:t>
      </w:r>
      <w:r w:rsidRPr="00FE4B91">
        <w:rPr>
          <w:rFonts w:ascii="Arial" w:eastAsia="Times New Roman" w:hAnsi="Arial" w:cs="Arial"/>
        </w:rPr>
        <w:t xml:space="preserve"> and celebrate the history of the City Road site.</w:t>
      </w:r>
    </w:p>
    <w:p w14:paraId="55105FDF" w14:textId="77777777" w:rsidR="00DD2C20" w:rsidRPr="00FE4B91" w:rsidRDefault="00DD2C20" w:rsidP="00DD2C20">
      <w:pPr>
        <w:spacing w:after="0"/>
        <w:ind w:left="-360"/>
        <w:rPr>
          <w:rFonts w:ascii="Arial" w:eastAsia="Times New Roman" w:hAnsi="Arial" w:cs="Arial"/>
        </w:rPr>
      </w:pPr>
    </w:p>
    <w:p w14:paraId="703AD75C" w14:textId="77777777" w:rsidR="00DD2C20" w:rsidRPr="00FE4B91" w:rsidRDefault="00DD2C20" w:rsidP="00DD2C20">
      <w:pPr>
        <w:pStyle w:val="ListParagraph"/>
        <w:numPr>
          <w:ilvl w:val="0"/>
          <w:numId w:val="84"/>
        </w:numPr>
        <w:spacing w:after="0"/>
        <w:ind w:left="426"/>
        <w:rPr>
          <w:rFonts w:ascii="Arial" w:eastAsia="Times New Roman" w:hAnsi="Arial" w:cs="Arial"/>
          <w:b/>
        </w:rPr>
      </w:pPr>
      <w:r w:rsidRPr="00DD2C20">
        <w:rPr>
          <w:rFonts w:ascii="Arial" w:eastAsia="Times New Roman" w:hAnsi="Arial" w:cs="Arial"/>
          <w:b/>
        </w:rPr>
        <w:t xml:space="preserve">Reducing inequality </w:t>
      </w:r>
    </w:p>
    <w:p w14:paraId="1C64CD19" w14:textId="77777777" w:rsidR="00DD2C20" w:rsidRPr="00DD2C20" w:rsidRDefault="00DD2C20" w:rsidP="00DD2C20">
      <w:pPr>
        <w:ind w:left="284"/>
        <w:rPr>
          <w:rFonts w:ascii="Arial" w:hAnsi="Arial" w:cs="Arial"/>
        </w:rPr>
      </w:pPr>
      <w:r w:rsidRPr="00DD2C20">
        <w:rPr>
          <w:rFonts w:ascii="Arial" w:hAnsi="Arial" w:cs="Arial"/>
        </w:rPr>
        <w:t>To ensure that the negative impacts identified in the Integrated Health Inequalities and Equalities Impact Assessment (IIA) are mitigated as far as possible and the potential positive impacts are harnessed, a plan should be developed in response to each of the recommendations arising from the IIA.</w:t>
      </w:r>
    </w:p>
    <w:p w14:paraId="73DB48E2" w14:textId="3E87E94F" w:rsidR="00DD2C20" w:rsidRDefault="00DD2C20" w:rsidP="00B146F0">
      <w:pPr>
        <w:shd w:val="clear" w:color="auto" w:fill="FFFFFF"/>
        <w:rPr>
          <w:rFonts w:ascii="Arial" w:hAnsi="Arial" w:cs="Arial"/>
        </w:rPr>
      </w:pPr>
    </w:p>
    <w:p w14:paraId="121DC9F0" w14:textId="77777777" w:rsidR="00984E33" w:rsidRPr="00B146F0" w:rsidRDefault="00B146F0" w:rsidP="005E0D57">
      <w:pPr>
        <w:pStyle w:val="Heading2"/>
        <w:numPr>
          <w:ilvl w:val="2"/>
          <w:numId w:val="1"/>
        </w:numPr>
        <w:rPr>
          <w:rFonts w:ascii="Arial" w:eastAsia="Arial" w:hAnsi="Arial" w:cs="Arial"/>
          <w:color w:val="000000"/>
        </w:rPr>
      </w:pPr>
      <w:bookmarkStart w:id="157" w:name="_Toc27746676"/>
      <w:bookmarkStart w:id="158" w:name="_Toc30168741"/>
      <w:bookmarkStart w:id="159" w:name="_Toc30670680"/>
      <w:bookmarkStart w:id="160" w:name="_Toc32842699"/>
      <w:r w:rsidRPr="00B146F0">
        <w:rPr>
          <w:rFonts w:ascii="Arial" w:eastAsia="Arial" w:hAnsi="Arial" w:cs="Arial"/>
          <w:color w:val="000000"/>
        </w:rPr>
        <w:t>Moorfields response to consultation</w:t>
      </w:r>
      <w:bookmarkEnd w:id="157"/>
      <w:bookmarkEnd w:id="158"/>
      <w:bookmarkEnd w:id="159"/>
      <w:bookmarkEnd w:id="160"/>
    </w:p>
    <w:p w14:paraId="1BD8A94C" w14:textId="77777777" w:rsidR="00FD12DE" w:rsidRPr="00587DF1" w:rsidRDefault="00FD12DE" w:rsidP="00FD12DE">
      <w:pPr>
        <w:spacing w:after="0"/>
        <w:rPr>
          <w:rFonts w:ascii="Arial" w:eastAsia="Arial" w:hAnsi="Arial" w:cs="Arial"/>
        </w:rPr>
      </w:pPr>
    </w:p>
    <w:p w14:paraId="61E3896C" w14:textId="77777777" w:rsidR="00882733" w:rsidRDefault="00B146F0" w:rsidP="00E47761">
      <w:pPr>
        <w:rPr>
          <w:rFonts w:ascii="Arial" w:eastAsia="Arial" w:hAnsi="Arial" w:cs="Arial"/>
        </w:rPr>
      </w:pPr>
      <w:r>
        <w:rPr>
          <w:rFonts w:ascii="Arial" w:eastAsia="Arial" w:hAnsi="Arial" w:cs="Arial"/>
        </w:rPr>
        <w:t>In response to the feedback received from the consultation, Moorfields have committed to</w:t>
      </w:r>
      <w:r w:rsidR="00882733">
        <w:rPr>
          <w:rFonts w:ascii="Arial" w:eastAsia="Arial" w:hAnsi="Arial" w:cs="Arial"/>
        </w:rPr>
        <w:t>:</w:t>
      </w:r>
    </w:p>
    <w:p w14:paraId="711BD2A4" w14:textId="77777777" w:rsidR="00882733" w:rsidRDefault="00882733" w:rsidP="00190084">
      <w:pPr>
        <w:pStyle w:val="ListParagraph"/>
        <w:numPr>
          <w:ilvl w:val="0"/>
          <w:numId w:val="94"/>
        </w:numPr>
        <w:rPr>
          <w:rFonts w:ascii="Arial" w:eastAsia="Arial" w:hAnsi="Arial" w:cs="Arial"/>
        </w:rPr>
      </w:pPr>
      <w:r>
        <w:rPr>
          <w:rFonts w:ascii="Arial" w:eastAsia="Arial" w:hAnsi="Arial" w:cs="Arial"/>
        </w:rPr>
        <w:t>T</w:t>
      </w:r>
      <w:r w:rsidRPr="00882733">
        <w:rPr>
          <w:rFonts w:ascii="Arial" w:eastAsia="Arial" w:hAnsi="Arial" w:cs="Arial"/>
        </w:rPr>
        <w:t xml:space="preserve">ake lead responsibility for mitigating the challenges regarding accessible routes to </w:t>
      </w:r>
      <w:r>
        <w:rPr>
          <w:rFonts w:ascii="Arial" w:eastAsia="Arial" w:hAnsi="Arial" w:cs="Arial"/>
        </w:rPr>
        <w:t xml:space="preserve">Oriel, leading </w:t>
      </w:r>
      <w:r w:rsidRPr="00882733">
        <w:rPr>
          <w:rFonts w:ascii="Arial" w:eastAsia="Arial" w:hAnsi="Arial" w:cs="Arial"/>
        </w:rPr>
        <w:t xml:space="preserve">a multi-agency partnership to develop and implement an Accessibility Plan, as part of a </w:t>
      </w:r>
      <w:r>
        <w:rPr>
          <w:rFonts w:ascii="Arial" w:eastAsia="Arial" w:hAnsi="Arial" w:cs="Arial"/>
        </w:rPr>
        <w:t>FBC</w:t>
      </w:r>
      <w:r w:rsidRPr="00882733">
        <w:rPr>
          <w:rFonts w:ascii="Arial" w:eastAsia="Arial" w:hAnsi="Arial" w:cs="Arial"/>
        </w:rPr>
        <w:t>, and the design and planning application for the new site.</w:t>
      </w:r>
    </w:p>
    <w:p w14:paraId="536CD8AF" w14:textId="77777777" w:rsidR="00882733" w:rsidRDefault="00882733" w:rsidP="00190084">
      <w:pPr>
        <w:pStyle w:val="ListParagraph"/>
        <w:numPr>
          <w:ilvl w:val="0"/>
          <w:numId w:val="94"/>
        </w:numPr>
        <w:rPr>
          <w:rFonts w:ascii="Arial" w:eastAsia="Arial" w:hAnsi="Arial" w:cs="Arial"/>
        </w:rPr>
      </w:pPr>
      <w:r>
        <w:rPr>
          <w:rFonts w:ascii="Arial" w:eastAsia="Arial" w:hAnsi="Arial" w:cs="Arial"/>
        </w:rPr>
        <w:t>Involve patients in the design of Oriel through involvement in user groups.</w:t>
      </w:r>
    </w:p>
    <w:p w14:paraId="11C19C33" w14:textId="77777777" w:rsidR="00882733" w:rsidRDefault="00882733" w:rsidP="00190084">
      <w:pPr>
        <w:pStyle w:val="ListParagraph"/>
        <w:numPr>
          <w:ilvl w:val="0"/>
          <w:numId w:val="94"/>
        </w:numPr>
        <w:rPr>
          <w:rFonts w:ascii="Arial" w:eastAsia="Arial" w:hAnsi="Arial" w:cs="Arial"/>
        </w:rPr>
      </w:pPr>
      <w:r>
        <w:rPr>
          <w:rFonts w:ascii="Arial" w:eastAsia="Arial" w:hAnsi="Arial" w:cs="Arial"/>
        </w:rPr>
        <w:t>C</w:t>
      </w:r>
      <w:r w:rsidRPr="00882733">
        <w:rPr>
          <w:rFonts w:ascii="Arial" w:eastAsia="Arial" w:hAnsi="Arial" w:cs="Arial"/>
        </w:rPr>
        <w:t>ommission a major programme of customer service training and improvement during 2020, which will be informed by consultation feedback</w:t>
      </w:r>
      <w:r>
        <w:rPr>
          <w:rFonts w:ascii="Arial" w:eastAsia="Arial" w:hAnsi="Arial" w:cs="Arial"/>
        </w:rPr>
        <w:t>.</w:t>
      </w:r>
    </w:p>
    <w:p w14:paraId="4B921636" w14:textId="77777777" w:rsidR="00882733" w:rsidRDefault="00882733" w:rsidP="00190084">
      <w:pPr>
        <w:pStyle w:val="ListParagraph"/>
        <w:numPr>
          <w:ilvl w:val="0"/>
          <w:numId w:val="94"/>
        </w:numPr>
        <w:rPr>
          <w:rFonts w:ascii="Arial" w:eastAsia="Arial" w:hAnsi="Arial" w:cs="Arial"/>
        </w:rPr>
      </w:pPr>
      <w:r>
        <w:rPr>
          <w:rFonts w:ascii="Arial" w:eastAsia="Arial" w:hAnsi="Arial" w:cs="Arial"/>
        </w:rPr>
        <w:t>A</w:t>
      </w:r>
      <w:r w:rsidRPr="00882733">
        <w:rPr>
          <w:rFonts w:ascii="Arial" w:eastAsia="Arial" w:hAnsi="Arial" w:cs="Arial"/>
        </w:rPr>
        <w:t>dopt the strong message from consultation feedback that the proposed new centre should be a place of inspiration for everyone who goes there, whether for work or for treatment, showing what is possible and how to make it happen.</w:t>
      </w:r>
    </w:p>
    <w:p w14:paraId="3E6AEC9C" w14:textId="77777777" w:rsidR="00882733" w:rsidRDefault="00882733" w:rsidP="00190084">
      <w:pPr>
        <w:pStyle w:val="ListParagraph"/>
        <w:numPr>
          <w:ilvl w:val="0"/>
          <w:numId w:val="94"/>
        </w:numPr>
        <w:rPr>
          <w:rFonts w:ascii="Arial" w:eastAsia="Arial" w:hAnsi="Arial" w:cs="Arial"/>
        </w:rPr>
      </w:pPr>
      <w:r w:rsidRPr="00882733">
        <w:rPr>
          <w:rFonts w:ascii="Arial" w:eastAsia="Arial" w:hAnsi="Arial" w:cs="Arial"/>
        </w:rPr>
        <w:t>Involv</w:t>
      </w:r>
      <w:r>
        <w:rPr>
          <w:rFonts w:ascii="Arial" w:eastAsia="Arial" w:hAnsi="Arial" w:cs="Arial"/>
        </w:rPr>
        <w:t>e</w:t>
      </w:r>
      <w:r w:rsidRPr="00882733">
        <w:rPr>
          <w:rFonts w:ascii="Arial" w:eastAsia="Arial" w:hAnsi="Arial" w:cs="Arial"/>
        </w:rPr>
        <w:t xml:space="preserve"> patients and staff</w:t>
      </w:r>
      <w:r>
        <w:rPr>
          <w:rFonts w:ascii="Arial" w:eastAsia="Arial" w:hAnsi="Arial" w:cs="Arial"/>
        </w:rPr>
        <w:t xml:space="preserve"> in developing </w:t>
      </w:r>
      <w:r w:rsidRPr="00882733">
        <w:rPr>
          <w:rFonts w:ascii="Arial" w:eastAsia="Arial" w:hAnsi="Arial" w:cs="Arial"/>
        </w:rPr>
        <w:t xml:space="preserve">a comprehensive transition plan </w:t>
      </w:r>
      <w:r>
        <w:rPr>
          <w:rFonts w:ascii="Arial" w:eastAsia="Arial" w:hAnsi="Arial" w:cs="Arial"/>
        </w:rPr>
        <w:t xml:space="preserve">in </w:t>
      </w:r>
      <w:r w:rsidRPr="00882733">
        <w:rPr>
          <w:rFonts w:ascii="Arial" w:eastAsia="Arial" w:hAnsi="Arial" w:cs="Arial"/>
        </w:rPr>
        <w:t>preparation for the move.</w:t>
      </w:r>
    </w:p>
    <w:p w14:paraId="2703F218" w14:textId="77777777" w:rsidR="00882733" w:rsidRDefault="00882733" w:rsidP="00190084">
      <w:pPr>
        <w:pStyle w:val="ListParagraph"/>
        <w:numPr>
          <w:ilvl w:val="0"/>
          <w:numId w:val="94"/>
        </w:numPr>
        <w:rPr>
          <w:rFonts w:ascii="Arial" w:eastAsia="Arial" w:hAnsi="Arial" w:cs="Arial"/>
        </w:rPr>
      </w:pPr>
      <w:r>
        <w:rPr>
          <w:rFonts w:ascii="Arial" w:eastAsia="Arial" w:hAnsi="Arial" w:cs="Arial"/>
        </w:rPr>
        <w:t>Accept all of the recommendations for ensuring the design promotes health equality.</w:t>
      </w:r>
    </w:p>
    <w:p w14:paraId="5D6B38E4" w14:textId="0EB321A2" w:rsidR="00E47761" w:rsidRDefault="00882733" w:rsidP="00E47761">
      <w:pPr>
        <w:rPr>
          <w:rFonts w:ascii="Arial" w:eastAsia="Arial" w:hAnsi="Arial" w:cs="Arial"/>
        </w:rPr>
      </w:pPr>
      <w:r>
        <w:rPr>
          <w:rFonts w:ascii="Arial" w:eastAsia="Arial" w:hAnsi="Arial" w:cs="Arial"/>
        </w:rPr>
        <w:t xml:space="preserve">The full Moorfields response to the consultation is included at Appendix </w:t>
      </w:r>
      <w:r w:rsidR="00127D77">
        <w:rPr>
          <w:rFonts w:ascii="Arial" w:eastAsia="Arial" w:hAnsi="Arial" w:cs="Arial"/>
        </w:rPr>
        <w:t>3D</w:t>
      </w:r>
      <w:r>
        <w:rPr>
          <w:rFonts w:ascii="Arial" w:eastAsia="Arial" w:hAnsi="Arial" w:cs="Arial"/>
        </w:rPr>
        <w:t>.</w:t>
      </w:r>
    </w:p>
    <w:p w14:paraId="7572692D" w14:textId="409B8ABF" w:rsidR="00882733" w:rsidRDefault="00882733" w:rsidP="00E47761">
      <w:pPr>
        <w:rPr>
          <w:rFonts w:ascii="Arial" w:eastAsia="Arial" w:hAnsi="Arial" w:cs="Arial"/>
        </w:rPr>
      </w:pPr>
    </w:p>
    <w:p w14:paraId="4139E832" w14:textId="77777777" w:rsidR="00882733" w:rsidRPr="00882733" w:rsidRDefault="00E47761" w:rsidP="00882733">
      <w:pPr>
        <w:pStyle w:val="Heading2"/>
        <w:rPr>
          <w:rFonts w:ascii="Arial" w:eastAsia="Arial" w:hAnsi="Arial" w:cs="Arial"/>
        </w:rPr>
      </w:pPr>
      <w:bookmarkStart w:id="161" w:name="_Toc32842700"/>
      <w:r w:rsidRPr="00587DF1">
        <w:rPr>
          <w:rFonts w:ascii="Arial" w:eastAsia="Arial" w:hAnsi="Arial" w:cs="Arial"/>
        </w:rPr>
        <w:t xml:space="preserve">PART C – </w:t>
      </w:r>
      <w:r w:rsidR="00786989" w:rsidRPr="00587DF1">
        <w:rPr>
          <w:rFonts w:ascii="Arial" w:eastAsia="Arial" w:hAnsi="Arial" w:cs="Arial"/>
        </w:rPr>
        <w:t>POTENTIAL BUSINESS</w:t>
      </w:r>
      <w:r w:rsidRPr="00587DF1">
        <w:rPr>
          <w:rFonts w:ascii="Arial" w:eastAsia="Arial" w:hAnsi="Arial" w:cs="Arial"/>
        </w:rPr>
        <w:t xml:space="preserve"> </w:t>
      </w:r>
      <w:r w:rsidR="005C539B" w:rsidRPr="00587DF1">
        <w:rPr>
          <w:rFonts w:ascii="Arial" w:eastAsia="Arial" w:hAnsi="Arial" w:cs="Arial"/>
        </w:rPr>
        <w:t>SCOPE AND KEY SERVICE REQUIREMENTS</w:t>
      </w:r>
      <w:bookmarkEnd w:id="161"/>
    </w:p>
    <w:tbl>
      <w:tblPr>
        <w:tblW w:w="0" w:type="auto"/>
        <w:tblLook w:val="04A0" w:firstRow="1" w:lastRow="0" w:firstColumn="1" w:lastColumn="0" w:noHBand="0" w:noVBand="1"/>
      </w:tblPr>
      <w:tblGrid>
        <w:gridCol w:w="9016"/>
      </w:tblGrid>
      <w:tr w:rsidR="00882733" w:rsidRPr="00587DF1" w14:paraId="2C062C7D" w14:textId="77777777" w:rsidTr="00FC34DB">
        <w:tc>
          <w:tcPr>
            <w:tcW w:w="9016" w:type="dxa"/>
            <w:tcBorders>
              <w:top w:val="single" w:sz="4" w:space="0" w:color="00A09D"/>
              <w:left w:val="single" w:sz="4" w:space="0" w:color="00A09D"/>
              <w:bottom w:val="single" w:sz="4" w:space="0" w:color="00A09D"/>
              <w:right w:val="single" w:sz="4" w:space="0" w:color="00A09D"/>
            </w:tcBorders>
            <w:shd w:val="clear" w:color="auto" w:fill="DEECEF"/>
          </w:tcPr>
          <w:p w14:paraId="058AD4AD" w14:textId="52D9959B" w:rsidR="00882733" w:rsidRPr="00587DF1" w:rsidRDefault="00882733" w:rsidP="00FC34DB">
            <w:pPr>
              <w:rPr>
                <w:rFonts w:ascii="Arial" w:hAnsi="Arial" w:cs="Arial"/>
                <w:b/>
                <w:bCs/>
                <w:color w:val="00A09D"/>
              </w:rPr>
            </w:pPr>
            <w:r w:rsidRPr="00882733">
              <w:rPr>
                <w:rFonts w:ascii="Arial" w:hAnsi="Arial" w:cs="Arial"/>
                <w:b/>
                <w:bCs/>
                <w:color w:val="00A09D"/>
              </w:rPr>
              <w:t>Potential business scope and key service requirements</w:t>
            </w:r>
            <w:r>
              <w:rPr>
                <w:rFonts w:ascii="Arial" w:hAnsi="Arial" w:cs="Arial"/>
                <w:b/>
                <w:bCs/>
                <w:color w:val="00A09D"/>
              </w:rPr>
              <w:t xml:space="preserve"> </w:t>
            </w:r>
            <w:r w:rsidRPr="00587DF1">
              <w:rPr>
                <w:rFonts w:ascii="Arial" w:hAnsi="Arial" w:cs="Arial"/>
                <w:b/>
                <w:bCs/>
                <w:color w:val="00A09D"/>
              </w:rPr>
              <w:t xml:space="preserve">– </w:t>
            </w:r>
            <w:r w:rsidR="0025699F">
              <w:rPr>
                <w:rFonts w:ascii="Arial" w:hAnsi="Arial" w:cs="Arial"/>
                <w:b/>
                <w:bCs/>
                <w:color w:val="00A09D"/>
              </w:rPr>
              <w:t>section</w:t>
            </w:r>
            <w:r w:rsidRPr="00587DF1">
              <w:rPr>
                <w:rFonts w:ascii="Arial" w:hAnsi="Arial" w:cs="Arial"/>
                <w:b/>
                <w:bCs/>
                <w:color w:val="00A09D"/>
              </w:rPr>
              <w:t xml:space="preserve"> summary</w:t>
            </w:r>
          </w:p>
          <w:p w14:paraId="3A0DABD1" w14:textId="33E68079" w:rsidR="00882733" w:rsidRDefault="00882733" w:rsidP="00FC34DB">
            <w:pPr>
              <w:rPr>
                <w:rFonts w:ascii="Arial" w:hAnsi="Arial" w:cs="Arial"/>
              </w:rPr>
            </w:pPr>
            <w:r>
              <w:rPr>
                <w:rFonts w:ascii="Arial" w:hAnsi="Arial" w:cs="Arial"/>
              </w:rPr>
              <w:t xml:space="preserve">Having established the case for change, this </w:t>
            </w:r>
            <w:r w:rsidR="00FF6E56">
              <w:rPr>
                <w:rFonts w:ascii="Arial" w:hAnsi="Arial" w:cs="Arial"/>
              </w:rPr>
              <w:t>section</w:t>
            </w:r>
            <w:r>
              <w:rPr>
                <w:rFonts w:ascii="Arial" w:hAnsi="Arial" w:cs="Arial"/>
              </w:rPr>
              <w:t xml:space="preserve"> summarises:</w:t>
            </w:r>
          </w:p>
          <w:p w14:paraId="398548E4" w14:textId="77777777" w:rsidR="00882733" w:rsidRDefault="00882733" w:rsidP="00190084">
            <w:pPr>
              <w:pStyle w:val="ListParagraph"/>
              <w:numPr>
                <w:ilvl w:val="0"/>
                <w:numId w:val="96"/>
              </w:numPr>
              <w:rPr>
                <w:rFonts w:ascii="Arial" w:hAnsi="Arial" w:cs="Arial"/>
              </w:rPr>
            </w:pPr>
            <w:r>
              <w:rPr>
                <w:rFonts w:ascii="Arial" w:hAnsi="Arial" w:cs="Arial"/>
              </w:rPr>
              <w:t>The scope of Oriel, including core, desirable and optional deliverables.</w:t>
            </w:r>
          </w:p>
          <w:p w14:paraId="494A361C" w14:textId="77777777" w:rsidR="00882733" w:rsidRDefault="00882733" w:rsidP="00190084">
            <w:pPr>
              <w:pStyle w:val="ListParagraph"/>
              <w:numPr>
                <w:ilvl w:val="0"/>
                <w:numId w:val="96"/>
              </w:numPr>
              <w:rPr>
                <w:rFonts w:ascii="Arial" w:hAnsi="Arial" w:cs="Arial"/>
              </w:rPr>
            </w:pPr>
            <w:r>
              <w:rPr>
                <w:rFonts w:ascii="Arial" w:hAnsi="Arial" w:cs="Arial"/>
              </w:rPr>
              <w:t>The main benefits of Oriel.</w:t>
            </w:r>
          </w:p>
          <w:p w14:paraId="3F0A9D80" w14:textId="77777777" w:rsidR="00882733" w:rsidRDefault="00882733" w:rsidP="00190084">
            <w:pPr>
              <w:pStyle w:val="ListParagraph"/>
              <w:numPr>
                <w:ilvl w:val="0"/>
                <w:numId w:val="96"/>
              </w:numPr>
              <w:rPr>
                <w:rFonts w:ascii="Arial" w:hAnsi="Arial" w:cs="Arial"/>
              </w:rPr>
            </w:pPr>
            <w:r>
              <w:rPr>
                <w:rFonts w:ascii="Arial" w:hAnsi="Arial" w:cs="Arial"/>
              </w:rPr>
              <w:t>The main risks to project delivery.</w:t>
            </w:r>
          </w:p>
          <w:p w14:paraId="1548FC5D" w14:textId="77777777" w:rsidR="00882733" w:rsidRPr="00882733" w:rsidRDefault="009C1357" w:rsidP="00190084">
            <w:pPr>
              <w:pStyle w:val="ListParagraph"/>
              <w:numPr>
                <w:ilvl w:val="0"/>
                <w:numId w:val="96"/>
              </w:numPr>
              <w:rPr>
                <w:rFonts w:ascii="Arial" w:hAnsi="Arial" w:cs="Arial"/>
              </w:rPr>
            </w:pPr>
            <w:r>
              <w:rPr>
                <w:rFonts w:ascii="Arial" w:hAnsi="Arial" w:cs="Arial"/>
              </w:rPr>
              <w:t>The project’s constraints and dependencies.</w:t>
            </w:r>
          </w:p>
        </w:tc>
      </w:tr>
    </w:tbl>
    <w:p w14:paraId="03E593CD" w14:textId="77777777" w:rsidR="00E47761" w:rsidRPr="00587DF1" w:rsidRDefault="00E47761" w:rsidP="00E47761">
      <w:pPr>
        <w:spacing w:after="0" w:line="240" w:lineRule="auto"/>
        <w:rPr>
          <w:rFonts w:ascii="Arial" w:eastAsia="Arial" w:hAnsi="Arial" w:cs="Arial"/>
        </w:rPr>
      </w:pPr>
    </w:p>
    <w:p w14:paraId="1963D187" w14:textId="77777777" w:rsidR="00E47761" w:rsidRPr="00587DF1" w:rsidRDefault="00E47761" w:rsidP="005E0D57">
      <w:pPr>
        <w:pStyle w:val="Heading2"/>
        <w:numPr>
          <w:ilvl w:val="1"/>
          <w:numId w:val="1"/>
        </w:numPr>
        <w:rPr>
          <w:rFonts w:ascii="Arial" w:hAnsi="Arial" w:cs="Arial"/>
        </w:rPr>
      </w:pPr>
      <w:bookmarkStart w:id="162" w:name="_Toc32842701"/>
      <w:r w:rsidRPr="00587DF1">
        <w:rPr>
          <w:rFonts w:ascii="Arial" w:eastAsia="Arial" w:hAnsi="Arial" w:cs="Arial"/>
        </w:rPr>
        <w:t>Oriel scope and deliverables</w:t>
      </w:r>
      <w:bookmarkEnd w:id="162"/>
    </w:p>
    <w:p w14:paraId="2569E869" w14:textId="77777777" w:rsidR="00E47761" w:rsidRPr="00587DF1" w:rsidRDefault="00E47761" w:rsidP="00E47761">
      <w:pPr>
        <w:spacing w:after="0" w:line="240" w:lineRule="auto"/>
        <w:rPr>
          <w:rFonts w:ascii="Arial" w:eastAsia="Arial" w:hAnsi="Arial" w:cs="Arial"/>
          <w:b/>
        </w:rPr>
      </w:pPr>
    </w:p>
    <w:p w14:paraId="6B05B8BE" w14:textId="77777777" w:rsidR="00E47761" w:rsidRPr="00587DF1" w:rsidRDefault="00E47761" w:rsidP="005E0D57">
      <w:pPr>
        <w:numPr>
          <w:ilvl w:val="2"/>
          <w:numId w:val="1"/>
        </w:numPr>
        <w:pBdr>
          <w:top w:val="nil"/>
          <w:left w:val="nil"/>
          <w:bottom w:val="nil"/>
          <w:right w:val="nil"/>
          <w:between w:val="nil"/>
        </w:pBdr>
        <w:spacing w:after="0" w:line="240" w:lineRule="auto"/>
        <w:ind w:left="567" w:hanging="567"/>
        <w:jc w:val="both"/>
        <w:rPr>
          <w:rFonts w:ascii="Arial" w:eastAsia="Arial" w:hAnsi="Arial" w:cs="Arial"/>
          <w:color w:val="000000"/>
        </w:rPr>
      </w:pPr>
      <w:r w:rsidRPr="00587DF1">
        <w:rPr>
          <w:rFonts w:ascii="Arial" w:eastAsia="Arial" w:hAnsi="Arial" w:cs="Arial"/>
          <w:b/>
          <w:color w:val="000000"/>
        </w:rPr>
        <w:t>Scope of Oriel</w:t>
      </w:r>
    </w:p>
    <w:p w14:paraId="558D3E7E" w14:textId="77777777" w:rsidR="00E47761" w:rsidRPr="00587DF1" w:rsidRDefault="00E47761" w:rsidP="00E47761">
      <w:pPr>
        <w:spacing w:after="0" w:line="240" w:lineRule="auto"/>
        <w:rPr>
          <w:rFonts w:ascii="Arial" w:eastAsia="Arial" w:hAnsi="Arial" w:cs="Arial"/>
        </w:rPr>
      </w:pPr>
    </w:p>
    <w:p w14:paraId="26A35027" w14:textId="77777777" w:rsidR="00786989" w:rsidRPr="00587DF1" w:rsidRDefault="00786989" w:rsidP="00786989">
      <w:pPr>
        <w:spacing w:after="0"/>
        <w:rPr>
          <w:rFonts w:ascii="Arial" w:eastAsia="Arial" w:hAnsi="Arial" w:cs="Arial"/>
        </w:rPr>
      </w:pPr>
      <w:r w:rsidRPr="00587DF1">
        <w:rPr>
          <w:rFonts w:ascii="Arial" w:eastAsia="Arial" w:hAnsi="Arial" w:cs="Arial"/>
        </w:rPr>
        <w:lastRenderedPageBreak/>
        <w:t xml:space="preserve">The </w:t>
      </w:r>
      <w:r w:rsidRPr="00587DF1">
        <w:rPr>
          <w:rFonts w:ascii="Arial" w:eastAsia="Arial" w:hAnsi="Arial" w:cs="Arial"/>
          <w:b/>
          <w:bCs/>
        </w:rPr>
        <w:t>core</w:t>
      </w:r>
      <w:r w:rsidRPr="00587DF1">
        <w:rPr>
          <w:rFonts w:ascii="Arial" w:eastAsia="Arial" w:hAnsi="Arial" w:cs="Arial"/>
        </w:rPr>
        <w:t xml:space="preserve"> deliverables and essential changes, without which the project will not be judged a success are:</w:t>
      </w:r>
    </w:p>
    <w:p w14:paraId="62469C9E" w14:textId="77777777" w:rsidR="00786989" w:rsidRPr="00587DF1" w:rsidRDefault="00786989" w:rsidP="005E0D57">
      <w:pPr>
        <w:pStyle w:val="ListParagraph"/>
        <w:numPr>
          <w:ilvl w:val="0"/>
          <w:numId w:val="62"/>
        </w:numPr>
        <w:spacing w:after="0"/>
        <w:rPr>
          <w:rFonts w:ascii="Arial" w:eastAsia="Arial" w:hAnsi="Arial" w:cs="Arial"/>
        </w:rPr>
      </w:pPr>
      <w:r w:rsidRPr="00587DF1">
        <w:rPr>
          <w:rFonts w:ascii="Arial" w:eastAsia="Arial" w:hAnsi="Arial" w:cs="Arial"/>
        </w:rPr>
        <w:t>Improved wayfinding within the building and patient environment, as advised by patient advisory groups</w:t>
      </w:r>
      <w:r w:rsidR="006C41FE" w:rsidRPr="00587DF1">
        <w:rPr>
          <w:rFonts w:ascii="Arial" w:eastAsia="Arial" w:hAnsi="Arial" w:cs="Arial"/>
        </w:rPr>
        <w:t>.</w:t>
      </w:r>
    </w:p>
    <w:p w14:paraId="49F338EF" w14:textId="77777777" w:rsidR="00786989" w:rsidRPr="00587DF1" w:rsidRDefault="00786989" w:rsidP="005E0D57">
      <w:pPr>
        <w:pStyle w:val="ListParagraph"/>
        <w:numPr>
          <w:ilvl w:val="0"/>
          <w:numId w:val="62"/>
        </w:numPr>
        <w:spacing w:after="0"/>
        <w:rPr>
          <w:rFonts w:ascii="Arial" w:eastAsia="Arial" w:hAnsi="Arial" w:cs="Arial"/>
        </w:rPr>
      </w:pPr>
      <w:r w:rsidRPr="00587DF1">
        <w:rPr>
          <w:rFonts w:ascii="Arial" w:eastAsia="Arial" w:hAnsi="Arial" w:cs="Arial"/>
        </w:rPr>
        <w:t xml:space="preserve">Outpatients, including diagnostics and imaging, patient support services such as counselling, advice and guidance, with separation for </w:t>
      </w:r>
      <w:r w:rsidR="00F3525B" w:rsidRPr="00587DF1">
        <w:rPr>
          <w:rFonts w:ascii="Arial" w:eastAsia="Arial" w:hAnsi="Arial" w:cs="Arial"/>
          <w:bCs/>
          <w:color w:val="000000"/>
        </w:rPr>
        <w:t>children and young people</w:t>
      </w:r>
      <w:r w:rsidR="006C41FE" w:rsidRPr="00587DF1">
        <w:rPr>
          <w:rFonts w:ascii="Arial" w:eastAsia="Arial" w:hAnsi="Arial" w:cs="Arial"/>
        </w:rPr>
        <w:t>.</w:t>
      </w:r>
    </w:p>
    <w:p w14:paraId="12DBF302" w14:textId="77777777" w:rsidR="00786989" w:rsidRPr="00587DF1" w:rsidRDefault="00786989" w:rsidP="005E0D57">
      <w:pPr>
        <w:pStyle w:val="ListParagraph"/>
        <w:numPr>
          <w:ilvl w:val="0"/>
          <w:numId w:val="62"/>
        </w:numPr>
        <w:spacing w:after="0"/>
        <w:rPr>
          <w:rFonts w:ascii="Arial" w:eastAsia="Arial" w:hAnsi="Arial" w:cs="Arial"/>
        </w:rPr>
      </w:pPr>
      <w:r w:rsidRPr="00587DF1">
        <w:rPr>
          <w:rFonts w:ascii="Arial" w:eastAsia="Arial" w:hAnsi="Arial" w:cs="Arial"/>
        </w:rPr>
        <w:t>Accident and Emergency department, open 24 hours a day with urgent care and rapid access pathways for non-emergency patients</w:t>
      </w:r>
      <w:r w:rsidR="006C41FE" w:rsidRPr="00587DF1">
        <w:rPr>
          <w:rFonts w:ascii="Arial" w:eastAsia="Arial" w:hAnsi="Arial" w:cs="Arial"/>
        </w:rPr>
        <w:t>.</w:t>
      </w:r>
    </w:p>
    <w:p w14:paraId="1B064076" w14:textId="77777777" w:rsidR="00786989" w:rsidRPr="00587DF1" w:rsidRDefault="00786989" w:rsidP="005E0D57">
      <w:pPr>
        <w:pStyle w:val="ListParagraph"/>
        <w:numPr>
          <w:ilvl w:val="0"/>
          <w:numId w:val="62"/>
        </w:numPr>
        <w:spacing w:after="0"/>
        <w:rPr>
          <w:rFonts w:ascii="Arial" w:eastAsia="Arial" w:hAnsi="Arial" w:cs="Arial"/>
        </w:rPr>
      </w:pPr>
      <w:r w:rsidRPr="00587DF1">
        <w:rPr>
          <w:rFonts w:ascii="Arial" w:eastAsia="Arial" w:hAnsi="Arial" w:cs="Arial"/>
        </w:rPr>
        <w:t>Theatres for primarily day-case patients, with limited inpatient beds for patients requiring overnight observation</w:t>
      </w:r>
      <w:r w:rsidR="006C41FE" w:rsidRPr="00587DF1">
        <w:rPr>
          <w:rFonts w:ascii="Arial" w:eastAsia="Arial" w:hAnsi="Arial" w:cs="Arial"/>
        </w:rPr>
        <w:t>.</w:t>
      </w:r>
    </w:p>
    <w:p w14:paraId="59E3B333" w14:textId="77777777" w:rsidR="00786989" w:rsidRPr="00587DF1" w:rsidRDefault="00786989" w:rsidP="005E0D57">
      <w:pPr>
        <w:pStyle w:val="ListParagraph"/>
        <w:numPr>
          <w:ilvl w:val="0"/>
          <w:numId w:val="62"/>
        </w:numPr>
        <w:spacing w:after="0"/>
        <w:rPr>
          <w:rFonts w:ascii="Arial" w:eastAsia="Arial" w:hAnsi="Arial" w:cs="Arial"/>
        </w:rPr>
      </w:pPr>
      <w:r w:rsidRPr="00587DF1">
        <w:rPr>
          <w:rFonts w:ascii="Arial" w:eastAsia="Arial" w:hAnsi="Arial" w:cs="Arial"/>
        </w:rPr>
        <w:t>Research facilities including laboratories, Biological Research Unit (BRU) and eye bank</w:t>
      </w:r>
      <w:r w:rsidR="006C41FE" w:rsidRPr="00587DF1">
        <w:rPr>
          <w:rFonts w:ascii="Arial" w:eastAsia="Arial" w:hAnsi="Arial" w:cs="Arial"/>
        </w:rPr>
        <w:t>.</w:t>
      </w:r>
    </w:p>
    <w:p w14:paraId="0F5E9E8C" w14:textId="77777777" w:rsidR="00786989" w:rsidRDefault="00786989" w:rsidP="005E0D57">
      <w:pPr>
        <w:pStyle w:val="ListParagraph"/>
        <w:numPr>
          <w:ilvl w:val="0"/>
          <w:numId w:val="62"/>
        </w:numPr>
        <w:spacing w:after="0"/>
        <w:rPr>
          <w:rFonts w:ascii="Arial" w:eastAsia="Arial" w:hAnsi="Arial" w:cs="Arial"/>
        </w:rPr>
      </w:pPr>
      <w:r w:rsidRPr="00587DF1">
        <w:rPr>
          <w:rFonts w:ascii="Arial" w:eastAsia="Arial" w:hAnsi="Arial" w:cs="Arial"/>
        </w:rPr>
        <w:t>Education facilities including seminar and teaching rooms, library and skills lab</w:t>
      </w:r>
      <w:r w:rsidR="006C41FE" w:rsidRPr="00587DF1">
        <w:rPr>
          <w:rFonts w:ascii="Arial" w:eastAsia="Arial" w:hAnsi="Arial" w:cs="Arial"/>
        </w:rPr>
        <w:t>.</w:t>
      </w:r>
    </w:p>
    <w:p w14:paraId="3BF50D5E" w14:textId="77777777" w:rsidR="00312C4C" w:rsidRPr="00587DF1" w:rsidRDefault="00312C4C" w:rsidP="005E0D57">
      <w:pPr>
        <w:pStyle w:val="ListParagraph"/>
        <w:numPr>
          <w:ilvl w:val="0"/>
          <w:numId w:val="62"/>
        </w:numPr>
        <w:spacing w:after="0"/>
        <w:rPr>
          <w:rFonts w:ascii="Arial" w:eastAsia="Arial" w:hAnsi="Arial" w:cs="Arial"/>
        </w:rPr>
      </w:pPr>
      <w:r>
        <w:rPr>
          <w:rFonts w:ascii="Arial" w:eastAsia="Arial" w:hAnsi="Arial" w:cs="Arial"/>
        </w:rPr>
        <w:t>Joint working and collaboration space.</w:t>
      </w:r>
    </w:p>
    <w:p w14:paraId="430EA4F1" w14:textId="77777777" w:rsidR="00786989" w:rsidRPr="00587DF1" w:rsidRDefault="00786989" w:rsidP="005E0D57">
      <w:pPr>
        <w:pStyle w:val="ListParagraph"/>
        <w:numPr>
          <w:ilvl w:val="0"/>
          <w:numId w:val="62"/>
        </w:numPr>
        <w:spacing w:after="0"/>
        <w:rPr>
          <w:rFonts w:ascii="Arial" w:eastAsia="Arial" w:hAnsi="Arial" w:cs="Arial"/>
        </w:rPr>
      </w:pPr>
      <w:r w:rsidRPr="00587DF1">
        <w:rPr>
          <w:rFonts w:ascii="Arial" w:eastAsia="Arial" w:hAnsi="Arial" w:cs="Arial"/>
        </w:rPr>
        <w:t>Shared support spaces including pharmacy, FM and the main entrance</w:t>
      </w:r>
      <w:r w:rsidR="006C41FE" w:rsidRPr="00587DF1">
        <w:rPr>
          <w:rFonts w:ascii="Arial" w:eastAsia="Arial" w:hAnsi="Arial" w:cs="Arial"/>
        </w:rPr>
        <w:t>.</w:t>
      </w:r>
    </w:p>
    <w:p w14:paraId="23DA8A91" w14:textId="77777777" w:rsidR="006C41FE" w:rsidRPr="00587DF1" w:rsidRDefault="006C41FE" w:rsidP="006C41FE">
      <w:pPr>
        <w:spacing w:after="0"/>
        <w:rPr>
          <w:rFonts w:ascii="Arial" w:eastAsia="Arial" w:hAnsi="Arial" w:cs="Arial"/>
        </w:rPr>
      </w:pPr>
      <w:r w:rsidRPr="00587DF1">
        <w:rPr>
          <w:rFonts w:ascii="Arial" w:eastAsia="Arial" w:hAnsi="Arial" w:cs="Arial"/>
        </w:rPr>
        <w:t xml:space="preserve">The </w:t>
      </w:r>
      <w:r w:rsidRPr="00587DF1">
        <w:rPr>
          <w:rFonts w:ascii="Arial" w:eastAsia="Arial" w:hAnsi="Arial" w:cs="Arial"/>
          <w:b/>
          <w:bCs/>
        </w:rPr>
        <w:t>desirable</w:t>
      </w:r>
      <w:r w:rsidRPr="00587DF1">
        <w:rPr>
          <w:rFonts w:ascii="Arial" w:eastAsia="Arial" w:hAnsi="Arial" w:cs="Arial"/>
        </w:rPr>
        <w:t xml:space="preserve"> deliverables which may be justified on a value for money basis are:</w:t>
      </w:r>
    </w:p>
    <w:p w14:paraId="1202AE6D" w14:textId="77777777" w:rsidR="006C41FE" w:rsidRPr="00587DF1" w:rsidRDefault="006C41FE" w:rsidP="005E0D57">
      <w:pPr>
        <w:pStyle w:val="ListParagraph"/>
        <w:numPr>
          <w:ilvl w:val="0"/>
          <w:numId w:val="62"/>
        </w:numPr>
        <w:spacing w:after="0"/>
        <w:rPr>
          <w:rFonts w:ascii="Arial" w:eastAsia="Arial" w:hAnsi="Arial" w:cs="Arial"/>
        </w:rPr>
      </w:pPr>
      <w:r w:rsidRPr="00587DF1">
        <w:rPr>
          <w:rFonts w:ascii="Arial" w:eastAsia="Arial" w:hAnsi="Arial" w:cs="Arial"/>
        </w:rPr>
        <w:t>Expanded private patients, research and education.</w:t>
      </w:r>
    </w:p>
    <w:p w14:paraId="0BEA4598" w14:textId="77777777" w:rsidR="006C41FE" w:rsidRPr="00587DF1" w:rsidRDefault="006C41FE" w:rsidP="005E0D57">
      <w:pPr>
        <w:pStyle w:val="ListParagraph"/>
        <w:numPr>
          <w:ilvl w:val="0"/>
          <w:numId w:val="62"/>
        </w:numPr>
        <w:spacing w:after="0"/>
        <w:rPr>
          <w:rFonts w:ascii="Arial" w:eastAsia="Arial" w:hAnsi="Arial" w:cs="Arial"/>
        </w:rPr>
      </w:pPr>
      <w:r w:rsidRPr="00587DF1">
        <w:rPr>
          <w:rFonts w:ascii="Arial" w:eastAsia="Arial" w:hAnsi="Arial" w:cs="Arial"/>
        </w:rPr>
        <w:t>Administration and office space.</w:t>
      </w:r>
    </w:p>
    <w:p w14:paraId="357CA253" w14:textId="77777777" w:rsidR="006C41FE" w:rsidRPr="00587DF1" w:rsidRDefault="006C41FE" w:rsidP="005E0D57">
      <w:pPr>
        <w:pStyle w:val="ListParagraph"/>
        <w:numPr>
          <w:ilvl w:val="0"/>
          <w:numId w:val="62"/>
        </w:numPr>
        <w:spacing w:after="0"/>
        <w:rPr>
          <w:rFonts w:ascii="Arial" w:eastAsia="Arial" w:hAnsi="Arial" w:cs="Arial"/>
        </w:rPr>
      </w:pPr>
      <w:r w:rsidRPr="00587DF1">
        <w:rPr>
          <w:rFonts w:ascii="Arial" w:eastAsia="Arial" w:hAnsi="Arial" w:cs="Arial"/>
        </w:rPr>
        <w:t>Retail space, which would generate a revenue stream for the trust.</w:t>
      </w:r>
    </w:p>
    <w:p w14:paraId="096C1648" w14:textId="77777777" w:rsidR="006C41FE" w:rsidRPr="00587DF1" w:rsidRDefault="006C41FE" w:rsidP="006C41FE">
      <w:pPr>
        <w:spacing w:after="0"/>
        <w:rPr>
          <w:rFonts w:ascii="Arial" w:eastAsia="Arial" w:hAnsi="Arial" w:cs="Arial"/>
        </w:rPr>
      </w:pPr>
      <w:r w:rsidRPr="00587DF1">
        <w:rPr>
          <w:rFonts w:ascii="Arial" w:eastAsia="Arial" w:hAnsi="Arial" w:cs="Arial"/>
        </w:rPr>
        <w:t>The</w:t>
      </w:r>
      <w:r w:rsidRPr="00587DF1">
        <w:rPr>
          <w:rFonts w:ascii="Arial" w:eastAsia="Arial" w:hAnsi="Arial" w:cs="Arial"/>
          <w:b/>
          <w:bCs/>
        </w:rPr>
        <w:t xml:space="preserve"> optional</w:t>
      </w:r>
      <w:r w:rsidRPr="00587DF1">
        <w:rPr>
          <w:rFonts w:ascii="Arial" w:eastAsia="Arial" w:hAnsi="Arial" w:cs="Arial"/>
        </w:rPr>
        <w:t xml:space="preserve"> deliverables which may be justified on a value for money basis are:</w:t>
      </w:r>
    </w:p>
    <w:p w14:paraId="129F909D" w14:textId="77777777" w:rsidR="006C41FE" w:rsidRPr="00587DF1" w:rsidRDefault="006C41FE" w:rsidP="005E0D57">
      <w:pPr>
        <w:pStyle w:val="ListParagraph"/>
        <w:numPr>
          <w:ilvl w:val="0"/>
          <w:numId w:val="62"/>
        </w:numPr>
        <w:spacing w:after="0"/>
        <w:rPr>
          <w:rFonts w:ascii="Arial" w:hAnsi="Arial" w:cs="Arial"/>
        </w:rPr>
      </w:pPr>
      <w:r w:rsidRPr="00587DF1">
        <w:rPr>
          <w:rFonts w:ascii="Arial" w:hAnsi="Arial" w:cs="Arial"/>
        </w:rPr>
        <w:t>Expanded revenue-generation such as additional private patient capacity.</w:t>
      </w:r>
    </w:p>
    <w:p w14:paraId="0E7BA351" w14:textId="77777777" w:rsidR="00786989" w:rsidRPr="00587DF1" w:rsidRDefault="00786989" w:rsidP="00786989">
      <w:pPr>
        <w:autoSpaceDE w:val="0"/>
        <w:autoSpaceDN w:val="0"/>
        <w:adjustRightInd w:val="0"/>
        <w:spacing w:after="0" w:line="240" w:lineRule="auto"/>
        <w:rPr>
          <w:rFonts w:ascii="Arial" w:hAnsi="Arial" w:cs="Arial"/>
          <w:color w:val="000000"/>
          <w:sz w:val="24"/>
          <w:szCs w:val="24"/>
        </w:rPr>
      </w:pPr>
    </w:p>
    <w:p w14:paraId="38350A75" w14:textId="62BA72F5" w:rsidR="00D514F3" w:rsidRPr="00587DF1" w:rsidRDefault="00D514F3" w:rsidP="00E47761">
      <w:pPr>
        <w:spacing w:after="0"/>
        <w:rPr>
          <w:rFonts w:ascii="Arial" w:eastAsia="Arial" w:hAnsi="Arial" w:cs="Arial"/>
        </w:rPr>
      </w:pPr>
      <w:r w:rsidRPr="00587DF1">
        <w:rPr>
          <w:rFonts w:ascii="Arial" w:eastAsia="Arial" w:hAnsi="Arial" w:cs="Arial"/>
        </w:rPr>
        <w:t xml:space="preserve">The </w:t>
      </w:r>
      <w:r w:rsidRPr="00587DF1">
        <w:rPr>
          <w:rFonts w:ascii="Arial" w:eastAsia="Arial" w:hAnsi="Arial" w:cs="Arial"/>
          <w:b/>
          <w:bCs/>
        </w:rPr>
        <w:t xml:space="preserve">preferred </w:t>
      </w:r>
      <w:r w:rsidR="002936CF">
        <w:rPr>
          <w:rFonts w:ascii="Arial" w:eastAsia="Arial" w:hAnsi="Arial" w:cs="Arial"/>
          <w:b/>
          <w:bCs/>
        </w:rPr>
        <w:t>option</w:t>
      </w:r>
      <w:r w:rsidRPr="00587DF1">
        <w:rPr>
          <w:rFonts w:ascii="Arial" w:eastAsia="Arial" w:hAnsi="Arial" w:cs="Arial"/>
          <w:b/>
          <w:bCs/>
        </w:rPr>
        <w:t xml:space="preserve"> </w:t>
      </w:r>
      <w:r w:rsidRPr="00587DF1">
        <w:rPr>
          <w:rFonts w:ascii="Arial" w:eastAsia="Arial" w:hAnsi="Arial" w:cs="Arial"/>
        </w:rPr>
        <w:t xml:space="preserve">(as described in section </w:t>
      </w:r>
      <w:r w:rsidR="00FF6E56">
        <w:rPr>
          <w:rFonts w:ascii="Arial" w:eastAsia="Arial" w:hAnsi="Arial" w:cs="Arial"/>
        </w:rPr>
        <w:fldChar w:fldCharType="begin"/>
      </w:r>
      <w:r w:rsidR="00FF6E56">
        <w:rPr>
          <w:rFonts w:ascii="Arial" w:eastAsia="Arial" w:hAnsi="Arial" w:cs="Arial"/>
        </w:rPr>
        <w:instrText xml:space="preserve"> REF _Ref32843226 \r \h </w:instrText>
      </w:r>
      <w:r w:rsidR="00FF6E56">
        <w:rPr>
          <w:rFonts w:ascii="Arial" w:eastAsia="Arial" w:hAnsi="Arial" w:cs="Arial"/>
        </w:rPr>
      </w:r>
      <w:r w:rsidR="00FF6E56">
        <w:rPr>
          <w:rFonts w:ascii="Arial" w:eastAsia="Arial" w:hAnsi="Arial" w:cs="Arial"/>
        </w:rPr>
        <w:fldChar w:fldCharType="separate"/>
      </w:r>
      <w:r w:rsidR="00A936CD">
        <w:rPr>
          <w:rFonts w:ascii="Arial" w:eastAsia="Arial" w:hAnsi="Arial" w:cs="Arial"/>
        </w:rPr>
        <w:t>4.7</w:t>
      </w:r>
      <w:r w:rsidR="00FF6E56">
        <w:rPr>
          <w:rFonts w:ascii="Arial" w:eastAsia="Arial" w:hAnsi="Arial" w:cs="Arial"/>
        </w:rPr>
        <w:fldChar w:fldCharType="end"/>
      </w:r>
      <w:r w:rsidRPr="00587DF1">
        <w:rPr>
          <w:rFonts w:ascii="Arial" w:eastAsia="Arial" w:hAnsi="Arial" w:cs="Arial"/>
        </w:rPr>
        <w:t>) is to provide these core deliverables from a new 39,500m</w:t>
      </w:r>
      <w:r w:rsidRPr="00FF6E56">
        <w:rPr>
          <w:rFonts w:ascii="Arial" w:eastAsia="Arial" w:hAnsi="Arial" w:cs="Arial"/>
          <w:vertAlign w:val="superscript"/>
        </w:rPr>
        <w:t>2</w:t>
      </w:r>
      <w:r w:rsidRPr="00587DF1">
        <w:rPr>
          <w:rFonts w:ascii="Arial" w:eastAsia="Arial" w:hAnsi="Arial" w:cs="Arial"/>
        </w:rPr>
        <w:t xml:space="preserve"> </w:t>
      </w:r>
      <w:r w:rsidR="00FF6E56">
        <w:rPr>
          <w:rFonts w:ascii="Arial" w:eastAsia="Arial" w:hAnsi="Arial" w:cs="Arial"/>
        </w:rPr>
        <w:t>new build</w:t>
      </w:r>
      <w:r w:rsidRPr="00587DF1">
        <w:rPr>
          <w:rFonts w:ascii="Arial" w:eastAsia="Arial" w:hAnsi="Arial" w:cs="Arial"/>
        </w:rPr>
        <w:t xml:space="preserve"> at St Pancras Hospital. The optional deliverables have been discounted at this stage due to the affordability envelope</w:t>
      </w:r>
      <w:r w:rsidR="00FF6E56">
        <w:rPr>
          <w:rFonts w:ascii="Arial" w:eastAsia="Arial" w:hAnsi="Arial" w:cs="Arial"/>
        </w:rPr>
        <w:t>.</w:t>
      </w:r>
      <w:r w:rsidRPr="00587DF1">
        <w:rPr>
          <w:rFonts w:ascii="Arial" w:eastAsia="Arial" w:hAnsi="Arial" w:cs="Arial"/>
        </w:rPr>
        <w:t xml:space="preserve"> </w:t>
      </w:r>
      <w:r w:rsidR="00FF6E56">
        <w:rPr>
          <w:rFonts w:ascii="Arial" w:eastAsia="Arial" w:hAnsi="Arial" w:cs="Arial"/>
        </w:rPr>
        <w:t>A</w:t>
      </w:r>
      <w:r w:rsidRPr="00587DF1">
        <w:rPr>
          <w:rFonts w:ascii="Arial" w:eastAsia="Arial" w:hAnsi="Arial" w:cs="Arial"/>
        </w:rPr>
        <w:t>dministration space will be provided in a separate bu</w:t>
      </w:r>
      <w:r w:rsidR="009542BD" w:rsidRPr="00587DF1">
        <w:rPr>
          <w:rFonts w:ascii="Arial" w:eastAsia="Arial" w:hAnsi="Arial" w:cs="Arial"/>
        </w:rPr>
        <w:t xml:space="preserve">ilding, which is reflected in the </w:t>
      </w:r>
      <w:r w:rsidR="00236908">
        <w:rPr>
          <w:rFonts w:ascii="Arial" w:eastAsia="Arial" w:hAnsi="Arial" w:cs="Arial"/>
          <w:bCs/>
          <w:color w:val="000000"/>
        </w:rPr>
        <w:t>Finance Case</w:t>
      </w:r>
      <w:r w:rsidR="009542BD" w:rsidRPr="00587DF1">
        <w:rPr>
          <w:rFonts w:ascii="Arial" w:eastAsia="Arial" w:hAnsi="Arial" w:cs="Arial"/>
        </w:rPr>
        <w:t>.</w:t>
      </w:r>
    </w:p>
    <w:p w14:paraId="65DEEE89" w14:textId="77777777" w:rsidR="00D514F3" w:rsidRPr="00587DF1" w:rsidRDefault="00D514F3" w:rsidP="00E47761">
      <w:pPr>
        <w:spacing w:after="0"/>
        <w:rPr>
          <w:rFonts w:ascii="Arial" w:eastAsia="Arial" w:hAnsi="Arial" w:cs="Arial"/>
        </w:rPr>
      </w:pPr>
    </w:p>
    <w:p w14:paraId="3471FB47" w14:textId="5EB084DC" w:rsidR="00E47761" w:rsidRPr="00587DF1" w:rsidRDefault="00E47761" w:rsidP="00E47761">
      <w:pPr>
        <w:spacing w:after="0"/>
        <w:rPr>
          <w:rFonts w:ascii="Arial" w:eastAsia="Arial" w:hAnsi="Arial" w:cs="Arial"/>
        </w:rPr>
      </w:pPr>
      <w:r w:rsidRPr="00587DF1">
        <w:rPr>
          <w:rFonts w:ascii="Arial" w:eastAsia="Arial" w:hAnsi="Arial" w:cs="Arial"/>
        </w:rPr>
        <w:t xml:space="preserve">Key </w:t>
      </w:r>
      <w:r w:rsidRPr="00587DF1">
        <w:rPr>
          <w:rFonts w:ascii="Arial" w:eastAsia="Arial" w:hAnsi="Arial" w:cs="Arial"/>
          <w:b/>
          <w:bCs/>
        </w:rPr>
        <w:t>enablers</w:t>
      </w:r>
      <w:r w:rsidRPr="00587DF1">
        <w:rPr>
          <w:rFonts w:ascii="Arial" w:eastAsia="Arial" w:hAnsi="Arial" w:cs="Arial"/>
        </w:rPr>
        <w:t xml:space="preserve"> to this are</w:t>
      </w:r>
      <w:r w:rsidR="00DD2C20">
        <w:rPr>
          <w:rFonts w:ascii="Arial" w:eastAsia="Arial" w:hAnsi="Arial" w:cs="Arial"/>
        </w:rPr>
        <w:t>:</w:t>
      </w:r>
    </w:p>
    <w:p w14:paraId="13C18FCA" w14:textId="70C07A67" w:rsidR="00E47761" w:rsidRDefault="00E47761" w:rsidP="005E0D57">
      <w:pPr>
        <w:pStyle w:val="ListParagraph"/>
        <w:numPr>
          <w:ilvl w:val="0"/>
          <w:numId w:val="6"/>
        </w:numPr>
        <w:spacing w:after="0"/>
        <w:rPr>
          <w:rFonts w:ascii="Arial" w:eastAsia="Arial" w:hAnsi="Arial" w:cs="Arial"/>
        </w:rPr>
      </w:pPr>
      <w:r w:rsidRPr="00587DF1">
        <w:rPr>
          <w:rFonts w:ascii="Arial" w:eastAsia="Arial" w:hAnsi="Arial" w:cs="Arial"/>
        </w:rPr>
        <w:t xml:space="preserve">The purchase of </w:t>
      </w:r>
      <w:r w:rsidR="00851E21" w:rsidRPr="00587DF1">
        <w:rPr>
          <w:rFonts w:ascii="Arial" w:eastAsia="Arial" w:hAnsi="Arial" w:cs="Arial"/>
        </w:rPr>
        <w:t>two</w:t>
      </w:r>
      <w:r w:rsidRPr="00587DF1">
        <w:rPr>
          <w:rFonts w:ascii="Arial" w:eastAsia="Arial" w:hAnsi="Arial" w:cs="Arial"/>
        </w:rPr>
        <w:t xml:space="preserve"> acres of land from </w:t>
      </w:r>
      <w:r w:rsidR="00407487" w:rsidRPr="00587DF1">
        <w:rPr>
          <w:rFonts w:ascii="Arial" w:eastAsia="Arial" w:hAnsi="Arial" w:cs="Arial"/>
        </w:rPr>
        <w:t>Camden and Islington NHS</w:t>
      </w:r>
      <w:r w:rsidR="00312C4C">
        <w:rPr>
          <w:rFonts w:ascii="Arial" w:eastAsia="Arial" w:hAnsi="Arial" w:cs="Arial"/>
        </w:rPr>
        <w:t xml:space="preserve"> </w:t>
      </w:r>
      <w:r w:rsidR="00407487" w:rsidRPr="00587DF1">
        <w:rPr>
          <w:rFonts w:ascii="Arial" w:eastAsia="Arial" w:hAnsi="Arial" w:cs="Arial"/>
        </w:rPr>
        <w:t>F</w:t>
      </w:r>
      <w:r w:rsidR="00312C4C">
        <w:rPr>
          <w:rFonts w:ascii="Arial" w:eastAsia="Arial" w:hAnsi="Arial" w:cs="Arial"/>
        </w:rPr>
        <w:t xml:space="preserve">oundation </w:t>
      </w:r>
      <w:r w:rsidR="00407487" w:rsidRPr="00587DF1">
        <w:rPr>
          <w:rFonts w:ascii="Arial" w:eastAsia="Arial" w:hAnsi="Arial" w:cs="Arial"/>
        </w:rPr>
        <w:t>T</w:t>
      </w:r>
      <w:r w:rsidR="00312C4C">
        <w:rPr>
          <w:rFonts w:ascii="Arial" w:eastAsia="Arial" w:hAnsi="Arial" w:cs="Arial"/>
        </w:rPr>
        <w:t>rust</w:t>
      </w:r>
      <w:r w:rsidRPr="00587DF1">
        <w:rPr>
          <w:rFonts w:ascii="Arial" w:eastAsia="Arial" w:hAnsi="Arial" w:cs="Arial"/>
        </w:rPr>
        <w:t xml:space="preserve"> for the new building</w:t>
      </w:r>
      <w:r w:rsidR="00DD2C20">
        <w:rPr>
          <w:rFonts w:ascii="Arial" w:eastAsia="Arial" w:hAnsi="Arial" w:cs="Arial"/>
        </w:rPr>
        <w:t>.</w:t>
      </w:r>
    </w:p>
    <w:p w14:paraId="03B5E651" w14:textId="5133A464" w:rsidR="00312C4C" w:rsidRPr="00587DF1" w:rsidRDefault="00312C4C" w:rsidP="005E0D57">
      <w:pPr>
        <w:pStyle w:val="ListParagraph"/>
        <w:numPr>
          <w:ilvl w:val="0"/>
          <w:numId w:val="6"/>
        </w:numPr>
        <w:spacing w:after="0"/>
        <w:rPr>
          <w:rFonts w:ascii="Arial" w:eastAsia="Arial" w:hAnsi="Arial" w:cs="Arial"/>
        </w:rPr>
      </w:pPr>
      <w:r>
        <w:rPr>
          <w:rFonts w:ascii="Arial" w:eastAsia="Arial" w:hAnsi="Arial" w:cs="Arial"/>
        </w:rPr>
        <w:t>The sale of the City Road site</w:t>
      </w:r>
      <w:r w:rsidR="00DD2C20">
        <w:rPr>
          <w:rFonts w:ascii="Arial" w:eastAsia="Arial" w:hAnsi="Arial" w:cs="Arial"/>
        </w:rPr>
        <w:t>.</w:t>
      </w:r>
    </w:p>
    <w:p w14:paraId="74517229" w14:textId="7F85E88D" w:rsidR="00E47761" w:rsidRDefault="00E47761" w:rsidP="005E0D57">
      <w:pPr>
        <w:pStyle w:val="ListParagraph"/>
        <w:numPr>
          <w:ilvl w:val="0"/>
          <w:numId w:val="5"/>
        </w:numPr>
        <w:spacing w:after="0"/>
        <w:rPr>
          <w:rFonts w:ascii="Arial" w:eastAsia="Arial" w:hAnsi="Arial" w:cs="Arial"/>
        </w:rPr>
      </w:pPr>
      <w:r w:rsidRPr="00587DF1">
        <w:rPr>
          <w:rFonts w:ascii="Arial" w:eastAsia="Arial" w:hAnsi="Arial" w:cs="Arial"/>
        </w:rPr>
        <w:t xml:space="preserve">Obtaining </w:t>
      </w:r>
      <w:r w:rsidR="00967C47">
        <w:rPr>
          <w:rFonts w:ascii="Arial" w:eastAsia="Arial" w:hAnsi="Arial" w:cs="Arial"/>
        </w:rPr>
        <w:t xml:space="preserve">town </w:t>
      </w:r>
      <w:r w:rsidRPr="00587DF1">
        <w:rPr>
          <w:rFonts w:ascii="Arial" w:eastAsia="Arial" w:hAnsi="Arial" w:cs="Arial"/>
        </w:rPr>
        <w:t>planning permission for the development.</w:t>
      </w:r>
    </w:p>
    <w:p w14:paraId="4F376DEC" w14:textId="1482CF73" w:rsidR="00DD2C20" w:rsidRPr="00587DF1" w:rsidRDefault="00DD2C20" w:rsidP="005E0D57">
      <w:pPr>
        <w:pStyle w:val="ListParagraph"/>
        <w:numPr>
          <w:ilvl w:val="0"/>
          <w:numId w:val="5"/>
        </w:numPr>
        <w:spacing w:after="0"/>
        <w:rPr>
          <w:rFonts w:ascii="Arial" w:eastAsia="Arial" w:hAnsi="Arial" w:cs="Arial"/>
        </w:rPr>
      </w:pPr>
      <w:r>
        <w:rPr>
          <w:rFonts w:ascii="Arial" w:eastAsia="Arial" w:hAnsi="Arial" w:cs="Arial"/>
        </w:rPr>
        <w:t xml:space="preserve">Establishment of a Joint Development Vehicle (JDV) to deliver the project (described in section </w:t>
      </w:r>
      <w:r>
        <w:rPr>
          <w:rFonts w:ascii="Arial" w:eastAsia="Arial" w:hAnsi="Arial" w:cs="Arial"/>
        </w:rPr>
        <w:fldChar w:fldCharType="begin"/>
      </w:r>
      <w:r>
        <w:rPr>
          <w:rFonts w:ascii="Arial" w:eastAsia="Arial" w:hAnsi="Arial" w:cs="Arial"/>
        </w:rPr>
        <w:instrText xml:space="preserve"> REF _Hlk17466641 \r \h </w:instrText>
      </w:r>
      <w:r>
        <w:rPr>
          <w:rFonts w:ascii="Arial" w:eastAsia="Arial" w:hAnsi="Arial" w:cs="Arial"/>
        </w:rPr>
      </w:r>
      <w:r>
        <w:rPr>
          <w:rFonts w:ascii="Arial" w:eastAsia="Arial" w:hAnsi="Arial" w:cs="Arial"/>
        </w:rPr>
        <w:fldChar w:fldCharType="separate"/>
      </w:r>
      <w:r w:rsidR="00A936CD">
        <w:rPr>
          <w:rFonts w:ascii="Arial" w:eastAsia="Arial" w:hAnsi="Arial" w:cs="Arial"/>
        </w:rPr>
        <w:t>7.2</w:t>
      </w:r>
      <w:r>
        <w:rPr>
          <w:rFonts w:ascii="Arial" w:eastAsia="Arial" w:hAnsi="Arial" w:cs="Arial"/>
        </w:rPr>
        <w:fldChar w:fldCharType="end"/>
      </w:r>
      <w:r>
        <w:rPr>
          <w:rFonts w:ascii="Arial" w:eastAsia="Arial" w:hAnsi="Arial" w:cs="Arial"/>
        </w:rPr>
        <w:t>, Commercial Case).</w:t>
      </w:r>
    </w:p>
    <w:p w14:paraId="73958CB2" w14:textId="77777777" w:rsidR="00E47761" w:rsidRPr="00587DF1" w:rsidRDefault="00E47761" w:rsidP="00E47761">
      <w:pPr>
        <w:spacing w:after="0"/>
        <w:rPr>
          <w:rFonts w:ascii="Arial" w:eastAsia="Arial" w:hAnsi="Arial" w:cs="Arial"/>
        </w:rPr>
      </w:pPr>
    </w:p>
    <w:p w14:paraId="4B4387F8" w14:textId="55629078" w:rsidR="00E47761" w:rsidRPr="00587DF1" w:rsidRDefault="00E47761" w:rsidP="00E47761">
      <w:pPr>
        <w:spacing w:after="0"/>
        <w:rPr>
          <w:rFonts w:ascii="Arial" w:eastAsia="Arial" w:hAnsi="Arial" w:cs="Arial"/>
        </w:rPr>
      </w:pPr>
      <w:r w:rsidRPr="00587DF1">
        <w:rPr>
          <w:rFonts w:ascii="Arial" w:eastAsia="Arial" w:hAnsi="Arial" w:cs="Arial"/>
        </w:rPr>
        <w:t>In addition to estates deliverables, this project will</w:t>
      </w:r>
      <w:r w:rsidR="00DD2C20">
        <w:rPr>
          <w:rFonts w:ascii="Arial" w:eastAsia="Arial" w:hAnsi="Arial" w:cs="Arial"/>
        </w:rPr>
        <w:t>:</w:t>
      </w:r>
    </w:p>
    <w:p w14:paraId="78C3FFF2" w14:textId="0445B14F" w:rsidR="00E47761" w:rsidRPr="00587DF1" w:rsidRDefault="00E47761" w:rsidP="005E0D57">
      <w:pPr>
        <w:pStyle w:val="ListParagraph"/>
        <w:numPr>
          <w:ilvl w:val="0"/>
          <w:numId w:val="5"/>
        </w:numPr>
        <w:spacing w:after="0"/>
        <w:rPr>
          <w:rFonts w:ascii="Arial" w:eastAsia="Arial" w:hAnsi="Arial" w:cs="Arial"/>
        </w:rPr>
      </w:pPr>
      <w:r w:rsidRPr="00587DF1">
        <w:rPr>
          <w:rFonts w:ascii="Arial" w:eastAsia="Arial" w:hAnsi="Arial" w:cs="Arial"/>
        </w:rPr>
        <w:t xml:space="preserve">Design new service models to ensure services are provided in the most efficient way, in line with up to date best practice (as per section </w:t>
      </w:r>
      <w:r w:rsidR="00F20CC0">
        <w:rPr>
          <w:rFonts w:ascii="Arial" w:eastAsia="Arial" w:hAnsi="Arial" w:cs="Arial"/>
        </w:rPr>
        <w:fldChar w:fldCharType="begin"/>
      </w:r>
      <w:r w:rsidR="00F20CC0">
        <w:rPr>
          <w:rFonts w:ascii="Arial" w:eastAsia="Arial" w:hAnsi="Arial" w:cs="Arial"/>
        </w:rPr>
        <w:instrText xml:space="preserve"> REF _Ref27729515 \r \h </w:instrText>
      </w:r>
      <w:r w:rsidR="00F20CC0">
        <w:rPr>
          <w:rFonts w:ascii="Arial" w:eastAsia="Arial" w:hAnsi="Arial" w:cs="Arial"/>
        </w:rPr>
      </w:r>
      <w:r w:rsidR="00F20CC0">
        <w:rPr>
          <w:rFonts w:ascii="Arial" w:eastAsia="Arial" w:hAnsi="Arial" w:cs="Arial"/>
        </w:rPr>
        <w:fldChar w:fldCharType="separate"/>
      </w:r>
      <w:r w:rsidR="00A936CD">
        <w:rPr>
          <w:rFonts w:ascii="Arial" w:eastAsia="Arial" w:hAnsi="Arial" w:cs="Arial"/>
        </w:rPr>
        <w:t>5.3</w:t>
      </w:r>
      <w:r w:rsidR="00F20CC0">
        <w:rPr>
          <w:rFonts w:ascii="Arial" w:eastAsia="Arial" w:hAnsi="Arial" w:cs="Arial"/>
        </w:rPr>
        <w:fldChar w:fldCharType="end"/>
      </w:r>
      <w:r w:rsidRPr="00587DF1">
        <w:rPr>
          <w:rFonts w:ascii="Arial" w:eastAsia="Arial" w:hAnsi="Arial" w:cs="Arial"/>
        </w:rPr>
        <w:t xml:space="preserve">, </w:t>
      </w:r>
      <w:r w:rsidR="00236908" w:rsidRPr="00587DF1">
        <w:rPr>
          <w:rFonts w:ascii="Arial" w:eastAsia="Arial" w:hAnsi="Arial" w:cs="Arial"/>
        </w:rPr>
        <w:t>Clinical Quality Case</w:t>
      </w:r>
      <w:r w:rsidRPr="00587DF1">
        <w:rPr>
          <w:rFonts w:ascii="Arial" w:eastAsia="Arial" w:hAnsi="Arial" w:cs="Arial"/>
        </w:rPr>
        <w:t>)</w:t>
      </w:r>
      <w:r w:rsidR="00DD2C20">
        <w:rPr>
          <w:rFonts w:ascii="Arial" w:eastAsia="Arial" w:hAnsi="Arial" w:cs="Arial"/>
        </w:rPr>
        <w:t>.</w:t>
      </w:r>
    </w:p>
    <w:p w14:paraId="123ED25D" w14:textId="5E263E98" w:rsidR="000C6AFE" w:rsidRPr="00587DF1" w:rsidRDefault="000C6AFE" w:rsidP="005E0D57">
      <w:pPr>
        <w:pStyle w:val="ListParagraph"/>
        <w:numPr>
          <w:ilvl w:val="0"/>
          <w:numId w:val="5"/>
        </w:numPr>
        <w:spacing w:after="0"/>
        <w:rPr>
          <w:rFonts w:ascii="Arial" w:eastAsia="Arial" w:hAnsi="Arial" w:cs="Arial"/>
        </w:rPr>
      </w:pPr>
      <w:r w:rsidRPr="00587DF1">
        <w:rPr>
          <w:rFonts w:ascii="Arial" w:eastAsia="Arial" w:hAnsi="Arial" w:cs="Arial"/>
        </w:rPr>
        <w:t xml:space="preserve">Integrate clinical services, research and education (as per section </w:t>
      </w:r>
      <w:r w:rsidR="00F20CC0">
        <w:rPr>
          <w:rFonts w:ascii="Arial" w:eastAsia="Arial" w:hAnsi="Arial" w:cs="Arial"/>
        </w:rPr>
        <w:fldChar w:fldCharType="begin"/>
      </w:r>
      <w:r w:rsidR="00F20CC0">
        <w:rPr>
          <w:rFonts w:ascii="Arial" w:eastAsia="Arial" w:hAnsi="Arial" w:cs="Arial"/>
        </w:rPr>
        <w:instrText xml:space="preserve"> REF _Ref27746786 \r \h </w:instrText>
      </w:r>
      <w:r w:rsidR="00F20CC0">
        <w:rPr>
          <w:rFonts w:ascii="Arial" w:eastAsia="Arial" w:hAnsi="Arial" w:cs="Arial"/>
        </w:rPr>
      </w:r>
      <w:r w:rsidR="00F20CC0">
        <w:rPr>
          <w:rFonts w:ascii="Arial" w:eastAsia="Arial" w:hAnsi="Arial" w:cs="Arial"/>
        </w:rPr>
        <w:fldChar w:fldCharType="separate"/>
      </w:r>
      <w:r w:rsidR="00A936CD">
        <w:rPr>
          <w:rFonts w:ascii="Arial" w:eastAsia="Arial" w:hAnsi="Arial" w:cs="Arial"/>
        </w:rPr>
        <w:t>5.4</w:t>
      </w:r>
      <w:r w:rsidR="00F20CC0">
        <w:rPr>
          <w:rFonts w:ascii="Arial" w:eastAsia="Arial" w:hAnsi="Arial" w:cs="Arial"/>
        </w:rPr>
        <w:fldChar w:fldCharType="end"/>
      </w:r>
      <w:r w:rsidRPr="00587DF1">
        <w:rPr>
          <w:rFonts w:ascii="Arial" w:eastAsia="Arial" w:hAnsi="Arial" w:cs="Arial"/>
        </w:rPr>
        <w:t xml:space="preserve"> and </w:t>
      </w:r>
      <w:r w:rsidR="00F20CC0">
        <w:rPr>
          <w:rFonts w:ascii="Arial" w:eastAsia="Arial" w:hAnsi="Arial" w:cs="Arial"/>
        </w:rPr>
        <w:fldChar w:fldCharType="begin"/>
      </w:r>
      <w:r w:rsidR="00F20CC0">
        <w:rPr>
          <w:rFonts w:ascii="Arial" w:eastAsia="Arial" w:hAnsi="Arial" w:cs="Arial"/>
        </w:rPr>
        <w:instrText xml:space="preserve"> REF _Ref24033839 \r \h </w:instrText>
      </w:r>
      <w:r w:rsidR="00F20CC0">
        <w:rPr>
          <w:rFonts w:ascii="Arial" w:eastAsia="Arial" w:hAnsi="Arial" w:cs="Arial"/>
        </w:rPr>
      </w:r>
      <w:r w:rsidR="00F20CC0">
        <w:rPr>
          <w:rFonts w:ascii="Arial" w:eastAsia="Arial" w:hAnsi="Arial" w:cs="Arial"/>
        </w:rPr>
        <w:fldChar w:fldCharType="separate"/>
      </w:r>
      <w:r w:rsidR="00A936CD">
        <w:rPr>
          <w:rFonts w:ascii="Arial" w:eastAsia="Arial" w:hAnsi="Arial" w:cs="Arial"/>
        </w:rPr>
        <w:t>5.5</w:t>
      </w:r>
      <w:r w:rsidR="00F20CC0">
        <w:rPr>
          <w:rFonts w:ascii="Arial" w:eastAsia="Arial" w:hAnsi="Arial" w:cs="Arial"/>
        </w:rPr>
        <w:fldChar w:fldCharType="end"/>
      </w:r>
      <w:r w:rsidRPr="00587DF1">
        <w:rPr>
          <w:rFonts w:ascii="Arial" w:eastAsia="Arial" w:hAnsi="Arial" w:cs="Arial"/>
        </w:rPr>
        <w:t xml:space="preserve">, </w:t>
      </w:r>
      <w:r w:rsidR="00236908" w:rsidRPr="00587DF1">
        <w:rPr>
          <w:rFonts w:ascii="Arial" w:eastAsia="Arial" w:hAnsi="Arial" w:cs="Arial"/>
        </w:rPr>
        <w:t>Clinical Quality Case</w:t>
      </w:r>
      <w:r w:rsidRPr="00587DF1">
        <w:rPr>
          <w:rFonts w:ascii="Arial" w:eastAsia="Arial" w:hAnsi="Arial" w:cs="Arial"/>
        </w:rPr>
        <w:t>)</w:t>
      </w:r>
      <w:r w:rsidR="00DD2C20">
        <w:rPr>
          <w:rFonts w:ascii="Arial" w:eastAsia="Arial" w:hAnsi="Arial" w:cs="Arial"/>
        </w:rPr>
        <w:t>.</w:t>
      </w:r>
    </w:p>
    <w:p w14:paraId="0F18FF8C" w14:textId="2C7C478F" w:rsidR="00E47761" w:rsidRPr="00587DF1" w:rsidRDefault="00E47761" w:rsidP="005E0D57">
      <w:pPr>
        <w:pStyle w:val="ListParagraph"/>
        <w:numPr>
          <w:ilvl w:val="0"/>
          <w:numId w:val="5"/>
        </w:numPr>
        <w:spacing w:after="0"/>
        <w:rPr>
          <w:rFonts w:ascii="Arial" w:eastAsia="Arial" w:hAnsi="Arial" w:cs="Arial"/>
        </w:rPr>
      </w:pPr>
      <w:r w:rsidRPr="00587DF1">
        <w:rPr>
          <w:rFonts w:ascii="Arial" w:eastAsia="Arial" w:hAnsi="Arial" w:cs="Arial"/>
        </w:rPr>
        <w:t xml:space="preserve">Develop workforce models and implementation plans to support these service models (as per section </w:t>
      </w:r>
      <w:r w:rsidR="00F20CC0">
        <w:rPr>
          <w:rFonts w:ascii="Arial" w:eastAsia="Arial" w:hAnsi="Arial" w:cs="Arial"/>
        </w:rPr>
        <w:fldChar w:fldCharType="begin"/>
      </w:r>
      <w:r w:rsidR="00F20CC0">
        <w:rPr>
          <w:rFonts w:ascii="Arial" w:eastAsia="Arial" w:hAnsi="Arial" w:cs="Arial"/>
        </w:rPr>
        <w:instrText xml:space="preserve"> REF _Ref27132280 \r \h </w:instrText>
      </w:r>
      <w:r w:rsidR="00F20CC0">
        <w:rPr>
          <w:rFonts w:ascii="Arial" w:eastAsia="Arial" w:hAnsi="Arial" w:cs="Arial"/>
        </w:rPr>
      </w:r>
      <w:r w:rsidR="00F20CC0">
        <w:rPr>
          <w:rFonts w:ascii="Arial" w:eastAsia="Arial" w:hAnsi="Arial" w:cs="Arial"/>
        </w:rPr>
        <w:fldChar w:fldCharType="separate"/>
      </w:r>
      <w:r w:rsidR="00A936CD">
        <w:rPr>
          <w:rFonts w:ascii="Arial" w:eastAsia="Arial" w:hAnsi="Arial" w:cs="Arial"/>
        </w:rPr>
        <w:t>5.6</w:t>
      </w:r>
      <w:r w:rsidR="00F20CC0">
        <w:rPr>
          <w:rFonts w:ascii="Arial" w:eastAsia="Arial" w:hAnsi="Arial" w:cs="Arial"/>
        </w:rPr>
        <w:fldChar w:fldCharType="end"/>
      </w:r>
      <w:r w:rsidRPr="00587DF1">
        <w:rPr>
          <w:rFonts w:ascii="Arial" w:eastAsia="Arial" w:hAnsi="Arial" w:cs="Arial"/>
        </w:rPr>
        <w:t xml:space="preserve">, </w:t>
      </w:r>
      <w:r w:rsidR="00236908" w:rsidRPr="00587DF1">
        <w:rPr>
          <w:rFonts w:ascii="Arial" w:eastAsia="Arial" w:hAnsi="Arial" w:cs="Arial"/>
        </w:rPr>
        <w:t>Clinical Quality Case</w:t>
      </w:r>
      <w:r w:rsidRPr="00587DF1">
        <w:rPr>
          <w:rFonts w:ascii="Arial" w:eastAsia="Arial" w:hAnsi="Arial" w:cs="Arial"/>
        </w:rPr>
        <w:t>)</w:t>
      </w:r>
      <w:r w:rsidR="00DD2C20">
        <w:rPr>
          <w:rFonts w:ascii="Arial" w:eastAsia="Arial" w:hAnsi="Arial" w:cs="Arial"/>
        </w:rPr>
        <w:t>.</w:t>
      </w:r>
    </w:p>
    <w:p w14:paraId="4D105575" w14:textId="33A36701" w:rsidR="00E47761" w:rsidRPr="00587DF1" w:rsidRDefault="00E47761" w:rsidP="005E0D57">
      <w:pPr>
        <w:pStyle w:val="ListParagraph"/>
        <w:numPr>
          <w:ilvl w:val="0"/>
          <w:numId w:val="5"/>
        </w:numPr>
        <w:spacing w:after="0"/>
        <w:rPr>
          <w:rFonts w:ascii="Arial" w:eastAsia="Arial" w:hAnsi="Arial" w:cs="Arial"/>
        </w:rPr>
      </w:pPr>
      <w:r w:rsidRPr="00587DF1">
        <w:rPr>
          <w:rFonts w:ascii="Arial" w:eastAsia="Arial" w:hAnsi="Arial" w:cs="Arial"/>
        </w:rPr>
        <w:t xml:space="preserve">Deliver an </w:t>
      </w:r>
      <w:r w:rsidR="00FD12DE" w:rsidRPr="00587DF1">
        <w:rPr>
          <w:rFonts w:ascii="Arial" w:eastAsia="Arial" w:hAnsi="Arial" w:cs="Arial"/>
        </w:rPr>
        <w:t>IT</w:t>
      </w:r>
      <w:r w:rsidRPr="00587DF1">
        <w:rPr>
          <w:rFonts w:ascii="Arial" w:eastAsia="Arial" w:hAnsi="Arial" w:cs="Arial"/>
        </w:rPr>
        <w:t xml:space="preserve"> strategy which ensures patients have the benefit of technology (as per section </w:t>
      </w:r>
      <w:r w:rsidR="00F20CC0">
        <w:rPr>
          <w:rFonts w:ascii="Arial" w:eastAsia="Arial" w:hAnsi="Arial" w:cs="Arial"/>
        </w:rPr>
        <w:fldChar w:fldCharType="begin"/>
      </w:r>
      <w:r w:rsidR="00F20CC0">
        <w:rPr>
          <w:rFonts w:ascii="Arial" w:eastAsia="Arial" w:hAnsi="Arial" w:cs="Arial"/>
        </w:rPr>
        <w:instrText xml:space="preserve"> REF _Ref27746787 \r \h </w:instrText>
      </w:r>
      <w:r w:rsidR="00F20CC0">
        <w:rPr>
          <w:rFonts w:ascii="Arial" w:eastAsia="Arial" w:hAnsi="Arial" w:cs="Arial"/>
        </w:rPr>
      </w:r>
      <w:r w:rsidR="00F20CC0">
        <w:rPr>
          <w:rFonts w:ascii="Arial" w:eastAsia="Arial" w:hAnsi="Arial" w:cs="Arial"/>
        </w:rPr>
        <w:fldChar w:fldCharType="separate"/>
      </w:r>
      <w:r w:rsidR="00A936CD">
        <w:rPr>
          <w:rFonts w:ascii="Arial" w:eastAsia="Arial" w:hAnsi="Arial" w:cs="Arial"/>
        </w:rPr>
        <w:t>5.7</w:t>
      </w:r>
      <w:r w:rsidR="00F20CC0">
        <w:rPr>
          <w:rFonts w:ascii="Arial" w:eastAsia="Arial" w:hAnsi="Arial" w:cs="Arial"/>
        </w:rPr>
        <w:fldChar w:fldCharType="end"/>
      </w:r>
      <w:r w:rsidRPr="00587DF1">
        <w:rPr>
          <w:rFonts w:ascii="Arial" w:eastAsia="Arial" w:hAnsi="Arial" w:cs="Arial"/>
        </w:rPr>
        <w:t xml:space="preserve">, </w:t>
      </w:r>
      <w:r w:rsidR="00236908" w:rsidRPr="00587DF1">
        <w:rPr>
          <w:rFonts w:ascii="Arial" w:eastAsia="Arial" w:hAnsi="Arial" w:cs="Arial"/>
        </w:rPr>
        <w:t>Clinical Quality Case</w:t>
      </w:r>
      <w:r w:rsidRPr="00587DF1">
        <w:rPr>
          <w:rFonts w:ascii="Arial" w:eastAsia="Arial" w:hAnsi="Arial" w:cs="Arial"/>
        </w:rPr>
        <w:t>).</w:t>
      </w:r>
    </w:p>
    <w:p w14:paraId="06AB3ACE" w14:textId="77777777" w:rsidR="00E47761" w:rsidRPr="00587DF1" w:rsidRDefault="00E47761" w:rsidP="00E47761">
      <w:pPr>
        <w:spacing w:after="0" w:line="240" w:lineRule="auto"/>
        <w:rPr>
          <w:rFonts w:ascii="Arial" w:eastAsia="Arial" w:hAnsi="Arial" w:cs="Arial"/>
        </w:rPr>
      </w:pPr>
    </w:p>
    <w:p w14:paraId="71FBA762" w14:textId="63BD0037" w:rsidR="00E47761" w:rsidRPr="00587DF1" w:rsidRDefault="000C6AFE" w:rsidP="00E47761">
      <w:pPr>
        <w:spacing w:after="0"/>
        <w:rPr>
          <w:rFonts w:ascii="Arial" w:eastAsia="Arial" w:hAnsi="Arial" w:cs="Arial"/>
        </w:rPr>
      </w:pPr>
      <w:r w:rsidRPr="00587DF1">
        <w:rPr>
          <w:rFonts w:ascii="Arial" w:eastAsia="Arial" w:hAnsi="Arial" w:cs="Arial"/>
        </w:rPr>
        <w:lastRenderedPageBreak/>
        <w:t xml:space="preserve">Finally, this project involves disposal </w:t>
      </w:r>
      <w:r w:rsidR="00E47761" w:rsidRPr="00587DF1">
        <w:rPr>
          <w:rFonts w:ascii="Arial" w:eastAsia="Arial" w:hAnsi="Arial" w:cs="Arial"/>
        </w:rPr>
        <w:t xml:space="preserve">of all </w:t>
      </w:r>
      <w:r w:rsidR="00AD3E2C" w:rsidRPr="00587DF1">
        <w:rPr>
          <w:rFonts w:ascii="Arial" w:eastAsia="Arial" w:hAnsi="Arial" w:cs="Arial"/>
        </w:rPr>
        <w:t xml:space="preserve">Moorfields </w:t>
      </w:r>
      <w:r w:rsidR="00E47761" w:rsidRPr="00587DF1">
        <w:rPr>
          <w:rFonts w:ascii="Arial" w:eastAsia="Arial" w:hAnsi="Arial" w:cs="Arial"/>
        </w:rPr>
        <w:t>and UCL owned sites at City Road. A key enabler to this is to obtain a PPA (pre-planning application) for the site, to enhance its sale value. This is described in detail in the Commercial Case (section</w:t>
      </w:r>
      <w:r w:rsidRPr="00587DF1">
        <w:rPr>
          <w:rFonts w:ascii="Arial" w:eastAsia="Arial" w:hAnsi="Arial" w:cs="Arial"/>
        </w:rPr>
        <w:t xml:space="preserve"> </w:t>
      </w:r>
      <w:r w:rsidR="00F20CC0">
        <w:rPr>
          <w:rFonts w:ascii="Arial" w:eastAsia="Arial" w:hAnsi="Arial" w:cs="Arial"/>
        </w:rPr>
        <w:fldChar w:fldCharType="begin"/>
      </w:r>
      <w:r w:rsidR="00F20CC0">
        <w:rPr>
          <w:rFonts w:ascii="Arial" w:eastAsia="Arial" w:hAnsi="Arial" w:cs="Arial"/>
        </w:rPr>
        <w:instrText xml:space="preserve"> REF _Ref27746896 \r \h </w:instrText>
      </w:r>
      <w:r w:rsidR="00F20CC0">
        <w:rPr>
          <w:rFonts w:ascii="Arial" w:eastAsia="Arial" w:hAnsi="Arial" w:cs="Arial"/>
        </w:rPr>
      </w:r>
      <w:r w:rsidR="00F20CC0">
        <w:rPr>
          <w:rFonts w:ascii="Arial" w:eastAsia="Arial" w:hAnsi="Arial" w:cs="Arial"/>
        </w:rPr>
        <w:fldChar w:fldCharType="separate"/>
      </w:r>
      <w:r w:rsidR="00A936CD">
        <w:rPr>
          <w:rFonts w:ascii="Arial" w:eastAsia="Arial" w:hAnsi="Arial" w:cs="Arial"/>
        </w:rPr>
        <w:t>7.9</w:t>
      </w:r>
      <w:r w:rsidR="00F20CC0">
        <w:rPr>
          <w:rFonts w:ascii="Arial" w:eastAsia="Arial" w:hAnsi="Arial" w:cs="Arial"/>
        </w:rPr>
        <w:fldChar w:fldCharType="end"/>
      </w:r>
      <w:r w:rsidRPr="00587DF1">
        <w:rPr>
          <w:rFonts w:ascii="Arial" w:eastAsia="Arial" w:hAnsi="Arial" w:cs="Arial"/>
        </w:rPr>
        <w:t>)</w:t>
      </w:r>
      <w:r w:rsidR="00F20CC0">
        <w:rPr>
          <w:rFonts w:ascii="Arial" w:eastAsia="Arial" w:hAnsi="Arial" w:cs="Arial"/>
        </w:rPr>
        <w:t>.</w:t>
      </w:r>
    </w:p>
    <w:bookmarkEnd w:id="26"/>
    <w:p w14:paraId="5E513D6E" w14:textId="77777777" w:rsidR="00E47761" w:rsidRPr="00587DF1" w:rsidRDefault="00E47761" w:rsidP="00E47761">
      <w:pPr>
        <w:spacing w:after="0" w:line="240" w:lineRule="auto"/>
        <w:rPr>
          <w:rFonts w:ascii="Arial" w:eastAsia="Arial" w:hAnsi="Arial" w:cs="Arial"/>
          <w:b/>
        </w:rPr>
      </w:pPr>
    </w:p>
    <w:p w14:paraId="6DAE9547" w14:textId="77777777" w:rsidR="002F6F52" w:rsidRPr="00587DF1" w:rsidRDefault="002F6F52" w:rsidP="00E47761">
      <w:pPr>
        <w:spacing w:after="0"/>
        <w:rPr>
          <w:rFonts w:ascii="Arial" w:eastAsia="Arial" w:hAnsi="Arial" w:cs="Arial"/>
        </w:rPr>
      </w:pPr>
    </w:p>
    <w:p w14:paraId="5DA1A958" w14:textId="77777777" w:rsidR="00E47761" w:rsidRPr="00587DF1" w:rsidRDefault="0067703A" w:rsidP="005E0D57">
      <w:pPr>
        <w:pStyle w:val="Heading2"/>
        <w:numPr>
          <w:ilvl w:val="1"/>
          <w:numId w:val="1"/>
        </w:numPr>
        <w:rPr>
          <w:rFonts w:ascii="Arial" w:hAnsi="Arial" w:cs="Arial"/>
        </w:rPr>
      </w:pPr>
      <w:bookmarkStart w:id="163" w:name="_Ref27751491"/>
      <w:bookmarkStart w:id="164" w:name="_Toc32842702"/>
      <w:r w:rsidRPr="00587DF1">
        <w:rPr>
          <w:rFonts w:ascii="Arial" w:eastAsia="Arial" w:hAnsi="Arial" w:cs="Arial"/>
        </w:rPr>
        <w:t>Identifying the main benefits</w:t>
      </w:r>
      <w:bookmarkEnd w:id="163"/>
      <w:bookmarkEnd w:id="164"/>
    </w:p>
    <w:p w14:paraId="1DEA8C2F" w14:textId="77777777" w:rsidR="00E47761" w:rsidRPr="00587DF1" w:rsidRDefault="00E47761" w:rsidP="00E47761">
      <w:pPr>
        <w:spacing w:after="0"/>
        <w:rPr>
          <w:rFonts w:ascii="Arial" w:eastAsia="Arial" w:hAnsi="Arial" w:cs="Arial"/>
        </w:rPr>
      </w:pPr>
    </w:p>
    <w:p w14:paraId="4A109A2D" w14:textId="708FAC50" w:rsidR="0067703A" w:rsidRPr="00587DF1" w:rsidRDefault="0067703A" w:rsidP="00E47761">
      <w:pPr>
        <w:spacing w:after="0"/>
        <w:rPr>
          <w:rFonts w:ascii="Arial" w:eastAsia="Arial" w:hAnsi="Arial" w:cs="Arial"/>
        </w:rPr>
      </w:pPr>
      <w:r w:rsidRPr="00587DF1">
        <w:rPr>
          <w:rFonts w:ascii="Arial" w:eastAsia="Arial" w:hAnsi="Arial" w:cs="Arial"/>
        </w:rPr>
        <w:t xml:space="preserve">The main benefits which will be derived from the Preferred Way Forward for Oriel are set out below. A </w:t>
      </w:r>
      <w:r w:rsidR="004460FC" w:rsidRPr="00587DF1">
        <w:rPr>
          <w:rFonts w:ascii="Arial" w:eastAsia="Arial" w:hAnsi="Arial" w:cs="Arial"/>
        </w:rPr>
        <w:t xml:space="preserve">Benefit Realisation Plan (BRP) </w:t>
      </w:r>
      <w:r w:rsidR="002E52C2" w:rsidRPr="00587DF1">
        <w:rPr>
          <w:rFonts w:ascii="Arial" w:eastAsia="Arial" w:hAnsi="Arial" w:cs="Arial"/>
        </w:rPr>
        <w:t xml:space="preserve">is included at Appendix </w:t>
      </w:r>
      <w:r w:rsidR="00127D77">
        <w:rPr>
          <w:rFonts w:ascii="Arial" w:eastAsia="Arial" w:hAnsi="Arial" w:cs="Arial"/>
        </w:rPr>
        <w:t>8A</w:t>
      </w:r>
      <w:r w:rsidR="00C927A8" w:rsidRPr="00587DF1">
        <w:rPr>
          <w:rFonts w:ascii="Arial" w:eastAsia="Arial" w:hAnsi="Arial" w:cs="Arial"/>
        </w:rPr>
        <w:t xml:space="preserve"> which shows how the</w:t>
      </w:r>
      <w:r w:rsidR="00DD2C20">
        <w:rPr>
          <w:rFonts w:ascii="Arial" w:eastAsia="Arial" w:hAnsi="Arial" w:cs="Arial"/>
        </w:rPr>
        <w:t xml:space="preserve"> benefits to Moorfields and its patients </w:t>
      </w:r>
      <w:r w:rsidR="00C927A8" w:rsidRPr="00587DF1">
        <w:rPr>
          <w:rFonts w:ascii="Arial" w:eastAsia="Arial" w:hAnsi="Arial" w:cs="Arial"/>
        </w:rPr>
        <w:t>will be measured</w:t>
      </w:r>
      <w:r w:rsidR="00DD2C20">
        <w:rPr>
          <w:rFonts w:ascii="Arial" w:eastAsia="Arial" w:hAnsi="Arial" w:cs="Arial"/>
        </w:rPr>
        <w:t xml:space="preserve">. The benefits to the UK as a whole are </w:t>
      </w:r>
      <w:r w:rsidR="00C927A8" w:rsidRPr="00587DF1">
        <w:rPr>
          <w:rFonts w:ascii="Arial" w:eastAsia="Arial" w:hAnsi="Arial" w:cs="Arial"/>
        </w:rPr>
        <w:t xml:space="preserve">quantified in the </w:t>
      </w:r>
      <w:r w:rsidR="00236908">
        <w:rPr>
          <w:rFonts w:ascii="Arial" w:hAnsi="Arial" w:cs="Arial"/>
        </w:rPr>
        <w:t xml:space="preserve">Economic Case </w:t>
      </w:r>
      <w:r w:rsidR="00C927A8" w:rsidRPr="00587DF1">
        <w:rPr>
          <w:rFonts w:ascii="Arial" w:eastAsia="Arial" w:hAnsi="Arial" w:cs="Arial"/>
        </w:rPr>
        <w:t xml:space="preserve">(chapter </w:t>
      </w:r>
      <w:r w:rsidR="00DD2C20">
        <w:rPr>
          <w:rFonts w:ascii="Arial" w:eastAsia="Arial" w:hAnsi="Arial" w:cs="Arial"/>
        </w:rPr>
        <w:fldChar w:fldCharType="begin"/>
      </w:r>
      <w:r w:rsidR="00DD2C20">
        <w:rPr>
          <w:rFonts w:ascii="Arial" w:eastAsia="Arial" w:hAnsi="Arial" w:cs="Arial"/>
        </w:rPr>
        <w:instrText xml:space="preserve"> REF _Ref24718143 \r \h </w:instrText>
      </w:r>
      <w:r w:rsidR="00DD2C20">
        <w:rPr>
          <w:rFonts w:ascii="Arial" w:eastAsia="Arial" w:hAnsi="Arial" w:cs="Arial"/>
        </w:rPr>
      </w:r>
      <w:r w:rsidR="00DD2C20">
        <w:rPr>
          <w:rFonts w:ascii="Arial" w:eastAsia="Arial" w:hAnsi="Arial" w:cs="Arial"/>
        </w:rPr>
        <w:fldChar w:fldCharType="separate"/>
      </w:r>
      <w:r w:rsidR="00A936CD">
        <w:rPr>
          <w:rFonts w:ascii="Arial" w:eastAsia="Arial" w:hAnsi="Arial" w:cs="Arial"/>
        </w:rPr>
        <w:t>4</w:t>
      </w:r>
      <w:r w:rsidR="00DD2C20">
        <w:rPr>
          <w:rFonts w:ascii="Arial" w:eastAsia="Arial" w:hAnsi="Arial" w:cs="Arial"/>
        </w:rPr>
        <w:fldChar w:fldCharType="end"/>
      </w:r>
      <w:r w:rsidR="00C927A8" w:rsidRPr="00587DF1">
        <w:rPr>
          <w:rFonts w:ascii="Arial" w:eastAsia="Arial" w:hAnsi="Arial" w:cs="Arial"/>
        </w:rPr>
        <w:t>).</w:t>
      </w:r>
    </w:p>
    <w:p w14:paraId="79F7858A" w14:textId="53115FB9" w:rsidR="0067703A" w:rsidRDefault="0067703A" w:rsidP="00E47761">
      <w:pPr>
        <w:spacing w:after="0"/>
        <w:rPr>
          <w:rFonts w:ascii="Arial" w:eastAsia="Arial" w:hAnsi="Arial" w:cs="Arial"/>
        </w:rPr>
      </w:pPr>
    </w:p>
    <w:p w14:paraId="5C9226E7" w14:textId="0ACF1D7C" w:rsidR="0025490F" w:rsidRPr="00587DF1" w:rsidRDefault="0025490F" w:rsidP="0025490F">
      <w:pPr>
        <w:pStyle w:val="Caption"/>
        <w:rPr>
          <w:rFonts w:eastAsia="Arial"/>
        </w:rPr>
      </w:pPr>
      <w:r>
        <w:t xml:space="preserve">Table </w:t>
      </w:r>
      <w:r>
        <w:fldChar w:fldCharType="begin"/>
      </w:r>
      <w:r>
        <w:instrText xml:space="preserve"> SEQ Table \* ARABIC </w:instrText>
      </w:r>
      <w:r>
        <w:fldChar w:fldCharType="separate"/>
      </w:r>
      <w:r w:rsidR="00A936CD">
        <w:rPr>
          <w:noProof/>
        </w:rPr>
        <w:t>13</w:t>
      </w:r>
      <w:r>
        <w:fldChar w:fldCharType="end"/>
      </w:r>
      <w:r>
        <w:t xml:space="preserve">: </w:t>
      </w:r>
      <w:r>
        <w:rPr>
          <w:b w:val="0"/>
          <w:bCs w:val="0"/>
        </w:rPr>
        <w:t>Oriel benefits</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478"/>
        <w:gridCol w:w="1295"/>
        <w:gridCol w:w="1302"/>
        <w:gridCol w:w="1290"/>
      </w:tblGrid>
      <w:tr w:rsidR="0025490F" w:rsidRPr="0025490F" w14:paraId="7132DD3A" w14:textId="77777777" w:rsidTr="00FF6E56">
        <w:tc>
          <w:tcPr>
            <w:tcW w:w="3969" w:type="dxa"/>
            <w:shd w:val="clear" w:color="auto" w:fill="4F81BD"/>
          </w:tcPr>
          <w:p w14:paraId="27CAED21" w14:textId="77777777" w:rsidR="004460FC" w:rsidRPr="0025490F" w:rsidRDefault="004460FC" w:rsidP="001A3620">
            <w:pPr>
              <w:spacing w:after="0"/>
              <w:rPr>
                <w:rFonts w:ascii="Arial" w:eastAsia="Arial" w:hAnsi="Arial" w:cs="Arial"/>
                <w:b/>
                <w:bCs/>
                <w:color w:val="FFFFFF" w:themeColor="background1"/>
                <w:sz w:val="20"/>
                <w:szCs w:val="20"/>
              </w:rPr>
            </w:pPr>
            <w:r w:rsidRPr="0025490F">
              <w:rPr>
                <w:rFonts w:ascii="Arial" w:eastAsia="Arial" w:hAnsi="Arial" w:cs="Arial"/>
                <w:b/>
                <w:bCs/>
                <w:color w:val="FFFFFF" w:themeColor="background1"/>
                <w:sz w:val="20"/>
                <w:szCs w:val="20"/>
              </w:rPr>
              <w:t>Investment objective</w:t>
            </w:r>
          </w:p>
        </w:tc>
        <w:tc>
          <w:tcPr>
            <w:tcW w:w="0" w:type="auto"/>
            <w:shd w:val="clear" w:color="auto" w:fill="4F81BD"/>
          </w:tcPr>
          <w:p w14:paraId="2EF7D757" w14:textId="77777777" w:rsidR="004460FC" w:rsidRPr="0025490F" w:rsidRDefault="004460FC" w:rsidP="001A3620">
            <w:pPr>
              <w:spacing w:after="0"/>
              <w:rPr>
                <w:rFonts w:ascii="Arial" w:eastAsia="Arial" w:hAnsi="Arial" w:cs="Arial"/>
                <w:b/>
                <w:bCs/>
                <w:color w:val="FFFFFF" w:themeColor="background1"/>
                <w:sz w:val="20"/>
                <w:szCs w:val="20"/>
              </w:rPr>
            </w:pPr>
            <w:r w:rsidRPr="0025490F">
              <w:rPr>
                <w:rFonts w:ascii="Arial" w:eastAsia="Arial" w:hAnsi="Arial" w:cs="Arial"/>
                <w:b/>
                <w:bCs/>
                <w:color w:val="FFFFFF" w:themeColor="background1"/>
                <w:sz w:val="20"/>
                <w:szCs w:val="20"/>
              </w:rPr>
              <w:t>Benefit</w:t>
            </w:r>
          </w:p>
        </w:tc>
        <w:tc>
          <w:tcPr>
            <w:tcW w:w="0" w:type="auto"/>
            <w:shd w:val="clear" w:color="auto" w:fill="4F81BD"/>
          </w:tcPr>
          <w:p w14:paraId="750D01F7" w14:textId="77777777" w:rsidR="004460FC" w:rsidRPr="0025490F" w:rsidRDefault="004460FC" w:rsidP="001A3620">
            <w:pPr>
              <w:spacing w:after="0"/>
              <w:rPr>
                <w:rFonts w:ascii="Arial" w:eastAsia="Arial" w:hAnsi="Arial" w:cs="Arial"/>
                <w:b/>
                <w:bCs/>
                <w:color w:val="FFFFFF" w:themeColor="background1"/>
                <w:sz w:val="20"/>
                <w:szCs w:val="20"/>
              </w:rPr>
            </w:pPr>
            <w:r w:rsidRPr="0025490F">
              <w:rPr>
                <w:rFonts w:ascii="Arial" w:eastAsia="Arial" w:hAnsi="Arial" w:cs="Arial"/>
                <w:b/>
                <w:bCs/>
                <w:color w:val="FFFFFF" w:themeColor="background1"/>
                <w:sz w:val="20"/>
                <w:szCs w:val="20"/>
              </w:rPr>
              <w:t>Beneficiary</w:t>
            </w:r>
          </w:p>
        </w:tc>
        <w:tc>
          <w:tcPr>
            <w:tcW w:w="0" w:type="auto"/>
            <w:shd w:val="clear" w:color="auto" w:fill="4F81BD"/>
          </w:tcPr>
          <w:p w14:paraId="0F114703" w14:textId="77777777" w:rsidR="004460FC" w:rsidRPr="0025490F" w:rsidRDefault="004460FC" w:rsidP="001A3620">
            <w:pPr>
              <w:spacing w:after="0"/>
              <w:rPr>
                <w:rFonts w:ascii="Arial" w:eastAsia="Arial" w:hAnsi="Arial" w:cs="Arial"/>
                <w:b/>
                <w:bCs/>
                <w:color w:val="FFFFFF" w:themeColor="background1"/>
                <w:sz w:val="20"/>
                <w:szCs w:val="20"/>
              </w:rPr>
            </w:pPr>
            <w:r w:rsidRPr="0025490F">
              <w:rPr>
                <w:rFonts w:ascii="Arial" w:eastAsia="Arial" w:hAnsi="Arial" w:cs="Arial"/>
                <w:b/>
                <w:bCs/>
                <w:color w:val="FFFFFF" w:themeColor="background1"/>
                <w:sz w:val="20"/>
                <w:szCs w:val="20"/>
              </w:rPr>
              <w:t>Benefit class</w:t>
            </w:r>
          </w:p>
        </w:tc>
        <w:tc>
          <w:tcPr>
            <w:tcW w:w="0" w:type="auto"/>
            <w:shd w:val="clear" w:color="auto" w:fill="4F81BD"/>
          </w:tcPr>
          <w:p w14:paraId="24DDEF52" w14:textId="77777777" w:rsidR="004460FC" w:rsidRPr="0025490F" w:rsidRDefault="004460FC" w:rsidP="001A3620">
            <w:pPr>
              <w:spacing w:after="0"/>
              <w:rPr>
                <w:rFonts w:ascii="Arial" w:eastAsia="Arial" w:hAnsi="Arial" w:cs="Arial"/>
                <w:b/>
                <w:bCs/>
                <w:color w:val="FFFFFF" w:themeColor="background1"/>
                <w:sz w:val="20"/>
                <w:szCs w:val="20"/>
              </w:rPr>
            </w:pPr>
            <w:r w:rsidRPr="0025490F">
              <w:rPr>
                <w:rFonts w:ascii="Arial" w:eastAsia="Arial" w:hAnsi="Arial" w:cs="Arial"/>
                <w:b/>
                <w:bCs/>
                <w:color w:val="FFFFFF" w:themeColor="background1"/>
                <w:sz w:val="20"/>
                <w:szCs w:val="20"/>
              </w:rPr>
              <w:t>Measured in…</w:t>
            </w:r>
          </w:p>
        </w:tc>
      </w:tr>
      <w:tr w:rsidR="004460FC" w:rsidRPr="00F9726C" w14:paraId="310E1D06" w14:textId="77777777" w:rsidTr="00FF6E56">
        <w:tc>
          <w:tcPr>
            <w:tcW w:w="3969" w:type="dxa"/>
            <w:vMerge w:val="restart"/>
          </w:tcPr>
          <w:p w14:paraId="475DDC00" w14:textId="77777777" w:rsidR="004460FC" w:rsidRPr="00F9726C" w:rsidRDefault="004460FC" w:rsidP="005E0D57">
            <w:pPr>
              <w:pStyle w:val="ListParagraph"/>
              <w:numPr>
                <w:ilvl w:val="0"/>
                <w:numId w:val="63"/>
              </w:numPr>
              <w:spacing w:after="0"/>
              <w:ind w:left="426"/>
              <w:rPr>
                <w:rFonts w:ascii="Arial" w:eastAsia="Arial" w:hAnsi="Arial" w:cs="Arial"/>
                <w:sz w:val="20"/>
                <w:szCs w:val="20"/>
              </w:rPr>
            </w:pPr>
            <w:r w:rsidRPr="00F9726C">
              <w:rPr>
                <w:rFonts w:ascii="Arial" w:eastAsia="Arial" w:hAnsi="Arial" w:cs="Arial"/>
                <w:sz w:val="20"/>
                <w:szCs w:val="20"/>
              </w:rPr>
              <w:t>Improve clinical outcomes and experience as set out in the strategic benefits, contributing to improved patient reported outcomes and experience measures through an improved environment by 2026/27</w:t>
            </w:r>
          </w:p>
          <w:p w14:paraId="51817FE0" w14:textId="77777777" w:rsidR="00667468" w:rsidRPr="00F9726C" w:rsidRDefault="00667468" w:rsidP="001A3620">
            <w:pPr>
              <w:spacing w:after="0"/>
              <w:rPr>
                <w:rFonts w:ascii="Arial" w:eastAsia="Arial" w:hAnsi="Arial" w:cs="Arial"/>
                <w:sz w:val="20"/>
                <w:szCs w:val="20"/>
              </w:rPr>
            </w:pPr>
          </w:p>
          <w:p w14:paraId="7013A716" w14:textId="77777777" w:rsidR="00667468" w:rsidRPr="00F9726C" w:rsidRDefault="00667468" w:rsidP="001A3620">
            <w:pPr>
              <w:spacing w:after="0"/>
              <w:ind w:left="284" w:hanging="284"/>
              <w:rPr>
                <w:rFonts w:ascii="Arial" w:eastAsia="Arial" w:hAnsi="Arial" w:cs="Arial"/>
                <w:sz w:val="20"/>
                <w:szCs w:val="20"/>
              </w:rPr>
            </w:pPr>
            <w:r w:rsidRPr="00F9726C">
              <w:rPr>
                <w:rFonts w:ascii="Arial" w:eastAsia="Arial" w:hAnsi="Arial" w:cs="Arial"/>
                <w:sz w:val="20"/>
                <w:szCs w:val="20"/>
              </w:rPr>
              <w:t>7. Full compliance with the following from 2026/27:</w:t>
            </w:r>
          </w:p>
          <w:p w14:paraId="3CFDFAB7" w14:textId="77777777" w:rsidR="00667468" w:rsidRPr="00F9726C" w:rsidRDefault="00667468" w:rsidP="005E0D57">
            <w:pPr>
              <w:pStyle w:val="ListParagraph"/>
              <w:numPr>
                <w:ilvl w:val="0"/>
                <w:numId w:val="64"/>
              </w:numPr>
              <w:spacing w:after="0"/>
              <w:rPr>
                <w:rFonts w:ascii="Arial" w:eastAsia="Arial" w:hAnsi="Arial" w:cs="Arial"/>
                <w:sz w:val="20"/>
                <w:szCs w:val="20"/>
              </w:rPr>
            </w:pPr>
            <w:r w:rsidRPr="00F9726C">
              <w:rPr>
                <w:rFonts w:ascii="Arial" w:eastAsia="Arial" w:hAnsi="Arial" w:cs="Arial"/>
                <w:sz w:val="20"/>
                <w:szCs w:val="20"/>
              </w:rPr>
              <w:t>Current statutory building requirements</w:t>
            </w:r>
          </w:p>
          <w:p w14:paraId="768824E8" w14:textId="77777777" w:rsidR="00667468" w:rsidRPr="00F9726C" w:rsidRDefault="00667468" w:rsidP="005E0D57">
            <w:pPr>
              <w:pStyle w:val="ListParagraph"/>
              <w:numPr>
                <w:ilvl w:val="0"/>
                <w:numId w:val="64"/>
              </w:numPr>
              <w:spacing w:after="0"/>
              <w:rPr>
                <w:rFonts w:ascii="Arial" w:eastAsia="Arial" w:hAnsi="Arial" w:cs="Arial"/>
                <w:sz w:val="20"/>
                <w:szCs w:val="20"/>
              </w:rPr>
            </w:pPr>
            <w:r w:rsidRPr="00F9726C">
              <w:rPr>
                <w:rFonts w:ascii="Arial" w:eastAsia="Arial" w:hAnsi="Arial" w:cs="Arial"/>
                <w:sz w:val="20"/>
                <w:szCs w:val="20"/>
              </w:rPr>
              <w:t>Current health building best practice</w:t>
            </w:r>
          </w:p>
          <w:p w14:paraId="5FFCBDBC" w14:textId="77777777" w:rsidR="00667468" w:rsidRPr="00F9726C" w:rsidRDefault="00667468" w:rsidP="005E0D57">
            <w:pPr>
              <w:pStyle w:val="ListParagraph"/>
              <w:numPr>
                <w:ilvl w:val="0"/>
                <w:numId w:val="64"/>
              </w:numPr>
              <w:spacing w:after="0"/>
              <w:rPr>
                <w:rFonts w:ascii="Arial" w:eastAsia="Arial" w:hAnsi="Arial" w:cs="Arial"/>
                <w:sz w:val="20"/>
                <w:szCs w:val="20"/>
              </w:rPr>
            </w:pPr>
            <w:r w:rsidRPr="00F9726C">
              <w:rPr>
                <w:rFonts w:ascii="Arial" w:eastAsia="Arial" w:hAnsi="Arial" w:cs="Arial"/>
                <w:sz w:val="20"/>
                <w:szCs w:val="20"/>
              </w:rPr>
              <w:t>Equality Act 2010 accessibility requirement</w:t>
            </w:r>
          </w:p>
        </w:tc>
        <w:tc>
          <w:tcPr>
            <w:tcW w:w="0" w:type="auto"/>
          </w:tcPr>
          <w:p w14:paraId="7E07AD09"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Maintain current high standards in patient care</w:t>
            </w:r>
          </w:p>
        </w:tc>
        <w:tc>
          <w:tcPr>
            <w:tcW w:w="0" w:type="auto"/>
          </w:tcPr>
          <w:p w14:paraId="07862703"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Moorfields</w:t>
            </w:r>
          </w:p>
          <w:p w14:paraId="40935191"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Patients</w:t>
            </w:r>
          </w:p>
        </w:tc>
        <w:tc>
          <w:tcPr>
            <w:tcW w:w="0" w:type="auto"/>
          </w:tcPr>
          <w:p w14:paraId="6EACF958"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Quantifiable</w:t>
            </w:r>
          </w:p>
          <w:p w14:paraId="7CE6A4B8"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Non-cash releasing</w:t>
            </w:r>
          </w:p>
        </w:tc>
        <w:tc>
          <w:tcPr>
            <w:tcW w:w="0" w:type="auto"/>
          </w:tcPr>
          <w:p w14:paraId="374A1B82" w14:textId="21181CC2"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BRP</w:t>
            </w:r>
            <w:r w:rsidR="00DD2C20">
              <w:rPr>
                <w:rFonts w:ascii="Arial" w:eastAsia="Arial" w:hAnsi="Arial" w:cs="Arial"/>
                <w:sz w:val="20"/>
                <w:szCs w:val="20"/>
              </w:rPr>
              <w:t xml:space="preserve"> (Benefits Realisation Plan, Appendix </w:t>
            </w:r>
            <w:r w:rsidR="00127D77">
              <w:rPr>
                <w:rFonts w:ascii="Arial" w:eastAsia="Arial" w:hAnsi="Arial" w:cs="Arial"/>
                <w:sz w:val="20"/>
                <w:szCs w:val="20"/>
              </w:rPr>
              <w:t>8A</w:t>
            </w:r>
            <w:r w:rsidR="00DD2C20">
              <w:rPr>
                <w:rFonts w:ascii="Arial" w:eastAsia="Arial" w:hAnsi="Arial" w:cs="Arial"/>
                <w:sz w:val="20"/>
                <w:szCs w:val="20"/>
              </w:rPr>
              <w:t>)</w:t>
            </w:r>
          </w:p>
        </w:tc>
      </w:tr>
      <w:tr w:rsidR="004460FC" w:rsidRPr="00F9726C" w14:paraId="6EF8E307" w14:textId="77777777" w:rsidTr="00FF6E56">
        <w:tc>
          <w:tcPr>
            <w:tcW w:w="3969" w:type="dxa"/>
            <w:vMerge/>
          </w:tcPr>
          <w:p w14:paraId="057C3E02" w14:textId="77777777" w:rsidR="004460FC" w:rsidRPr="00F9726C" w:rsidRDefault="004460FC" w:rsidP="001A3620">
            <w:pPr>
              <w:spacing w:after="0"/>
              <w:rPr>
                <w:rFonts w:ascii="Arial" w:eastAsia="Arial" w:hAnsi="Arial" w:cs="Arial"/>
                <w:sz w:val="20"/>
                <w:szCs w:val="20"/>
              </w:rPr>
            </w:pPr>
          </w:p>
        </w:tc>
        <w:tc>
          <w:tcPr>
            <w:tcW w:w="0" w:type="auto"/>
          </w:tcPr>
          <w:p w14:paraId="0A638981"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Improved patient satisfaction</w:t>
            </w:r>
          </w:p>
        </w:tc>
        <w:tc>
          <w:tcPr>
            <w:tcW w:w="0" w:type="auto"/>
          </w:tcPr>
          <w:p w14:paraId="279EC4E0"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Patients</w:t>
            </w:r>
          </w:p>
        </w:tc>
        <w:tc>
          <w:tcPr>
            <w:tcW w:w="0" w:type="auto"/>
          </w:tcPr>
          <w:p w14:paraId="10F382E5"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Quantifiable</w:t>
            </w:r>
          </w:p>
        </w:tc>
        <w:tc>
          <w:tcPr>
            <w:tcW w:w="0" w:type="auto"/>
          </w:tcPr>
          <w:p w14:paraId="68F14389"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BRP</w:t>
            </w:r>
          </w:p>
          <w:p w14:paraId="0AB8CF64"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Economic appraisal</w:t>
            </w:r>
          </w:p>
        </w:tc>
      </w:tr>
      <w:tr w:rsidR="004460FC" w:rsidRPr="00F9726C" w14:paraId="50F363B8" w14:textId="77777777" w:rsidTr="00FF6E56">
        <w:tc>
          <w:tcPr>
            <w:tcW w:w="3969" w:type="dxa"/>
            <w:vMerge/>
          </w:tcPr>
          <w:p w14:paraId="5D2A6A1E" w14:textId="77777777" w:rsidR="004460FC" w:rsidRPr="00F9726C" w:rsidRDefault="004460FC" w:rsidP="001A3620">
            <w:pPr>
              <w:spacing w:after="0"/>
              <w:rPr>
                <w:rFonts w:ascii="Arial" w:eastAsia="Arial" w:hAnsi="Arial" w:cs="Arial"/>
                <w:sz w:val="20"/>
                <w:szCs w:val="20"/>
              </w:rPr>
            </w:pPr>
          </w:p>
        </w:tc>
        <w:tc>
          <w:tcPr>
            <w:tcW w:w="0" w:type="auto"/>
          </w:tcPr>
          <w:p w14:paraId="3F35F45D"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Increased earnings of partially sighted people in employment</w:t>
            </w:r>
          </w:p>
        </w:tc>
        <w:tc>
          <w:tcPr>
            <w:tcW w:w="0" w:type="auto"/>
          </w:tcPr>
          <w:p w14:paraId="13EC6A1B"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Patients</w:t>
            </w:r>
          </w:p>
          <w:p w14:paraId="6FAF4ADF"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Society</w:t>
            </w:r>
          </w:p>
        </w:tc>
        <w:tc>
          <w:tcPr>
            <w:tcW w:w="0" w:type="auto"/>
          </w:tcPr>
          <w:p w14:paraId="32D84EA4"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Cash releasing</w:t>
            </w:r>
          </w:p>
        </w:tc>
        <w:tc>
          <w:tcPr>
            <w:tcW w:w="0" w:type="auto"/>
          </w:tcPr>
          <w:p w14:paraId="2F4DA659"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Economic appraisal</w:t>
            </w:r>
          </w:p>
        </w:tc>
      </w:tr>
      <w:tr w:rsidR="004460FC" w:rsidRPr="00F9726C" w14:paraId="433BA929" w14:textId="77777777" w:rsidTr="00FF6E56">
        <w:tc>
          <w:tcPr>
            <w:tcW w:w="3969" w:type="dxa"/>
            <w:vMerge/>
          </w:tcPr>
          <w:p w14:paraId="24457D4F" w14:textId="77777777" w:rsidR="004460FC" w:rsidRPr="00F9726C" w:rsidRDefault="004460FC" w:rsidP="001A3620">
            <w:pPr>
              <w:spacing w:after="0"/>
              <w:rPr>
                <w:rFonts w:ascii="Arial" w:eastAsia="Arial" w:hAnsi="Arial" w:cs="Arial"/>
                <w:sz w:val="20"/>
                <w:szCs w:val="20"/>
              </w:rPr>
            </w:pPr>
          </w:p>
        </w:tc>
        <w:tc>
          <w:tcPr>
            <w:tcW w:w="0" w:type="auto"/>
          </w:tcPr>
          <w:p w14:paraId="18E51605" w14:textId="77777777" w:rsidR="00667468"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Improving access to clinical services</w:t>
            </w:r>
          </w:p>
        </w:tc>
        <w:tc>
          <w:tcPr>
            <w:tcW w:w="0" w:type="auto"/>
          </w:tcPr>
          <w:p w14:paraId="278A7AE3"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Patients</w:t>
            </w:r>
          </w:p>
          <w:p w14:paraId="06990B5E"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Society</w:t>
            </w:r>
          </w:p>
        </w:tc>
        <w:tc>
          <w:tcPr>
            <w:tcW w:w="0" w:type="auto"/>
          </w:tcPr>
          <w:p w14:paraId="3855D1C4"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Qualitative</w:t>
            </w:r>
          </w:p>
        </w:tc>
        <w:tc>
          <w:tcPr>
            <w:tcW w:w="0" w:type="auto"/>
          </w:tcPr>
          <w:p w14:paraId="4F5D2405"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BRP</w:t>
            </w:r>
          </w:p>
        </w:tc>
      </w:tr>
      <w:tr w:rsidR="004460FC" w:rsidRPr="00F9726C" w14:paraId="7AD0288E" w14:textId="77777777" w:rsidTr="00FF6E56">
        <w:tc>
          <w:tcPr>
            <w:tcW w:w="3969" w:type="dxa"/>
            <w:vMerge/>
          </w:tcPr>
          <w:p w14:paraId="62D55F76" w14:textId="77777777" w:rsidR="004460FC" w:rsidRPr="00F9726C" w:rsidRDefault="004460FC" w:rsidP="001A3620">
            <w:pPr>
              <w:spacing w:after="0"/>
              <w:rPr>
                <w:rFonts w:ascii="Arial" w:eastAsia="Arial" w:hAnsi="Arial" w:cs="Arial"/>
                <w:sz w:val="20"/>
                <w:szCs w:val="20"/>
              </w:rPr>
            </w:pPr>
          </w:p>
        </w:tc>
        <w:tc>
          <w:tcPr>
            <w:tcW w:w="0" w:type="auto"/>
          </w:tcPr>
          <w:p w14:paraId="2EBC1C57"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Increased staff satisfaction</w:t>
            </w:r>
          </w:p>
        </w:tc>
        <w:tc>
          <w:tcPr>
            <w:tcW w:w="0" w:type="auto"/>
          </w:tcPr>
          <w:p w14:paraId="019813B8"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Staff</w:t>
            </w:r>
          </w:p>
          <w:p w14:paraId="423932B7"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Moorfields</w:t>
            </w:r>
          </w:p>
        </w:tc>
        <w:tc>
          <w:tcPr>
            <w:tcW w:w="0" w:type="auto"/>
          </w:tcPr>
          <w:p w14:paraId="275B6B27"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Quantifiable</w:t>
            </w:r>
          </w:p>
        </w:tc>
        <w:tc>
          <w:tcPr>
            <w:tcW w:w="0" w:type="auto"/>
          </w:tcPr>
          <w:p w14:paraId="792A7FD8"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BRP</w:t>
            </w:r>
          </w:p>
          <w:p w14:paraId="6E778903"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Economic appraisal</w:t>
            </w:r>
          </w:p>
        </w:tc>
      </w:tr>
      <w:tr w:rsidR="004460FC" w:rsidRPr="00F9726C" w14:paraId="026791CA" w14:textId="77777777" w:rsidTr="00FF6E56">
        <w:tc>
          <w:tcPr>
            <w:tcW w:w="3969" w:type="dxa"/>
            <w:vMerge w:val="restart"/>
          </w:tcPr>
          <w:p w14:paraId="1EB0C227" w14:textId="77777777" w:rsidR="004460FC" w:rsidRPr="00F9726C" w:rsidRDefault="004460FC" w:rsidP="005E0D57">
            <w:pPr>
              <w:pStyle w:val="ListParagraph"/>
              <w:numPr>
                <w:ilvl w:val="0"/>
                <w:numId w:val="49"/>
              </w:numPr>
              <w:spacing w:after="0"/>
              <w:rPr>
                <w:rFonts w:ascii="Arial" w:eastAsia="Arial" w:hAnsi="Arial" w:cs="Arial"/>
                <w:sz w:val="20"/>
                <w:szCs w:val="20"/>
              </w:rPr>
            </w:pPr>
            <w:r w:rsidRPr="00F9726C">
              <w:rPr>
                <w:rFonts w:ascii="Arial" w:eastAsia="Arial" w:hAnsi="Arial" w:cs="Arial"/>
                <w:sz w:val="20"/>
                <w:szCs w:val="20"/>
              </w:rPr>
              <w:t xml:space="preserve">Maximise the opportunity to undertake and translate discovery research through experimental medicine studies and trials in patients, leading to new diagnostics and new therapies, and to maintain our world-leading partnership status – increased volume and quality of research publications, thereby maintaining the IoO’s number one status (RAND Europe, 2015), through a 15% increase in the number of principal investigators at the IoO, </w:t>
            </w:r>
            <w:r w:rsidRPr="00F9726C">
              <w:rPr>
                <w:rFonts w:ascii="Arial" w:eastAsia="Arial" w:hAnsi="Arial" w:cs="Arial"/>
                <w:sz w:val="20"/>
                <w:szCs w:val="20"/>
              </w:rPr>
              <w:lastRenderedPageBreak/>
              <w:t xml:space="preserve">and an additional 82 publications per year published by academics at IoO and </w:t>
            </w:r>
            <w:r w:rsidR="00C430AE" w:rsidRPr="00F9726C">
              <w:rPr>
                <w:rFonts w:ascii="Arial" w:eastAsia="Arial" w:hAnsi="Arial" w:cs="Arial"/>
                <w:sz w:val="20"/>
                <w:szCs w:val="20"/>
              </w:rPr>
              <w:t>Moorfields</w:t>
            </w:r>
            <w:r w:rsidRPr="00F9726C">
              <w:rPr>
                <w:rFonts w:ascii="Arial" w:eastAsia="Arial" w:hAnsi="Arial" w:cs="Arial"/>
                <w:sz w:val="20"/>
                <w:szCs w:val="20"/>
              </w:rPr>
              <w:t xml:space="preserve"> by 2031/32</w:t>
            </w:r>
          </w:p>
        </w:tc>
        <w:tc>
          <w:tcPr>
            <w:tcW w:w="0" w:type="auto"/>
          </w:tcPr>
          <w:p w14:paraId="7E1521AA"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lastRenderedPageBreak/>
              <w:t>Greater access for patients to participate in research</w:t>
            </w:r>
          </w:p>
        </w:tc>
        <w:tc>
          <w:tcPr>
            <w:tcW w:w="0" w:type="auto"/>
          </w:tcPr>
          <w:p w14:paraId="0BB96C40"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Patients</w:t>
            </w:r>
          </w:p>
          <w:p w14:paraId="637A7F88"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Moorfields</w:t>
            </w:r>
          </w:p>
          <w:p w14:paraId="6D7B6BA8"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UCL</w:t>
            </w:r>
          </w:p>
          <w:p w14:paraId="32DDF169"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Society</w:t>
            </w:r>
          </w:p>
          <w:p w14:paraId="078319D9"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Wider NHS</w:t>
            </w:r>
          </w:p>
        </w:tc>
        <w:tc>
          <w:tcPr>
            <w:tcW w:w="0" w:type="auto"/>
          </w:tcPr>
          <w:p w14:paraId="4B833EFF"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Quantifiable</w:t>
            </w:r>
          </w:p>
        </w:tc>
        <w:tc>
          <w:tcPr>
            <w:tcW w:w="0" w:type="auto"/>
          </w:tcPr>
          <w:p w14:paraId="05149A14"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BRP</w:t>
            </w:r>
          </w:p>
        </w:tc>
      </w:tr>
      <w:tr w:rsidR="00667468" w:rsidRPr="00F9726C" w14:paraId="468D33B3" w14:textId="77777777" w:rsidTr="00FF6E56">
        <w:trPr>
          <w:trHeight w:val="1265"/>
        </w:trPr>
        <w:tc>
          <w:tcPr>
            <w:tcW w:w="3969" w:type="dxa"/>
            <w:vMerge/>
          </w:tcPr>
          <w:p w14:paraId="5A509F6A" w14:textId="77777777" w:rsidR="00667468" w:rsidRPr="00F9726C" w:rsidRDefault="00667468" w:rsidP="005E0D57">
            <w:pPr>
              <w:pStyle w:val="ListParagraph"/>
              <w:numPr>
                <w:ilvl w:val="0"/>
                <w:numId w:val="49"/>
              </w:numPr>
              <w:spacing w:after="0"/>
              <w:rPr>
                <w:rFonts w:ascii="Arial" w:eastAsia="Arial" w:hAnsi="Arial" w:cs="Arial"/>
                <w:sz w:val="20"/>
                <w:szCs w:val="20"/>
              </w:rPr>
            </w:pPr>
          </w:p>
        </w:tc>
        <w:tc>
          <w:tcPr>
            <w:tcW w:w="0" w:type="auto"/>
          </w:tcPr>
          <w:p w14:paraId="620085B7" w14:textId="77777777" w:rsidR="00667468" w:rsidRPr="00F9726C" w:rsidRDefault="00667468" w:rsidP="001A3620">
            <w:pPr>
              <w:spacing w:after="0"/>
              <w:rPr>
                <w:rFonts w:ascii="Arial" w:eastAsia="Arial" w:hAnsi="Arial" w:cs="Arial"/>
                <w:sz w:val="20"/>
                <w:szCs w:val="20"/>
              </w:rPr>
            </w:pPr>
            <w:r w:rsidRPr="00F9726C">
              <w:rPr>
                <w:rFonts w:ascii="Arial" w:eastAsia="Arial" w:hAnsi="Arial" w:cs="Arial"/>
                <w:sz w:val="20"/>
                <w:szCs w:val="20"/>
              </w:rPr>
              <w:t>Improved research output</w:t>
            </w:r>
          </w:p>
        </w:tc>
        <w:tc>
          <w:tcPr>
            <w:tcW w:w="0" w:type="auto"/>
          </w:tcPr>
          <w:p w14:paraId="4916B704" w14:textId="77777777" w:rsidR="00667468" w:rsidRPr="00F9726C" w:rsidRDefault="00667468" w:rsidP="001A3620">
            <w:pPr>
              <w:spacing w:after="0"/>
              <w:rPr>
                <w:rFonts w:ascii="Arial" w:eastAsia="Arial" w:hAnsi="Arial" w:cs="Arial"/>
                <w:sz w:val="20"/>
                <w:szCs w:val="20"/>
              </w:rPr>
            </w:pPr>
            <w:r w:rsidRPr="00F9726C">
              <w:rPr>
                <w:rFonts w:ascii="Arial" w:eastAsia="Arial" w:hAnsi="Arial" w:cs="Arial"/>
                <w:sz w:val="20"/>
                <w:szCs w:val="20"/>
              </w:rPr>
              <w:t>Patients</w:t>
            </w:r>
          </w:p>
          <w:p w14:paraId="0777DFC3" w14:textId="77777777" w:rsidR="00667468" w:rsidRPr="00F9726C" w:rsidRDefault="00667468" w:rsidP="001A3620">
            <w:pPr>
              <w:spacing w:after="0"/>
              <w:rPr>
                <w:rFonts w:ascii="Arial" w:eastAsia="Arial" w:hAnsi="Arial" w:cs="Arial"/>
                <w:sz w:val="20"/>
                <w:szCs w:val="20"/>
              </w:rPr>
            </w:pPr>
            <w:r w:rsidRPr="00F9726C">
              <w:rPr>
                <w:rFonts w:ascii="Arial" w:eastAsia="Arial" w:hAnsi="Arial" w:cs="Arial"/>
                <w:sz w:val="20"/>
                <w:szCs w:val="20"/>
              </w:rPr>
              <w:t>Moorfields</w:t>
            </w:r>
          </w:p>
          <w:p w14:paraId="1CCFDE02" w14:textId="77777777" w:rsidR="00667468" w:rsidRPr="00F9726C" w:rsidRDefault="00667468" w:rsidP="001A3620">
            <w:pPr>
              <w:spacing w:after="0"/>
              <w:rPr>
                <w:rFonts w:ascii="Arial" w:eastAsia="Arial" w:hAnsi="Arial" w:cs="Arial"/>
                <w:sz w:val="20"/>
                <w:szCs w:val="20"/>
              </w:rPr>
            </w:pPr>
            <w:r w:rsidRPr="00F9726C">
              <w:rPr>
                <w:rFonts w:ascii="Arial" w:eastAsia="Arial" w:hAnsi="Arial" w:cs="Arial"/>
                <w:sz w:val="20"/>
                <w:szCs w:val="20"/>
              </w:rPr>
              <w:t>UCL</w:t>
            </w:r>
          </w:p>
          <w:p w14:paraId="6D84C5F8" w14:textId="77777777" w:rsidR="00667468" w:rsidRPr="00F9726C" w:rsidRDefault="00667468" w:rsidP="001A3620">
            <w:pPr>
              <w:spacing w:after="0"/>
              <w:rPr>
                <w:rFonts w:ascii="Arial" w:eastAsia="Arial" w:hAnsi="Arial" w:cs="Arial"/>
                <w:sz w:val="20"/>
                <w:szCs w:val="20"/>
              </w:rPr>
            </w:pPr>
            <w:r w:rsidRPr="00F9726C">
              <w:rPr>
                <w:rFonts w:ascii="Arial" w:eastAsia="Arial" w:hAnsi="Arial" w:cs="Arial"/>
                <w:sz w:val="20"/>
                <w:szCs w:val="20"/>
              </w:rPr>
              <w:t>Society</w:t>
            </w:r>
          </w:p>
          <w:p w14:paraId="19ABB3BB" w14:textId="77777777" w:rsidR="00667468" w:rsidRPr="00F9726C" w:rsidRDefault="00667468" w:rsidP="001A3620">
            <w:pPr>
              <w:spacing w:after="0"/>
              <w:rPr>
                <w:rFonts w:ascii="Arial" w:eastAsia="Arial" w:hAnsi="Arial" w:cs="Arial"/>
                <w:sz w:val="20"/>
                <w:szCs w:val="20"/>
              </w:rPr>
            </w:pPr>
            <w:r w:rsidRPr="00F9726C">
              <w:rPr>
                <w:rFonts w:ascii="Arial" w:eastAsia="Arial" w:hAnsi="Arial" w:cs="Arial"/>
                <w:sz w:val="20"/>
                <w:szCs w:val="20"/>
              </w:rPr>
              <w:t>Wider NHS</w:t>
            </w:r>
          </w:p>
        </w:tc>
        <w:tc>
          <w:tcPr>
            <w:tcW w:w="0" w:type="auto"/>
          </w:tcPr>
          <w:p w14:paraId="6B1AD17E" w14:textId="77777777" w:rsidR="00667468" w:rsidRPr="00F9726C" w:rsidRDefault="00667468" w:rsidP="001A3620">
            <w:pPr>
              <w:spacing w:after="0"/>
              <w:rPr>
                <w:rFonts w:ascii="Arial" w:eastAsia="Arial" w:hAnsi="Arial" w:cs="Arial"/>
                <w:sz w:val="20"/>
                <w:szCs w:val="20"/>
              </w:rPr>
            </w:pPr>
            <w:r w:rsidRPr="00F9726C">
              <w:rPr>
                <w:rFonts w:ascii="Arial" w:eastAsia="Arial" w:hAnsi="Arial" w:cs="Arial"/>
                <w:sz w:val="20"/>
                <w:szCs w:val="20"/>
              </w:rPr>
              <w:t>Qualitative</w:t>
            </w:r>
          </w:p>
        </w:tc>
        <w:tc>
          <w:tcPr>
            <w:tcW w:w="0" w:type="auto"/>
          </w:tcPr>
          <w:p w14:paraId="7EE3B054" w14:textId="77777777" w:rsidR="00667468" w:rsidRPr="00F9726C" w:rsidRDefault="00667468" w:rsidP="001A3620">
            <w:pPr>
              <w:spacing w:after="0"/>
              <w:rPr>
                <w:rFonts w:ascii="Arial" w:eastAsia="Arial" w:hAnsi="Arial" w:cs="Arial"/>
                <w:sz w:val="20"/>
                <w:szCs w:val="20"/>
              </w:rPr>
            </w:pPr>
            <w:r w:rsidRPr="00F9726C">
              <w:rPr>
                <w:rFonts w:ascii="Arial" w:eastAsia="Arial" w:hAnsi="Arial" w:cs="Arial"/>
                <w:sz w:val="20"/>
                <w:szCs w:val="20"/>
              </w:rPr>
              <w:t>BRP</w:t>
            </w:r>
          </w:p>
          <w:p w14:paraId="7FF07388" w14:textId="77777777" w:rsidR="00667468" w:rsidRPr="00F9726C" w:rsidRDefault="00667468" w:rsidP="001A3620">
            <w:pPr>
              <w:spacing w:after="0"/>
              <w:rPr>
                <w:rFonts w:ascii="Arial" w:eastAsia="Arial" w:hAnsi="Arial" w:cs="Arial"/>
                <w:sz w:val="20"/>
                <w:szCs w:val="20"/>
              </w:rPr>
            </w:pPr>
            <w:r w:rsidRPr="00F9726C">
              <w:rPr>
                <w:rFonts w:ascii="Arial" w:eastAsia="Arial" w:hAnsi="Arial" w:cs="Arial"/>
                <w:sz w:val="20"/>
                <w:szCs w:val="20"/>
              </w:rPr>
              <w:t>Economic appraisal</w:t>
            </w:r>
          </w:p>
        </w:tc>
      </w:tr>
      <w:tr w:rsidR="004460FC" w:rsidRPr="00F9726C" w14:paraId="3ED8E89C" w14:textId="77777777" w:rsidTr="00FF6E56">
        <w:trPr>
          <w:trHeight w:val="956"/>
        </w:trPr>
        <w:tc>
          <w:tcPr>
            <w:tcW w:w="3969" w:type="dxa"/>
            <w:vMerge w:val="restart"/>
          </w:tcPr>
          <w:p w14:paraId="32052748" w14:textId="77777777" w:rsidR="004460FC" w:rsidRPr="00F9726C" w:rsidRDefault="004460FC" w:rsidP="005E0D57">
            <w:pPr>
              <w:pStyle w:val="ListParagraph"/>
              <w:numPr>
                <w:ilvl w:val="0"/>
                <w:numId w:val="49"/>
              </w:numPr>
              <w:spacing w:after="0"/>
              <w:rPr>
                <w:rFonts w:ascii="Arial" w:eastAsia="Arial" w:hAnsi="Arial" w:cs="Arial"/>
                <w:sz w:val="20"/>
                <w:szCs w:val="20"/>
              </w:rPr>
            </w:pPr>
            <w:r w:rsidRPr="00F9726C">
              <w:rPr>
                <w:rFonts w:ascii="Arial" w:eastAsia="Arial" w:hAnsi="Arial" w:cs="Arial"/>
                <w:sz w:val="20"/>
                <w:szCs w:val="20"/>
              </w:rPr>
              <w:t>Increase in student numbers undertaking degree and training courses by an average of 60 more ophthalmology students per year by 2031/32</w:t>
            </w:r>
          </w:p>
        </w:tc>
        <w:tc>
          <w:tcPr>
            <w:tcW w:w="0" w:type="auto"/>
          </w:tcPr>
          <w:p w14:paraId="0AC0B30D"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Improving number of high-quality trainees</w:t>
            </w:r>
          </w:p>
        </w:tc>
        <w:tc>
          <w:tcPr>
            <w:tcW w:w="0" w:type="auto"/>
          </w:tcPr>
          <w:p w14:paraId="1DA1AE8D"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Moorfields</w:t>
            </w:r>
          </w:p>
          <w:p w14:paraId="5EB20CDF"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Staff</w:t>
            </w:r>
          </w:p>
          <w:p w14:paraId="6FA4A2F2"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Wider NHS</w:t>
            </w:r>
          </w:p>
          <w:p w14:paraId="1A0C1940"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UCL</w:t>
            </w:r>
          </w:p>
        </w:tc>
        <w:tc>
          <w:tcPr>
            <w:tcW w:w="0" w:type="auto"/>
          </w:tcPr>
          <w:p w14:paraId="5D315F20"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Quantifiable</w:t>
            </w:r>
          </w:p>
        </w:tc>
        <w:tc>
          <w:tcPr>
            <w:tcW w:w="0" w:type="auto"/>
          </w:tcPr>
          <w:p w14:paraId="4A1B3547"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BRP</w:t>
            </w:r>
          </w:p>
          <w:p w14:paraId="10D7B8CA"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Economic appraisal</w:t>
            </w:r>
          </w:p>
        </w:tc>
      </w:tr>
      <w:tr w:rsidR="004460FC" w:rsidRPr="00F9726C" w14:paraId="5A117444" w14:textId="77777777" w:rsidTr="00FF6E56">
        <w:trPr>
          <w:trHeight w:val="285"/>
        </w:trPr>
        <w:tc>
          <w:tcPr>
            <w:tcW w:w="3969" w:type="dxa"/>
            <w:vMerge/>
          </w:tcPr>
          <w:p w14:paraId="22609099" w14:textId="77777777" w:rsidR="004460FC" w:rsidRPr="00F9726C" w:rsidRDefault="004460FC" w:rsidP="005E0D57">
            <w:pPr>
              <w:pStyle w:val="ListParagraph"/>
              <w:numPr>
                <w:ilvl w:val="0"/>
                <w:numId w:val="49"/>
              </w:numPr>
              <w:spacing w:after="0"/>
              <w:rPr>
                <w:rFonts w:ascii="Arial" w:eastAsia="Arial" w:hAnsi="Arial" w:cs="Arial"/>
                <w:sz w:val="20"/>
                <w:szCs w:val="20"/>
              </w:rPr>
            </w:pPr>
          </w:p>
        </w:tc>
        <w:tc>
          <w:tcPr>
            <w:tcW w:w="0" w:type="auto"/>
          </w:tcPr>
          <w:p w14:paraId="6D9814F2"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Improved medical student satisfaction</w:t>
            </w:r>
          </w:p>
        </w:tc>
        <w:tc>
          <w:tcPr>
            <w:tcW w:w="0" w:type="auto"/>
          </w:tcPr>
          <w:p w14:paraId="7E68802C"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Moorfields</w:t>
            </w:r>
          </w:p>
          <w:p w14:paraId="0A0A065B"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UCL</w:t>
            </w:r>
          </w:p>
        </w:tc>
        <w:tc>
          <w:tcPr>
            <w:tcW w:w="0" w:type="auto"/>
          </w:tcPr>
          <w:p w14:paraId="3DA299F7"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Quantifiable</w:t>
            </w:r>
          </w:p>
        </w:tc>
        <w:tc>
          <w:tcPr>
            <w:tcW w:w="0" w:type="auto"/>
          </w:tcPr>
          <w:p w14:paraId="21F96875"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BRP</w:t>
            </w:r>
          </w:p>
          <w:p w14:paraId="78290E2B"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Economic appraisal</w:t>
            </w:r>
          </w:p>
        </w:tc>
      </w:tr>
      <w:tr w:rsidR="004460FC" w:rsidRPr="00F9726C" w14:paraId="626F48CF" w14:textId="77777777" w:rsidTr="00FF6E56">
        <w:tc>
          <w:tcPr>
            <w:tcW w:w="3969" w:type="dxa"/>
            <w:vMerge w:val="restart"/>
          </w:tcPr>
          <w:p w14:paraId="6AA63D3A" w14:textId="77777777" w:rsidR="004460FC" w:rsidRPr="00F9726C" w:rsidRDefault="004460FC" w:rsidP="005E0D57">
            <w:pPr>
              <w:pStyle w:val="ListParagraph"/>
              <w:numPr>
                <w:ilvl w:val="0"/>
                <w:numId w:val="49"/>
              </w:numPr>
              <w:spacing w:after="0"/>
              <w:rPr>
                <w:rFonts w:ascii="Arial" w:eastAsia="Arial" w:hAnsi="Arial" w:cs="Arial"/>
                <w:sz w:val="20"/>
                <w:szCs w:val="20"/>
              </w:rPr>
            </w:pPr>
            <w:r w:rsidRPr="00F9726C">
              <w:rPr>
                <w:rFonts w:ascii="Arial" w:eastAsia="Arial" w:hAnsi="Arial" w:cs="Arial"/>
                <w:sz w:val="20"/>
                <w:szCs w:val="20"/>
              </w:rPr>
              <w:t xml:space="preserve">Enable clinical efficiencies, informed by </w:t>
            </w:r>
            <w:bookmarkStart w:id="165" w:name="_Hlk24649835"/>
            <w:r w:rsidRPr="00F9726C">
              <w:rPr>
                <w:rFonts w:ascii="Arial" w:eastAsia="Arial" w:hAnsi="Arial" w:cs="Arial"/>
                <w:sz w:val="20"/>
                <w:szCs w:val="20"/>
              </w:rPr>
              <w:t>GIRFT and Carter, working towards national targets of a 30% reduction in outpatient appointments from 2025/26 in collaboration with system partners</w:t>
            </w:r>
            <w:bookmarkEnd w:id="165"/>
            <w:r w:rsidRPr="00F9726C">
              <w:rPr>
                <w:rFonts w:ascii="Arial" w:eastAsia="Arial" w:hAnsi="Arial" w:cs="Arial"/>
                <w:sz w:val="20"/>
                <w:szCs w:val="20"/>
              </w:rPr>
              <w:t>.</w:t>
            </w:r>
          </w:p>
        </w:tc>
        <w:tc>
          <w:tcPr>
            <w:tcW w:w="0" w:type="auto"/>
          </w:tcPr>
          <w:p w14:paraId="0687C2D3"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Improved throughput in outpatients, theatres and A&amp;E</w:t>
            </w:r>
          </w:p>
        </w:tc>
        <w:tc>
          <w:tcPr>
            <w:tcW w:w="0" w:type="auto"/>
          </w:tcPr>
          <w:p w14:paraId="2149C995"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Moorfields</w:t>
            </w:r>
          </w:p>
          <w:p w14:paraId="26C7240F"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Patients</w:t>
            </w:r>
          </w:p>
        </w:tc>
        <w:tc>
          <w:tcPr>
            <w:tcW w:w="0" w:type="auto"/>
          </w:tcPr>
          <w:p w14:paraId="40BF1F80"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Non-cash releasing</w:t>
            </w:r>
          </w:p>
        </w:tc>
        <w:tc>
          <w:tcPr>
            <w:tcW w:w="0" w:type="auto"/>
          </w:tcPr>
          <w:p w14:paraId="7F285959"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BRP</w:t>
            </w:r>
          </w:p>
          <w:p w14:paraId="49F8A218"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Economic appraisal</w:t>
            </w:r>
          </w:p>
        </w:tc>
      </w:tr>
      <w:tr w:rsidR="004460FC" w:rsidRPr="00F9726C" w14:paraId="67232A7C" w14:textId="77777777" w:rsidTr="00FF6E56">
        <w:tc>
          <w:tcPr>
            <w:tcW w:w="3969" w:type="dxa"/>
            <w:vMerge/>
          </w:tcPr>
          <w:p w14:paraId="62492216" w14:textId="77777777" w:rsidR="004460FC" w:rsidRPr="00F9726C" w:rsidRDefault="004460FC" w:rsidP="005E0D57">
            <w:pPr>
              <w:pStyle w:val="ListParagraph"/>
              <w:numPr>
                <w:ilvl w:val="0"/>
                <w:numId w:val="49"/>
              </w:numPr>
              <w:spacing w:after="0"/>
              <w:rPr>
                <w:rFonts w:ascii="Arial" w:eastAsia="Arial" w:hAnsi="Arial" w:cs="Arial"/>
                <w:sz w:val="20"/>
                <w:szCs w:val="20"/>
              </w:rPr>
            </w:pPr>
          </w:p>
        </w:tc>
        <w:tc>
          <w:tcPr>
            <w:tcW w:w="0" w:type="auto"/>
          </w:tcPr>
          <w:p w14:paraId="2AAD8D9F"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Time saving for patients</w:t>
            </w:r>
          </w:p>
        </w:tc>
        <w:tc>
          <w:tcPr>
            <w:tcW w:w="0" w:type="auto"/>
          </w:tcPr>
          <w:p w14:paraId="5F1EC841"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Patients</w:t>
            </w:r>
          </w:p>
        </w:tc>
        <w:tc>
          <w:tcPr>
            <w:tcW w:w="0" w:type="auto"/>
          </w:tcPr>
          <w:p w14:paraId="3AF547FF"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Non-cash releasing</w:t>
            </w:r>
          </w:p>
        </w:tc>
        <w:tc>
          <w:tcPr>
            <w:tcW w:w="0" w:type="auto"/>
          </w:tcPr>
          <w:p w14:paraId="6ED7C811"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Economic appraisal</w:t>
            </w:r>
          </w:p>
        </w:tc>
      </w:tr>
      <w:tr w:rsidR="004460FC" w:rsidRPr="00F9726C" w14:paraId="35E39468" w14:textId="77777777" w:rsidTr="00FF6E56">
        <w:tc>
          <w:tcPr>
            <w:tcW w:w="3969" w:type="dxa"/>
            <w:vMerge w:val="restart"/>
          </w:tcPr>
          <w:p w14:paraId="4B21D00E" w14:textId="77777777" w:rsidR="004460FC" w:rsidRPr="00F9726C" w:rsidRDefault="004460FC" w:rsidP="005E0D57">
            <w:pPr>
              <w:pStyle w:val="ListParagraph"/>
              <w:numPr>
                <w:ilvl w:val="0"/>
                <w:numId w:val="49"/>
              </w:numPr>
              <w:spacing w:after="0"/>
              <w:rPr>
                <w:rFonts w:ascii="Arial" w:eastAsia="Arial" w:hAnsi="Arial" w:cs="Arial"/>
                <w:sz w:val="20"/>
                <w:szCs w:val="20"/>
              </w:rPr>
            </w:pPr>
            <w:r w:rsidRPr="00F9726C">
              <w:rPr>
                <w:rFonts w:ascii="Arial" w:eastAsia="Arial" w:hAnsi="Arial" w:cs="Arial"/>
                <w:sz w:val="20"/>
                <w:szCs w:val="20"/>
              </w:rPr>
              <w:t>Premises and equipment suitable for use by the Oriel partners for at least 10 years from operation in 2025/26 with improved capacity for clinical treatment, research and education</w:t>
            </w:r>
          </w:p>
        </w:tc>
        <w:tc>
          <w:tcPr>
            <w:tcW w:w="0" w:type="auto"/>
          </w:tcPr>
          <w:p w14:paraId="6B379056"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Ability to adapt to future service change</w:t>
            </w:r>
          </w:p>
        </w:tc>
        <w:tc>
          <w:tcPr>
            <w:tcW w:w="0" w:type="auto"/>
          </w:tcPr>
          <w:p w14:paraId="4DA9189F"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Patients</w:t>
            </w:r>
          </w:p>
          <w:p w14:paraId="6B225C75"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Moorfields</w:t>
            </w:r>
          </w:p>
          <w:p w14:paraId="2041E666"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Wider NHS</w:t>
            </w:r>
          </w:p>
        </w:tc>
        <w:tc>
          <w:tcPr>
            <w:tcW w:w="0" w:type="auto"/>
          </w:tcPr>
          <w:p w14:paraId="1B308E21"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Qualitative</w:t>
            </w:r>
          </w:p>
        </w:tc>
        <w:tc>
          <w:tcPr>
            <w:tcW w:w="0" w:type="auto"/>
          </w:tcPr>
          <w:p w14:paraId="30C94EDF"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BRP</w:t>
            </w:r>
          </w:p>
        </w:tc>
      </w:tr>
      <w:tr w:rsidR="004460FC" w:rsidRPr="00F9726C" w14:paraId="1A54A15E" w14:textId="77777777" w:rsidTr="00FF6E56">
        <w:tc>
          <w:tcPr>
            <w:tcW w:w="3969" w:type="dxa"/>
            <w:vMerge/>
          </w:tcPr>
          <w:p w14:paraId="76C139FC" w14:textId="77777777" w:rsidR="004460FC" w:rsidRPr="00F9726C" w:rsidRDefault="004460FC" w:rsidP="005E0D57">
            <w:pPr>
              <w:pStyle w:val="ListParagraph"/>
              <w:numPr>
                <w:ilvl w:val="0"/>
                <w:numId w:val="49"/>
              </w:numPr>
              <w:spacing w:after="0"/>
              <w:rPr>
                <w:rFonts w:ascii="Arial" w:eastAsia="Arial" w:hAnsi="Arial" w:cs="Arial"/>
                <w:sz w:val="20"/>
                <w:szCs w:val="20"/>
              </w:rPr>
            </w:pPr>
          </w:p>
        </w:tc>
        <w:tc>
          <w:tcPr>
            <w:tcW w:w="0" w:type="auto"/>
          </w:tcPr>
          <w:p w14:paraId="6DDA8170"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Reduced CO2 emissions</w:t>
            </w:r>
          </w:p>
        </w:tc>
        <w:tc>
          <w:tcPr>
            <w:tcW w:w="0" w:type="auto"/>
          </w:tcPr>
          <w:p w14:paraId="72A4A07E"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Society</w:t>
            </w:r>
          </w:p>
        </w:tc>
        <w:tc>
          <w:tcPr>
            <w:tcW w:w="0" w:type="auto"/>
          </w:tcPr>
          <w:p w14:paraId="30ADF6E3"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Non-cash releasing</w:t>
            </w:r>
          </w:p>
        </w:tc>
        <w:tc>
          <w:tcPr>
            <w:tcW w:w="0" w:type="auto"/>
          </w:tcPr>
          <w:p w14:paraId="1CE538B6"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BRP</w:t>
            </w:r>
          </w:p>
          <w:p w14:paraId="20BD5438"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Economic appraisal</w:t>
            </w:r>
          </w:p>
        </w:tc>
      </w:tr>
      <w:tr w:rsidR="004460FC" w:rsidRPr="00F9726C" w14:paraId="5CCA6B2F" w14:textId="77777777" w:rsidTr="00FF6E56">
        <w:tc>
          <w:tcPr>
            <w:tcW w:w="3969" w:type="dxa"/>
            <w:vMerge/>
          </w:tcPr>
          <w:p w14:paraId="3BBF4F64" w14:textId="77777777" w:rsidR="004460FC" w:rsidRPr="00F9726C" w:rsidRDefault="004460FC" w:rsidP="005E0D57">
            <w:pPr>
              <w:pStyle w:val="ListParagraph"/>
              <w:numPr>
                <w:ilvl w:val="0"/>
                <w:numId w:val="49"/>
              </w:numPr>
              <w:spacing w:after="0"/>
              <w:rPr>
                <w:rFonts w:ascii="Arial" w:eastAsia="Arial" w:hAnsi="Arial" w:cs="Arial"/>
                <w:sz w:val="20"/>
                <w:szCs w:val="20"/>
              </w:rPr>
            </w:pPr>
          </w:p>
        </w:tc>
        <w:tc>
          <w:tcPr>
            <w:tcW w:w="0" w:type="auto"/>
          </w:tcPr>
          <w:p w14:paraId="35558AAB"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Eliminate backlog maintenance</w:t>
            </w:r>
          </w:p>
        </w:tc>
        <w:tc>
          <w:tcPr>
            <w:tcW w:w="0" w:type="auto"/>
          </w:tcPr>
          <w:p w14:paraId="2DB585B5"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Moorfields</w:t>
            </w:r>
          </w:p>
        </w:tc>
        <w:tc>
          <w:tcPr>
            <w:tcW w:w="0" w:type="auto"/>
          </w:tcPr>
          <w:p w14:paraId="27D74473"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Non-cash releasing</w:t>
            </w:r>
          </w:p>
        </w:tc>
        <w:tc>
          <w:tcPr>
            <w:tcW w:w="0" w:type="auto"/>
          </w:tcPr>
          <w:p w14:paraId="0869C580"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BRP</w:t>
            </w:r>
          </w:p>
        </w:tc>
      </w:tr>
      <w:tr w:rsidR="004460FC" w:rsidRPr="00F9726C" w14:paraId="66F1CBAC" w14:textId="77777777" w:rsidTr="00FF6E56">
        <w:tc>
          <w:tcPr>
            <w:tcW w:w="3969" w:type="dxa"/>
          </w:tcPr>
          <w:p w14:paraId="5C7EBFF1" w14:textId="77777777" w:rsidR="004460FC" w:rsidRPr="00F9726C" w:rsidRDefault="004460FC" w:rsidP="005E0D57">
            <w:pPr>
              <w:pStyle w:val="ListParagraph"/>
              <w:numPr>
                <w:ilvl w:val="0"/>
                <w:numId w:val="49"/>
              </w:numPr>
              <w:spacing w:after="0"/>
              <w:rPr>
                <w:rFonts w:ascii="Arial" w:eastAsia="Arial" w:hAnsi="Arial" w:cs="Arial"/>
                <w:sz w:val="20"/>
                <w:szCs w:val="20"/>
              </w:rPr>
            </w:pPr>
            <w:r w:rsidRPr="00F9726C">
              <w:rPr>
                <w:rFonts w:ascii="Arial" w:eastAsia="Arial" w:hAnsi="Arial" w:cs="Arial"/>
                <w:sz w:val="20"/>
                <w:szCs w:val="20"/>
              </w:rPr>
              <w:t>Increased research income for the IoO of £20m over the first five years of operation (2026/27 – 2030/31); with an average of 20 additional grants awarded per year by 2031/32</w:t>
            </w:r>
          </w:p>
        </w:tc>
        <w:tc>
          <w:tcPr>
            <w:tcW w:w="0" w:type="auto"/>
          </w:tcPr>
          <w:p w14:paraId="0596608A"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Increased research and development income</w:t>
            </w:r>
          </w:p>
        </w:tc>
        <w:tc>
          <w:tcPr>
            <w:tcW w:w="0" w:type="auto"/>
          </w:tcPr>
          <w:p w14:paraId="75023564"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Moorfields</w:t>
            </w:r>
          </w:p>
        </w:tc>
        <w:tc>
          <w:tcPr>
            <w:tcW w:w="0" w:type="auto"/>
          </w:tcPr>
          <w:p w14:paraId="70C7446C"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Cash releasing</w:t>
            </w:r>
          </w:p>
        </w:tc>
        <w:tc>
          <w:tcPr>
            <w:tcW w:w="0" w:type="auto"/>
          </w:tcPr>
          <w:p w14:paraId="2798D042" w14:textId="77777777" w:rsidR="004460FC" w:rsidRPr="00F9726C" w:rsidRDefault="004460FC" w:rsidP="001A3620">
            <w:pPr>
              <w:spacing w:after="0"/>
              <w:rPr>
                <w:rFonts w:ascii="Arial" w:eastAsia="Arial" w:hAnsi="Arial" w:cs="Arial"/>
                <w:sz w:val="20"/>
                <w:szCs w:val="20"/>
              </w:rPr>
            </w:pPr>
            <w:r w:rsidRPr="00F9726C">
              <w:rPr>
                <w:rFonts w:ascii="Arial" w:eastAsia="Arial" w:hAnsi="Arial" w:cs="Arial"/>
                <w:sz w:val="20"/>
                <w:szCs w:val="20"/>
              </w:rPr>
              <w:t>Economic appraisal</w:t>
            </w:r>
          </w:p>
          <w:p w14:paraId="2C7A328B" w14:textId="441C5D34" w:rsidR="004460FC" w:rsidRPr="00F9726C" w:rsidRDefault="00267569" w:rsidP="001A3620">
            <w:pPr>
              <w:spacing w:after="0"/>
              <w:rPr>
                <w:rFonts w:ascii="Arial" w:eastAsia="Arial" w:hAnsi="Arial" w:cs="Arial"/>
                <w:sz w:val="20"/>
                <w:szCs w:val="20"/>
              </w:rPr>
            </w:pPr>
            <w:r>
              <w:rPr>
                <w:rFonts w:ascii="Arial" w:eastAsia="Arial" w:hAnsi="Arial" w:cs="Arial"/>
                <w:sz w:val="20"/>
                <w:szCs w:val="20"/>
              </w:rPr>
              <w:t>Finance Case</w:t>
            </w:r>
          </w:p>
        </w:tc>
      </w:tr>
    </w:tbl>
    <w:p w14:paraId="651F62C5" w14:textId="77777777" w:rsidR="0067703A" w:rsidRPr="00587DF1" w:rsidRDefault="0067703A" w:rsidP="00E47761">
      <w:pPr>
        <w:spacing w:after="0"/>
        <w:rPr>
          <w:rFonts w:ascii="Arial" w:eastAsia="Arial" w:hAnsi="Arial" w:cs="Arial"/>
        </w:rPr>
      </w:pPr>
    </w:p>
    <w:p w14:paraId="675A15B5" w14:textId="77777777" w:rsidR="000D7344" w:rsidRPr="00587DF1" w:rsidRDefault="000D7344" w:rsidP="00E47761">
      <w:pPr>
        <w:spacing w:after="0"/>
        <w:rPr>
          <w:rFonts w:ascii="Arial" w:eastAsia="Arial" w:hAnsi="Arial" w:cs="Arial"/>
        </w:rPr>
      </w:pPr>
    </w:p>
    <w:p w14:paraId="05FFB978" w14:textId="77777777" w:rsidR="000D7344" w:rsidRPr="00587DF1" w:rsidRDefault="000D7344" w:rsidP="005E0D57">
      <w:pPr>
        <w:pStyle w:val="Heading2"/>
        <w:numPr>
          <w:ilvl w:val="1"/>
          <w:numId w:val="1"/>
        </w:numPr>
        <w:rPr>
          <w:rFonts w:ascii="Arial" w:hAnsi="Arial" w:cs="Arial"/>
        </w:rPr>
      </w:pPr>
      <w:bookmarkStart w:id="166" w:name="_Toc32842703"/>
      <w:r w:rsidRPr="00587DF1">
        <w:rPr>
          <w:rFonts w:ascii="Arial" w:eastAsia="Arial" w:hAnsi="Arial" w:cs="Arial"/>
        </w:rPr>
        <w:t>Identifying the constraints</w:t>
      </w:r>
      <w:bookmarkEnd w:id="166"/>
    </w:p>
    <w:p w14:paraId="3E7AD59C" w14:textId="77777777" w:rsidR="000D7344" w:rsidRPr="00587DF1" w:rsidRDefault="000D7344" w:rsidP="00E47761">
      <w:pPr>
        <w:spacing w:after="0"/>
        <w:rPr>
          <w:rFonts w:ascii="Arial" w:eastAsia="Arial" w:hAnsi="Arial" w:cs="Arial"/>
        </w:rPr>
      </w:pPr>
    </w:p>
    <w:p w14:paraId="0961912D" w14:textId="2EB63E18" w:rsidR="000D7344" w:rsidRPr="00587DF1" w:rsidRDefault="000D7344" w:rsidP="00E47761">
      <w:pPr>
        <w:spacing w:after="0"/>
        <w:rPr>
          <w:rFonts w:ascii="Arial" w:eastAsia="Arial" w:hAnsi="Arial" w:cs="Arial"/>
        </w:rPr>
      </w:pPr>
      <w:bookmarkStart w:id="167" w:name="_Hlk27138812"/>
      <w:r w:rsidRPr="00587DF1">
        <w:rPr>
          <w:rFonts w:ascii="Arial" w:eastAsia="Arial" w:hAnsi="Arial" w:cs="Arial"/>
        </w:rPr>
        <w:t xml:space="preserve">Constraints are the external conditions and agreed parameters within which the programme must be delivered, over which the project has little or no control. The </w:t>
      </w:r>
      <w:r w:rsidR="006405F9" w:rsidRPr="00587DF1">
        <w:rPr>
          <w:rFonts w:ascii="Arial" w:eastAsia="Arial" w:hAnsi="Arial" w:cs="Arial"/>
        </w:rPr>
        <w:t xml:space="preserve">key </w:t>
      </w:r>
      <w:r w:rsidRPr="00587DF1">
        <w:rPr>
          <w:rFonts w:ascii="Arial" w:eastAsia="Arial" w:hAnsi="Arial" w:cs="Arial"/>
        </w:rPr>
        <w:t>constraints to this project are</w:t>
      </w:r>
      <w:r w:rsidR="006405F9" w:rsidRPr="00587DF1">
        <w:rPr>
          <w:rFonts w:ascii="Arial" w:eastAsia="Arial" w:hAnsi="Arial" w:cs="Arial"/>
        </w:rPr>
        <w:t xml:space="preserve"> that</w:t>
      </w:r>
      <w:r w:rsidR="0025490F">
        <w:rPr>
          <w:rFonts w:ascii="Arial" w:eastAsia="Arial" w:hAnsi="Arial" w:cs="Arial"/>
        </w:rPr>
        <w:t>:</w:t>
      </w:r>
    </w:p>
    <w:p w14:paraId="7F0B141B" w14:textId="5B463EBC" w:rsidR="000D7344" w:rsidRPr="00587DF1" w:rsidRDefault="000D7344" w:rsidP="005E0D57">
      <w:pPr>
        <w:pStyle w:val="ListParagraph"/>
        <w:numPr>
          <w:ilvl w:val="0"/>
          <w:numId w:val="65"/>
        </w:numPr>
        <w:spacing w:after="0"/>
        <w:rPr>
          <w:rFonts w:ascii="Arial" w:eastAsia="Arial" w:hAnsi="Arial" w:cs="Arial"/>
        </w:rPr>
      </w:pPr>
      <w:r w:rsidRPr="00587DF1">
        <w:rPr>
          <w:rFonts w:ascii="Arial" w:eastAsia="Arial" w:hAnsi="Arial" w:cs="Arial"/>
        </w:rPr>
        <w:t>the proposals must be delivered in line with the recommendations set out in the Decision Making Business Case (DMBC)</w:t>
      </w:r>
      <w:r w:rsidR="0025490F">
        <w:rPr>
          <w:rFonts w:ascii="Arial" w:eastAsia="Arial" w:hAnsi="Arial" w:cs="Arial"/>
        </w:rPr>
        <w:t>.</w:t>
      </w:r>
    </w:p>
    <w:p w14:paraId="670F48D1" w14:textId="66B28B83" w:rsidR="000D7344" w:rsidRPr="00587DF1" w:rsidRDefault="000D7344" w:rsidP="005E0D57">
      <w:pPr>
        <w:pStyle w:val="ListParagraph"/>
        <w:numPr>
          <w:ilvl w:val="0"/>
          <w:numId w:val="65"/>
        </w:numPr>
        <w:spacing w:after="0"/>
        <w:rPr>
          <w:rFonts w:ascii="Arial" w:eastAsia="Arial" w:hAnsi="Arial" w:cs="Arial"/>
        </w:rPr>
      </w:pPr>
      <w:r w:rsidRPr="00587DF1">
        <w:rPr>
          <w:rFonts w:ascii="Arial" w:eastAsia="Arial" w:hAnsi="Arial" w:cs="Arial"/>
        </w:rPr>
        <w:t>the capital cost must not exceed the affordability envelope (detailed in the Finance Case)</w:t>
      </w:r>
      <w:r w:rsidR="0025490F">
        <w:rPr>
          <w:rFonts w:ascii="Arial" w:eastAsia="Arial" w:hAnsi="Arial" w:cs="Arial"/>
        </w:rPr>
        <w:t>.</w:t>
      </w:r>
    </w:p>
    <w:p w14:paraId="50696140" w14:textId="77777777" w:rsidR="006405F9" w:rsidRPr="00587DF1" w:rsidRDefault="006405F9" w:rsidP="005E0D57">
      <w:pPr>
        <w:pStyle w:val="ListParagraph"/>
        <w:numPr>
          <w:ilvl w:val="0"/>
          <w:numId w:val="65"/>
        </w:numPr>
        <w:spacing w:after="0"/>
        <w:rPr>
          <w:rFonts w:ascii="Arial" w:eastAsia="Arial" w:hAnsi="Arial" w:cs="Arial"/>
        </w:rPr>
      </w:pPr>
      <w:r w:rsidRPr="00587DF1">
        <w:rPr>
          <w:rFonts w:ascii="Arial" w:eastAsia="Arial" w:hAnsi="Arial" w:cs="Arial"/>
        </w:rPr>
        <w:t>the revenue cost must remain financially sustainable (detailed in the Finance Case).</w:t>
      </w:r>
    </w:p>
    <w:p w14:paraId="75C4C098" w14:textId="77777777" w:rsidR="00E47761" w:rsidRPr="00587DF1" w:rsidRDefault="00E47761" w:rsidP="00E47761">
      <w:pPr>
        <w:spacing w:after="0"/>
        <w:rPr>
          <w:rFonts w:ascii="Arial" w:eastAsia="Arial" w:hAnsi="Arial" w:cs="Arial"/>
        </w:rPr>
      </w:pPr>
    </w:p>
    <w:p w14:paraId="181D7A16" w14:textId="77777777" w:rsidR="00E47761" w:rsidRPr="00587DF1" w:rsidRDefault="006405F9" w:rsidP="005E0D57">
      <w:pPr>
        <w:pStyle w:val="Heading2"/>
        <w:numPr>
          <w:ilvl w:val="1"/>
          <w:numId w:val="1"/>
        </w:numPr>
        <w:rPr>
          <w:rFonts w:ascii="Arial" w:hAnsi="Arial" w:cs="Arial"/>
        </w:rPr>
      </w:pPr>
      <w:bookmarkStart w:id="168" w:name="_Toc32842704"/>
      <w:r w:rsidRPr="00587DF1">
        <w:rPr>
          <w:rFonts w:ascii="Arial" w:eastAsia="Arial" w:hAnsi="Arial" w:cs="Arial"/>
        </w:rPr>
        <w:lastRenderedPageBreak/>
        <w:t>Identifying the dependencies</w:t>
      </w:r>
      <w:bookmarkEnd w:id="168"/>
    </w:p>
    <w:p w14:paraId="3DE16300" w14:textId="77777777" w:rsidR="00E47761" w:rsidRPr="00587DF1" w:rsidRDefault="00E47761" w:rsidP="00E47761">
      <w:pPr>
        <w:spacing w:after="0"/>
        <w:rPr>
          <w:rFonts w:ascii="Arial" w:eastAsia="Arial" w:hAnsi="Arial" w:cs="Arial"/>
          <w:b/>
        </w:rPr>
      </w:pPr>
      <w:bookmarkStart w:id="169" w:name="_3j2qqm3" w:colFirst="0" w:colLast="0"/>
      <w:bookmarkEnd w:id="169"/>
    </w:p>
    <w:p w14:paraId="0A9FDC02" w14:textId="77777777" w:rsidR="006405F9" w:rsidRPr="00587DF1" w:rsidRDefault="006405F9" w:rsidP="00E47761">
      <w:pPr>
        <w:spacing w:after="0"/>
        <w:rPr>
          <w:rFonts w:ascii="Arial" w:eastAsia="Arial" w:hAnsi="Arial" w:cs="Arial"/>
        </w:rPr>
      </w:pPr>
      <w:r w:rsidRPr="00587DF1">
        <w:rPr>
          <w:rFonts w:ascii="Arial" w:eastAsia="Arial" w:hAnsi="Arial" w:cs="Arial"/>
        </w:rPr>
        <w:t>There are a number of dependencies outside the scope of the project upon which the ultimate success of the project is dependent. These fall into two categories:</w:t>
      </w:r>
    </w:p>
    <w:p w14:paraId="31C7E682" w14:textId="77777777" w:rsidR="006405F9" w:rsidRPr="00587DF1" w:rsidRDefault="006405F9" w:rsidP="00E47761">
      <w:pPr>
        <w:spacing w:after="0"/>
        <w:rPr>
          <w:rFonts w:ascii="Arial" w:eastAsia="Arial" w:hAnsi="Arial" w:cs="Arial"/>
        </w:rPr>
      </w:pPr>
    </w:p>
    <w:p w14:paraId="5CE2E264" w14:textId="765942E7" w:rsidR="006405F9" w:rsidRPr="00587DF1" w:rsidRDefault="006405F9" w:rsidP="00E47761">
      <w:pPr>
        <w:spacing w:after="0"/>
        <w:rPr>
          <w:rFonts w:ascii="Arial" w:eastAsia="Arial" w:hAnsi="Arial" w:cs="Arial"/>
        </w:rPr>
      </w:pPr>
      <w:r w:rsidRPr="00587DF1">
        <w:rPr>
          <w:rFonts w:ascii="Arial" w:eastAsia="Arial" w:hAnsi="Arial" w:cs="Arial"/>
        </w:rPr>
        <w:t>Inter-dependencies with the St Pancras site redevelopment programme. These are:</w:t>
      </w:r>
    </w:p>
    <w:p w14:paraId="0713F604" w14:textId="292CACEF" w:rsidR="006405F9" w:rsidRPr="00587DF1" w:rsidRDefault="00D654D3" w:rsidP="005E0D57">
      <w:pPr>
        <w:pStyle w:val="ListParagraph"/>
        <w:numPr>
          <w:ilvl w:val="0"/>
          <w:numId w:val="65"/>
        </w:numPr>
        <w:spacing w:after="0"/>
        <w:rPr>
          <w:rFonts w:ascii="Arial" w:eastAsia="Arial" w:hAnsi="Arial" w:cs="Arial"/>
        </w:rPr>
      </w:pPr>
      <w:r w:rsidRPr="00587DF1">
        <w:rPr>
          <w:rFonts w:ascii="Arial" w:eastAsia="Arial" w:hAnsi="Arial" w:cs="Arial"/>
        </w:rPr>
        <w:t xml:space="preserve">Achieving </w:t>
      </w:r>
      <w:r w:rsidR="00E037B8" w:rsidRPr="00587DF1">
        <w:rPr>
          <w:rFonts w:ascii="Arial" w:eastAsia="Arial" w:hAnsi="Arial" w:cs="Arial"/>
        </w:rPr>
        <w:t xml:space="preserve">the benefits </w:t>
      </w:r>
      <w:r w:rsidR="006405F9" w:rsidRPr="00587DF1">
        <w:rPr>
          <w:rFonts w:ascii="Arial" w:eastAsia="Arial" w:hAnsi="Arial" w:cs="Arial"/>
        </w:rPr>
        <w:t xml:space="preserve">identified Oriel OBC </w:t>
      </w:r>
      <w:r w:rsidR="00E037B8" w:rsidRPr="00587DF1">
        <w:rPr>
          <w:rFonts w:ascii="Arial" w:eastAsia="Arial" w:hAnsi="Arial" w:cs="Arial"/>
        </w:rPr>
        <w:t xml:space="preserve">is </w:t>
      </w:r>
      <w:r w:rsidR="003C4F0C" w:rsidRPr="00587DF1">
        <w:rPr>
          <w:rFonts w:ascii="Arial" w:eastAsia="Arial" w:hAnsi="Arial" w:cs="Arial"/>
        </w:rPr>
        <w:t>dependent</w:t>
      </w:r>
      <w:r w:rsidR="00E037B8" w:rsidRPr="00587DF1">
        <w:rPr>
          <w:rFonts w:ascii="Arial" w:eastAsia="Arial" w:hAnsi="Arial" w:cs="Arial"/>
        </w:rPr>
        <w:t xml:space="preserve"> on Moorfields’ ability to purchase 2 acres of land from </w:t>
      </w:r>
      <w:r w:rsidR="00C9177D">
        <w:rPr>
          <w:rFonts w:ascii="Arial" w:eastAsia="Arial" w:hAnsi="Arial" w:cs="Arial"/>
        </w:rPr>
        <w:t>Camden and Islington NHS Foundation Trust</w:t>
      </w:r>
      <w:r w:rsidR="00E037B8" w:rsidRPr="00587DF1">
        <w:rPr>
          <w:rFonts w:ascii="Arial" w:eastAsia="Arial" w:hAnsi="Arial" w:cs="Arial"/>
        </w:rPr>
        <w:t xml:space="preserve"> (C&amp;I) at the St Pancras Hospital site</w:t>
      </w:r>
      <w:r w:rsidR="00312C4C">
        <w:rPr>
          <w:rFonts w:ascii="Arial" w:eastAsia="Arial" w:hAnsi="Arial" w:cs="Arial"/>
        </w:rPr>
        <w:t>.</w:t>
      </w:r>
    </w:p>
    <w:p w14:paraId="23D1A935" w14:textId="77777777" w:rsidR="006405F9" w:rsidRPr="00587DF1" w:rsidRDefault="006405F9" w:rsidP="005E0D57">
      <w:pPr>
        <w:pStyle w:val="ListParagraph"/>
        <w:numPr>
          <w:ilvl w:val="0"/>
          <w:numId w:val="65"/>
        </w:numPr>
        <w:spacing w:after="0"/>
        <w:rPr>
          <w:rFonts w:ascii="Arial" w:eastAsia="Arial" w:hAnsi="Arial" w:cs="Arial"/>
        </w:rPr>
      </w:pPr>
      <w:r w:rsidRPr="00587DF1">
        <w:rPr>
          <w:rFonts w:ascii="Arial" w:eastAsia="Arial" w:hAnsi="Arial" w:cs="Arial"/>
        </w:rPr>
        <w:t xml:space="preserve">Moorfields’ ability to purchase of the St Pancras site is </w:t>
      </w:r>
      <w:r w:rsidR="003C4F0C" w:rsidRPr="00587DF1">
        <w:rPr>
          <w:rFonts w:ascii="Arial" w:eastAsia="Arial" w:hAnsi="Arial" w:cs="Arial"/>
        </w:rPr>
        <w:t>dependent</w:t>
      </w:r>
      <w:r w:rsidRPr="00587DF1">
        <w:rPr>
          <w:rFonts w:ascii="Arial" w:eastAsia="Arial" w:hAnsi="Arial" w:cs="Arial"/>
        </w:rPr>
        <w:t xml:space="preserve"> on approval of the C&amp;I OBC</w:t>
      </w:r>
      <w:r w:rsidR="00E037B8" w:rsidRPr="00587DF1">
        <w:rPr>
          <w:rFonts w:ascii="Arial" w:eastAsia="Arial" w:hAnsi="Arial" w:cs="Arial"/>
        </w:rPr>
        <w:t>, on the basis of the preferred way forward (to sell 2 acres of the site to Moorfields)</w:t>
      </w:r>
      <w:r w:rsidR="00312C4C">
        <w:rPr>
          <w:rFonts w:ascii="Arial" w:eastAsia="Arial" w:hAnsi="Arial" w:cs="Arial"/>
        </w:rPr>
        <w:t>.</w:t>
      </w:r>
    </w:p>
    <w:p w14:paraId="3D55211C" w14:textId="1A02CAFE" w:rsidR="00E037B8" w:rsidRPr="00587DF1" w:rsidRDefault="00D654D3" w:rsidP="005E0D57">
      <w:pPr>
        <w:pStyle w:val="ListParagraph"/>
        <w:numPr>
          <w:ilvl w:val="0"/>
          <w:numId w:val="65"/>
        </w:numPr>
        <w:spacing w:after="0"/>
        <w:rPr>
          <w:rFonts w:ascii="Arial" w:eastAsia="Arial" w:hAnsi="Arial" w:cs="Arial"/>
        </w:rPr>
      </w:pPr>
      <w:r w:rsidRPr="00587DF1">
        <w:rPr>
          <w:rFonts w:ascii="Arial" w:eastAsia="Arial" w:hAnsi="Arial" w:cs="Arial"/>
        </w:rPr>
        <w:t xml:space="preserve">The </w:t>
      </w:r>
      <w:r w:rsidR="006405F9" w:rsidRPr="00587DF1">
        <w:rPr>
          <w:rFonts w:ascii="Arial" w:eastAsia="Arial" w:hAnsi="Arial" w:cs="Arial"/>
        </w:rPr>
        <w:t xml:space="preserve">Oriel programme is </w:t>
      </w:r>
      <w:r w:rsidR="00760B82" w:rsidRPr="00587DF1">
        <w:rPr>
          <w:rFonts w:ascii="Arial" w:eastAsia="Arial" w:hAnsi="Arial" w:cs="Arial"/>
        </w:rPr>
        <w:t>dependent</w:t>
      </w:r>
      <w:r w:rsidR="006405F9" w:rsidRPr="00587DF1">
        <w:rPr>
          <w:rFonts w:ascii="Arial" w:eastAsia="Arial" w:hAnsi="Arial" w:cs="Arial"/>
        </w:rPr>
        <w:t xml:space="preserve"> on </w:t>
      </w:r>
      <w:r w:rsidR="00E037B8" w:rsidRPr="00587DF1">
        <w:rPr>
          <w:rFonts w:ascii="Arial" w:eastAsia="Arial" w:hAnsi="Arial" w:cs="Arial"/>
        </w:rPr>
        <w:t xml:space="preserve">the ability to submit a planning application in September 2020, </w:t>
      </w:r>
      <w:r w:rsidR="00667468" w:rsidRPr="00587DF1">
        <w:rPr>
          <w:rFonts w:ascii="Arial" w:eastAsia="Arial" w:hAnsi="Arial" w:cs="Arial"/>
        </w:rPr>
        <w:t xml:space="preserve">and securing vacant possession in order to commence construction in </w:t>
      </w:r>
      <w:r w:rsidR="00D87224" w:rsidRPr="00587DF1">
        <w:rPr>
          <w:rFonts w:ascii="Arial" w:eastAsia="Arial" w:hAnsi="Arial" w:cs="Arial"/>
        </w:rPr>
        <w:t>2022</w:t>
      </w:r>
      <w:r w:rsidR="00312C4C">
        <w:rPr>
          <w:rFonts w:ascii="Arial" w:eastAsia="Arial" w:hAnsi="Arial" w:cs="Arial"/>
        </w:rPr>
        <w:t>.</w:t>
      </w:r>
    </w:p>
    <w:p w14:paraId="05E3F442" w14:textId="6C8DE122" w:rsidR="00667468" w:rsidRPr="00587DF1" w:rsidRDefault="00D654D3" w:rsidP="005E0D57">
      <w:pPr>
        <w:pStyle w:val="ListParagraph"/>
        <w:numPr>
          <w:ilvl w:val="0"/>
          <w:numId w:val="65"/>
        </w:numPr>
        <w:spacing w:after="0"/>
        <w:rPr>
          <w:rFonts w:ascii="Arial" w:eastAsia="Arial" w:hAnsi="Arial" w:cs="Arial"/>
        </w:rPr>
      </w:pPr>
      <w:r w:rsidRPr="00587DF1">
        <w:rPr>
          <w:rFonts w:ascii="Arial" w:eastAsia="Arial" w:hAnsi="Arial" w:cs="Arial"/>
        </w:rPr>
        <w:t xml:space="preserve">Achieving </w:t>
      </w:r>
      <w:r w:rsidR="00667468" w:rsidRPr="00587DF1">
        <w:rPr>
          <w:rFonts w:ascii="Arial" w:eastAsia="Arial" w:hAnsi="Arial" w:cs="Arial"/>
        </w:rPr>
        <w:t xml:space="preserve">planning permission for the development of St Pancras is dependent on the Oriel partners working in partnership with C&amp;I and their development partner to submit a </w:t>
      </w:r>
      <w:r w:rsidR="00E73192">
        <w:rPr>
          <w:rFonts w:ascii="Arial" w:eastAsia="Arial" w:hAnsi="Arial" w:cs="Arial"/>
        </w:rPr>
        <w:t xml:space="preserve">single masterplan </w:t>
      </w:r>
      <w:r w:rsidR="00667468" w:rsidRPr="00587DF1">
        <w:rPr>
          <w:rFonts w:ascii="Arial" w:eastAsia="Arial" w:hAnsi="Arial" w:cs="Arial"/>
        </w:rPr>
        <w:t>for the site</w:t>
      </w:r>
      <w:r w:rsidR="00E73192">
        <w:rPr>
          <w:rFonts w:ascii="Arial" w:eastAsia="Arial" w:hAnsi="Arial" w:cs="Arial"/>
        </w:rPr>
        <w:t xml:space="preserve"> to the London Borough of Camden</w:t>
      </w:r>
      <w:r w:rsidR="00312C4C">
        <w:rPr>
          <w:rFonts w:ascii="Arial" w:eastAsia="Arial" w:hAnsi="Arial" w:cs="Arial"/>
        </w:rPr>
        <w:t>.</w:t>
      </w:r>
    </w:p>
    <w:p w14:paraId="151E4D97" w14:textId="77777777" w:rsidR="006405F9" w:rsidRPr="00587DF1" w:rsidRDefault="00D654D3" w:rsidP="005E0D57">
      <w:pPr>
        <w:pStyle w:val="ListParagraph"/>
        <w:numPr>
          <w:ilvl w:val="0"/>
          <w:numId w:val="65"/>
        </w:numPr>
        <w:spacing w:after="0"/>
        <w:rPr>
          <w:rFonts w:ascii="Arial" w:eastAsia="Arial" w:hAnsi="Arial" w:cs="Arial"/>
        </w:rPr>
      </w:pPr>
      <w:r w:rsidRPr="00587DF1">
        <w:rPr>
          <w:rFonts w:ascii="Arial" w:eastAsia="Arial" w:hAnsi="Arial" w:cs="Arial"/>
        </w:rPr>
        <w:t xml:space="preserve">This </w:t>
      </w:r>
      <w:r w:rsidR="00E037B8" w:rsidRPr="00587DF1">
        <w:rPr>
          <w:rFonts w:ascii="Arial" w:eastAsia="Arial" w:hAnsi="Arial" w:cs="Arial"/>
        </w:rPr>
        <w:t>is in-turn depend</w:t>
      </w:r>
      <w:r w:rsidR="00B146F0">
        <w:rPr>
          <w:rFonts w:ascii="Arial" w:eastAsia="Arial" w:hAnsi="Arial" w:cs="Arial"/>
        </w:rPr>
        <w:t>e</w:t>
      </w:r>
      <w:r w:rsidR="00E037B8" w:rsidRPr="00587DF1">
        <w:rPr>
          <w:rFonts w:ascii="Arial" w:eastAsia="Arial" w:hAnsi="Arial" w:cs="Arial"/>
        </w:rPr>
        <w:t>nt on the enabling works underway by the Whittington Health Trust (WHT) to provide C&amp;I with vacant possession</w:t>
      </w:r>
      <w:r w:rsidR="005A3A14" w:rsidRPr="00587DF1">
        <w:rPr>
          <w:rFonts w:ascii="Arial" w:eastAsia="Arial" w:hAnsi="Arial" w:cs="Arial"/>
        </w:rPr>
        <w:t xml:space="preserve"> for their new facility</w:t>
      </w:r>
      <w:r w:rsidR="00E037B8" w:rsidRPr="00587DF1">
        <w:rPr>
          <w:rFonts w:ascii="Arial" w:eastAsia="Arial" w:hAnsi="Arial" w:cs="Arial"/>
        </w:rPr>
        <w:t>.</w:t>
      </w:r>
    </w:p>
    <w:p w14:paraId="46934384" w14:textId="77777777" w:rsidR="006405F9" w:rsidRPr="00587DF1" w:rsidRDefault="006405F9" w:rsidP="00E47761">
      <w:pPr>
        <w:spacing w:after="0"/>
        <w:rPr>
          <w:rFonts w:ascii="Arial" w:eastAsia="Arial" w:hAnsi="Arial" w:cs="Arial"/>
        </w:rPr>
      </w:pPr>
    </w:p>
    <w:p w14:paraId="1A91F87F" w14:textId="757D8021" w:rsidR="00E47761" w:rsidRPr="00587DF1" w:rsidRDefault="00760B82" w:rsidP="00E47761">
      <w:pPr>
        <w:spacing w:after="0"/>
        <w:rPr>
          <w:rFonts w:ascii="Arial" w:eastAsia="Arial" w:hAnsi="Arial" w:cs="Arial"/>
        </w:rPr>
      </w:pPr>
      <w:r w:rsidRPr="00587DF1">
        <w:rPr>
          <w:rFonts w:ascii="Arial" w:eastAsia="Arial" w:hAnsi="Arial" w:cs="Arial"/>
        </w:rPr>
        <w:t>External dependencies outside the project environment</w:t>
      </w:r>
      <w:r w:rsidR="00E037B8" w:rsidRPr="00587DF1">
        <w:rPr>
          <w:rFonts w:ascii="Arial" w:eastAsia="Arial" w:hAnsi="Arial" w:cs="Arial"/>
        </w:rPr>
        <w:t xml:space="preserve">. The project is </w:t>
      </w:r>
      <w:r w:rsidR="00667468" w:rsidRPr="00587DF1">
        <w:rPr>
          <w:rFonts w:ascii="Arial" w:eastAsia="Arial" w:hAnsi="Arial" w:cs="Arial"/>
        </w:rPr>
        <w:t>dependent</w:t>
      </w:r>
      <w:r w:rsidR="00E037B8" w:rsidRPr="00587DF1">
        <w:rPr>
          <w:rFonts w:ascii="Arial" w:eastAsia="Arial" w:hAnsi="Arial" w:cs="Arial"/>
        </w:rPr>
        <w:t xml:space="preserve"> upon</w:t>
      </w:r>
      <w:r w:rsidR="0025490F">
        <w:rPr>
          <w:rFonts w:ascii="Arial" w:eastAsia="Arial" w:hAnsi="Arial" w:cs="Arial"/>
        </w:rPr>
        <w:t>:</w:t>
      </w:r>
    </w:p>
    <w:p w14:paraId="547A1BB2" w14:textId="4BDC3522" w:rsidR="00E47761" w:rsidRPr="00587DF1" w:rsidRDefault="00D654D3" w:rsidP="005E0D57">
      <w:pPr>
        <w:pStyle w:val="ListParagraph"/>
        <w:numPr>
          <w:ilvl w:val="0"/>
          <w:numId w:val="5"/>
        </w:numPr>
        <w:spacing w:after="0"/>
        <w:rPr>
          <w:rFonts w:ascii="Arial" w:eastAsia="Arial" w:hAnsi="Arial" w:cs="Arial"/>
        </w:rPr>
      </w:pPr>
      <w:r w:rsidRPr="00587DF1">
        <w:rPr>
          <w:rFonts w:ascii="Arial" w:eastAsia="Arial" w:hAnsi="Arial" w:cs="Arial"/>
        </w:rPr>
        <w:t xml:space="preserve">Achieving </w:t>
      </w:r>
      <w:r w:rsidR="00E47761" w:rsidRPr="00587DF1">
        <w:rPr>
          <w:rFonts w:ascii="Arial" w:eastAsia="Arial" w:hAnsi="Arial" w:cs="Arial"/>
        </w:rPr>
        <w:t xml:space="preserve">the fundraising target set out in the </w:t>
      </w:r>
      <w:r w:rsidR="00236908">
        <w:rPr>
          <w:rFonts w:ascii="Arial" w:eastAsia="Arial" w:hAnsi="Arial" w:cs="Arial"/>
          <w:bCs/>
          <w:color w:val="000000"/>
        </w:rPr>
        <w:t>Finance Case</w:t>
      </w:r>
      <w:r w:rsidR="00312C4C">
        <w:rPr>
          <w:rFonts w:ascii="Arial" w:eastAsia="Arial" w:hAnsi="Arial" w:cs="Arial"/>
        </w:rPr>
        <w:t>.</w:t>
      </w:r>
    </w:p>
    <w:p w14:paraId="6B856ED4" w14:textId="77777777" w:rsidR="00E47761" w:rsidRDefault="00D654D3" w:rsidP="005E0D57">
      <w:pPr>
        <w:pStyle w:val="ListParagraph"/>
        <w:numPr>
          <w:ilvl w:val="0"/>
          <w:numId w:val="5"/>
        </w:numPr>
        <w:spacing w:after="0"/>
        <w:rPr>
          <w:rFonts w:ascii="Arial" w:eastAsia="Arial" w:hAnsi="Arial" w:cs="Arial"/>
        </w:rPr>
      </w:pPr>
      <w:r w:rsidRPr="00587DF1">
        <w:rPr>
          <w:rFonts w:ascii="Arial" w:eastAsia="Arial" w:hAnsi="Arial" w:cs="Arial"/>
        </w:rPr>
        <w:t xml:space="preserve">Obtaining </w:t>
      </w:r>
      <w:r w:rsidR="00E47761" w:rsidRPr="00587DF1">
        <w:rPr>
          <w:rFonts w:ascii="Arial" w:eastAsia="Arial" w:hAnsi="Arial" w:cs="Arial"/>
        </w:rPr>
        <w:t>commissioner support for proposals</w:t>
      </w:r>
      <w:r w:rsidR="00312C4C">
        <w:rPr>
          <w:rFonts w:ascii="Arial" w:eastAsia="Arial" w:hAnsi="Arial" w:cs="Arial"/>
        </w:rPr>
        <w:t>.</w:t>
      </w:r>
    </w:p>
    <w:p w14:paraId="78F99BD2" w14:textId="1DB84A5A" w:rsidR="00312C4C" w:rsidRPr="00587DF1" w:rsidRDefault="00312C4C" w:rsidP="005E0D57">
      <w:pPr>
        <w:pStyle w:val="ListParagraph"/>
        <w:numPr>
          <w:ilvl w:val="0"/>
          <w:numId w:val="5"/>
        </w:numPr>
        <w:spacing w:after="0"/>
        <w:rPr>
          <w:rFonts w:ascii="Arial" w:eastAsia="Arial" w:hAnsi="Arial" w:cs="Arial"/>
        </w:rPr>
      </w:pPr>
      <w:r>
        <w:rPr>
          <w:rFonts w:ascii="Arial" w:eastAsia="Arial" w:hAnsi="Arial" w:cs="Arial"/>
        </w:rPr>
        <w:t>Ability to purchase the St Pancras site by 31 March 2021, thereby drawing down on £</w:t>
      </w:r>
      <w:r w:rsidR="00AC38C4">
        <w:rPr>
          <w:rFonts w:ascii="Arial" w:eastAsia="Arial" w:hAnsi="Arial" w:cs="Arial"/>
        </w:rPr>
        <w:t>XXX</w:t>
      </w:r>
      <w:r>
        <w:rPr>
          <w:rFonts w:ascii="Arial" w:eastAsia="Arial" w:hAnsi="Arial" w:cs="Arial"/>
        </w:rPr>
        <w:t xml:space="preserve">m of funding from the UK </w:t>
      </w:r>
      <w:r w:rsidRPr="00312C4C">
        <w:rPr>
          <w:rFonts w:ascii="Arial" w:eastAsia="Arial" w:hAnsi="Arial" w:cs="Arial"/>
        </w:rPr>
        <w:t>Research Partnership Investment Fund (UKRPIF)</w:t>
      </w:r>
      <w:r>
        <w:rPr>
          <w:rFonts w:ascii="Arial" w:eastAsia="Arial" w:hAnsi="Arial" w:cs="Arial"/>
        </w:rPr>
        <w:t xml:space="preserve"> grant awarded to UCL.</w:t>
      </w:r>
    </w:p>
    <w:p w14:paraId="1ADBBB35" w14:textId="77777777" w:rsidR="00E47761" w:rsidRPr="00587DF1" w:rsidRDefault="00D654D3" w:rsidP="005E0D57">
      <w:pPr>
        <w:pStyle w:val="ListParagraph"/>
        <w:numPr>
          <w:ilvl w:val="0"/>
          <w:numId w:val="5"/>
        </w:numPr>
        <w:spacing w:after="0"/>
        <w:rPr>
          <w:rFonts w:ascii="Arial" w:eastAsia="Arial" w:hAnsi="Arial" w:cs="Arial"/>
        </w:rPr>
      </w:pPr>
      <w:r w:rsidRPr="00587DF1">
        <w:rPr>
          <w:rFonts w:ascii="Arial" w:eastAsia="Arial" w:hAnsi="Arial" w:cs="Arial"/>
        </w:rPr>
        <w:t xml:space="preserve">Approval </w:t>
      </w:r>
      <w:r w:rsidR="00E47761" w:rsidRPr="00587DF1">
        <w:rPr>
          <w:rFonts w:ascii="Arial" w:eastAsia="Arial" w:hAnsi="Arial" w:cs="Arial"/>
        </w:rPr>
        <w:t xml:space="preserve">of OBC and FBC by </w:t>
      </w:r>
      <w:r w:rsidR="00FA2D12" w:rsidRPr="00587DF1">
        <w:rPr>
          <w:rFonts w:ascii="Arial" w:eastAsia="Arial" w:hAnsi="Arial" w:cs="Arial"/>
        </w:rPr>
        <w:t>trust</w:t>
      </w:r>
      <w:r w:rsidR="00E47761" w:rsidRPr="00587DF1">
        <w:rPr>
          <w:rFonts w:ascii="Arial" w:eastAsia="Arial" w:hAnsi="Arial" w:cs="Arial"/>
        </w:rPr>
        <w:t xml:space="preserve"> </w:t>
      </w:r>
      <w:r w:rsidR="00FA2D12" w:rsidRPr="00587DF1">
        <w:rPr>
          <w:rFonts w:ascii="Arial" w:eastAsia="Arial" w:hAnsi="Arial" w:cs="Arial"/>
        </w:rPr>
        <w:t>board</w:t>
      </w:r>
      <w:r w:rsidR="00312C4C">
        <w:rPr>
          <w:rFonts w:ascii="Arial" w:eastAsia="Arial" w:hAnsi="Arial" w:cs="Arial"/>
        </w:rPr>
        <w:t>.</w:t>
      </w:r>
    </w:p>
    <w:p w14:paraId="7AA993BA" w14:textId="77777777" w:rsidR="00E47761" w:rsidRPr="00587DF1" w:rsidRDefault="00D654D3" w:rsidP="005E0D57">
      <w:pPr>
        <w:pStyle w:val="ListParagraph"/>
        <w:numPr>
          <w:ilvl w:val="0"/>
          <w:numId w:val="5"/>
        </w:numPr>
        <w:spacing w:after="0"/>
        <w:rPr>
          <w:rFonts w:ascii="Arial" w:eastAsia="Arial" w:hAnsi="Arial" w:cs="Arial"/>
        </w:rPr>
      </w:pPr>
      <w:r w:rsidRPr="00587DF1">
        <w:rPr>
          <w:rFonts w:ascii="Arial" w:eastAsia="Arial" w:hAnsi="Arial" w:cs="Arial"/>
        </w:rPr>
        <w:t xml:space="preserve">Approval </w:t>
      </w:r>
      <w:r w:rsidR="00E47761" w:rsidRPr="00587DF1">
        <w:rPr>
          <w:rFonts w:ascii="Arial" w:eastAsia="Arial" w:hAnsi="Arial" w:cs="Arial"/>
        </w:rPr>
        <w:t>of OBC and FBC by NHS Improvement</w:t>
      </w:r>
      <w:r w:rsidR="005A3A14" w:rsidRPr="00587DF1">
        <w:rPr>
          <w:rFonts w:ascii="Arial" w:eastAsia="Arial" w:hAnsi="Arial" w:cs="Arial"/>
        </w:rPr>
        <w:t xml:space="preserve"> and</w:t>
      </w:r>
      <w:r w:rsidR="00E47761" w:rsidRPr="00587DF1">
        <w:rPr>
          <w:rFonts w:ascii="Arial" w:eastAsia="Arial" w:hAnsi="Arial" w:cs="Arial"/>
        </w:rPr>
        <w:t xml:space="preserve"> NHS England, Department of Health and Social Care and Her Majesty’s Treasury</w:t>
      </w:r>
      <w:r w:rsidR="00312C4C">
        <w:rPr>
          <w:rFonts w:ascii="Arial" w:eastAsia="Arial" w:hAnsi="Arial" w:cs="Arial"/>
        </w:rPr>
        <w:t>.</w:t>
      </w:r>
    </w:p>
    <w:p w14:paraId="368F99D9" w14:textId="09EC95A8" w:rsidR="00E47761" w:rsidRPr="00C83AD9" w:rsidRDefault="00D654D3" w:rsidP="00C83AD9">
      <w:pPr>
        <w:pStyle w:val="ListParagraph"/>
        <w:numPr>
          <w:ilvl w:val="0"/>
          <w:numId w:val="5"/>
        </w:numPr>
        <w:spacing w:after="0"/>
        <w:rPr>
          <w:rFonts w:ascii="Arial" w:eastAsia="Arial" w:hAnsi="Arial" w:cs="Arial"/>
        </w:rPr>
      </w:pPr>
      <w:r w:rsidRPr="00587DF1">
        <w:rPr>
          <w:rFonts w:ascii="Arial" w:eastAsia="Arial" w:hAnsi="Arial" w:cs="Arial"/>
        </w:rPr>
        <w:t xml:space="preserve">Maintaining </w:t>
      </w:r>
      <w:r w:rsidR="00E47761" w:rsidRPr="00587DF1">
        <w:rPr>
          <w:rFonts w:ascii="Arial" w:eastAsia="Arial" w:hAnsi="Arial" w:cs="Arial"/>
        </w:rPr>
        <w:t>commitment to the project from UCL</w:t>
      </w:r>
      <w:bookmarkEnd w:id="167"/>
      <w:r w:rsidR="00C83AD9">
        <w:rPr>
          <w:rFonts w:ascii="Arial" w:eastAsia="Arial" w:hAnsi="Arial" w:cs="Arial"/>
        </w:rPr>
        <w:t>.</w:t>
      </w:r>
    </w:p>
    <w:p w14:paraId="2C860F31" w14:textId="77777777" w:rsidR="00FF6E56" w:rsidRDefault="00E47761" w:rsidP="00FF6E56">
      <w:pPr>
        <w:pStyle w:val="Heading1"/>
        <w:numPr>
          <w:ilvl w:val="0"/>
          <w:numId w:val="1"/>
        </w:numPr>
        <w:ind w:hanging="720"/>
        <w:rPr>
          <w:rFonts w:ascii="Arial" w:eastAsia="Arial" w:hAnsi="Arial" w:cs="Arial"/>
        </w:rPr>
      </w:pPr>
      <w:r w:rsidRPr="00587DF1">
        <w:rPr>
          <w:rFonts w:ascii="Arial" w:hAnsi="Arial" w:cs="Arial"/>
        </w:rPr>
        <w:br w:type="page"/>
      </w:r>
      <w:r w:rsidR="00FF6E56" w:rsidRPr="00587DF1">
        <w:rPr>
          <w:rFonts w:ascii="Arial" w:eastAsia="Arial" w:hAnsi="Arial" w:cs="Arial"/>
        </w:rPr>
        <w:lastRenderedPageBreak/>
        <w:t xml:space="preserve"> </w:t>
      </w:r>
      <w:bookmarkStart w:id="170" w:name="_Ref24718143"/>
      <w:bookmarkStart w:id="171" w:name="_Toc32842705"/>
      <w:r w:rsidR="00FF6E56" w:rsidRPr="00587DF1">
        <w:rPr>
          <w:rFonts w:ascii="Arial" w:eastAsia="Arial" w:hAnsi="Arial" w:cs="Arial"/>
        </w:rPr>
        <w:t>Economic case</w:t>
      </w:r>
      <w:bookmarkEnd w:id="170"/>
      <w:bookmarkEnd w:id="171"/>
    </w:p>
    <w:p w14:paraId="2E0182A0" w14:textId="77777777" w:rsidR="00FF6E56" w:rsidRPr="00443463" w:rsidRDefault="00FF6E56" w:rsidP="00FF6E56"/>
    <w:tbl>
      <w:tblPr>
        <w:tblW w:w="0" w:type="auto"/>
        <w:tblLook w:val="04A0" w:firstRow="1" w:lastRow="0" w:firstColumn="1" w:lastColumn="0" w:noHBand="0" w:noVBand="1"/>
      </w:tblPr>
      <w:tblGrid>
        <w:gridCol w:w="9016"/>
      </w:tblGrid>
      <w:tr w:rsidR="00FF6E56" w:rsidRPr="00587DF1" w14:paraId="0F079174" w14:textId="77777777" w:rsidTr="0070603A">
        <w:tc>
          <w:tcPr>
            <w:tcW w:w="9016" w:type="dxa"/>
            <w:tcBorders>
              <w:top w:val="single" w:sz="4" w:space="0" w:color="00A09D"/>
              <w:left w:val="single" w:sz="4" w:space="0" w:color="00A09D"/>
              <w:bottom w:val="single" w:sz="4" w:space="0" w:color="00A09D"/>
              <w:right w:val="single" w:sz="4" w:space="0" w:color="00A09D"/>
            </w:tcBorders>
            <w:shd w:val="clear" w:color="auto" w:fill="DEECEF"/>
          </w:tcPr>
          <w:p w14:paraId="0AFCF3F8" w14:textId="77777777" w:rsidR="00FF6E56" w:rsidRDefault="00FF6E56" w:rsidP="0070603A">
            <w:pPr>
              <w:rPr>
                <w:rFonts w:ascii="Arial" w:hAnsi="Arial" w:cs="Arial"/>
                <w:b/>
                <w:bCs/>
                <w:color w:val="00A09D"/>
              </w:rPr>
            </w:pPr>
            <w:r>
              <w:rPr>
                <w:rFonts w:ascii="Arial" w:hAnsi="Arial" w:cs="Arial"/>
                <w:b/>
                <w:bCs/>
                <w:color w:val="00A09D"/>
              </w:rPr>
              <w:t>Economic case</w:t>
            </w:r>
            <w:r w:rsidRPr="00587DF1">
              <w:rPr>
                <w:rFonts w:ascii="Arial" w:hAnsi="Arial" w:cs="Arial"/>
                <w:b/>
                <w:bCs/>
                <w:color w:val="00A09D"/>
              </w:rPr>
              <w:t xml:space="preserve"> – chapter summary</w:t>
            </w:r>
          </w:p>
          <w:p w14:paraId="25281B48" w14:textId="77777777" w:rsidR="00FF6E56" w:rsidRDefault="00FF6E56" w:rsidP="0070603A">
            <w:pPr>
              <w:spacing w:line="264" w:lineRule="auto"/>
              <w:ind w:right="142"/>
              <w:rPr>
                <w:rFonts w:ascii="Arial" w:hAnsi="Arial" w:cs="Arial"/>
              </w:rPr>
            </w:pPr>
            <w:r>
              <w:rPr>
                <w:rFonts w:ascii="Arial" w:hAnsi="Arial" w:cs="Arial"/>
              </w:rPr>
              <w:t>This chapter describes the process undertaken to:</w:t>
            </w:r>
          </w:p>
          <w:p w14:paraId="0EAB56C0" w14:textId="77777777" w:rsidR="00FF6E56" w:rsidRDefault="00FF6E56" w:rsidP="004F4B79">
            <w:pPr>
              <w:pStyle w:val="ListParagraph"/>
              <w:numPr>
                <w:ilvl w:val="0"/>
                <w:numId w:val="143"/>
              </w:numPr>
              <w:spacing w:line="264" w:lineRule="auto"/>
              <w:ind w:right="142"/>
              <w:rPr>
                <w:rFonts w:ascii="Arial" w:hAnsi="Arial" w:cs="Arial"/>
              </w:rPr>
            </w:pPr>
            <w:r>
              <w:rPr>
                <w:rFonts w:ascii="Arial" w:hAnsi="Arial" w:cs="Arial"/>
              </w:rPr>
              <w:t>Identify a long list of options.</w:t>
            </w:r>
          </w:p>
          <w:p w14:paraId="5E2BC310" w14:textId="77777777" w:rsidR="00FF6E56" w:rsidRDefault="00FF6E56" w:rsidP="004F4B79">
            <w:pPr>
              <w:pStyle w:val="ListParagraph"/>
              <w:numPr>
                <w:ilvl w:val="0"/>
                <w:numId w:val="143"/>
              </w:numPr>
              <w:spacing w:line="264" w:lineRule="auto"/>
              <w:ind w:right="142"/>
              <w:rPr>
                <w:rFonts w:ascii="Arial" w:hAnsi="Arial" w:cs="Arial"/>
              </w:rPr>
            </w:pPr>
            <w:r>
              <w:rPr>
                <w:rFonts w:ascii="Arial" w:hAnsi="Arial" w:cs="Arial"/>
              </w:rPr>
              <w:t>Prioritise these into a shortlist.</w:t>
            </w:r>
          </w:p>
          <w:p w14:paraId="4FE7294F" w14:textId="77777777" w:rsidR="00FF6E56" w:rsidRDefault="00FF6E56" w:rsidP="004F4B79">
            <w:pPr>
              <w:pStyle w:val="ListParagraph"/>
              <w:numPr>
                <w:ilvl w:val="0"/>
                <w:numId w:val="143"/>
              </w:numPr>
              <w:spacing w:line="264" w:lineRule="auto"/>
              <w:ind w:right="142"/>
              <w:rPr>
                <w:rFonts w:ascii="Arial" w:hAnsi="Arial" w:cs="Arial"/>
              </w:rPr>
            </w:pPr>
            <w:r>
              <w:rPr>
                <w:rFonts w:ascii="Arial" w:hAnsi="Arial" w:cs="Arial"/>
              </w:rPr>
              <w:t>Perform an economic appraisal following HM Treasury Green Book methodology and the DHSC’s Comprehensive Investment Appraisal model to determine a preferred option.</w:t>
            </w:r>
          </w:p>
          <w:p w14:paraId="72289623" w14:textId="77777777" w:rsidR="00FF6E56" w:rsidRDefault="00FF6E56" w:rsidP="0070603A">
            <w:pPr>
              <w:spacing w:line="264" w:lineRule="auto"/>
              <w:ind w:right="142"/>
              <w:rPr>
                <w:rFonts w:ascii="Arial" w:hAnsi="Arial" w:cs="Arial"/>
              </w:rPr>
            </w:pPr>
            <w:r>
              <w:rPr>
                <w:rFonts w:ascii="Arial" w:hAnsi="Arial" w:cs="Arial"/>
              </w:rPr>
              <w:t>The shortlist identifies five options:</w:t>
            </w:r>
          </w:p>
          <w:p w14:paraId="1A149FC6" w14:textId="77777777" w:rsidR="00FF6E56" w:rsidRPr="000D7EB7" w:rsidRDefault="00FF6E56" w:rsidP="004F4B79">
            <w:pPr>
              <w:pStyle w:val="ListParagraph"/>
              <w:numPr>
                <w:ilvl w:val="0"/>
                <w:numId w:val="144"/>
              </w:numPr>
              <w:spacing w:line="264" w:lineRule="auto"/>
              <w:ind w:right="142"/>
              <w:rPr>
                <w:rFonts w:ascii="Arial" w:hAnsi="Arial" w:cs="Arial"/>
              </w:rPr>
            </w:pPr>
            <w:r w:rsidRPr="000D7EB7">
              <w:rPr>
                <w:rFonts w:ascii="Arial" w:hAnsi="Arial" w:cs="Arial"/>
              </w:rPr>
              <w:t xml:space="preserve">Option 0: </w:t>
            </w:r>
            <w:r>
              <w:rPr>
                <w:rFonts w:ascii="Arial" w:hAnsi="Arial" w:cs="Arial"/>
              </w:rPr>
              <w:t>Business as usual (comparator).</w:t>
            </w:r>
          </w:p>
          <w:p w14:paraId="24422781" w14:textId="77777777" w:rsidR="00FF6E56" w:rsidRPr="00A43B2D" w:rsidRDefault="00FF6E56" w:rsidP="004F4B79">
            <w:pPr>
              <w:pStyle w:val="ListParagraph"/>
              <w:numPr>
                <w:ilvl w:val="0"/>
                <w:numId w:val="144"/>
              </w:numPr>
              <w:spacing w:line="264" w:lineRule="auto"/>
              <w:ind w:right="142"/>
              <w:rPr>
                <w:rFonts w:ascii="Arial" w:hAnsi="Arial" w:cs="Arial"/>
              </w:rPr>
            </w:pPr>
            <w:r w:rsidRPr="000D7EB7">
              <w:rPr>
                <w:rFonts w:ascii="Arial" w:hAnsi="Arial" w:cs="Arial"/>
              </w:rPr>
              <w:t>Op</w:t>
            </w:r>
            <w:r>
              <w:rPr>
                <w:rFonts w:ascii="Arial" w:hAnsi="Arial" w:cs="Arial"/>
              </w:rPr>
              <w:t>tion 1: Do minimum (a</w:t>
            </w:r>
            <w:r w:rsidRPr="00A43B2D">
              <w:rPr>
                <w:rFonts w:ascii="Arial" w:hAnsi="Arial" w:cs="Arial"/>
              </w:rPr>
              <w:t xml:space="preserve"> realistic investment programme to maintain City Road operations)</w:t>
            </w:r>
            <w:r>
              <w:rPr>
                <w:rFonts w:ascii="Arial" w:hAnsi="Arial" w:cs="Arial"/>
              </w:rPr>
              <w:t>.</w:t>
            </w:r>
          </w:p>
          <w:p w14:paraId="18F238A9" w14:textId="77777777" w:rsidR="00FF6E56" w:rsidRDefault="00FF6E56" w:rsidP="004F4B79">
            <w:pPr>
              <w:pStyle w:val="ListParagraph"/>
              <w:numPr>
                <w:ilvl w:val="0"/>
                <w:numId w:val="144"/>
              </w:numPr>
              <w:spacing w:line="264" w:lineRule="auto"/>
              <w:ind w:right="142"/>
              <w:rPr>
                <w:rFonts w:ascii="Arial" w:hAnsi="Arial" w:cs="Arial"/>
              </w:rPr>
            </w:pPr>
            <w:r>
              <w:rPr>
                <w:rFonts w:ascii="Arial" w:hAnsi="Arial" w:cs="Arial"/>
              </w:rPr>
              <w:t>Option 2: Redevelopment of City Road.</w:t>
            </w:r>
          </w:p>
          <w:p w14:paraId="1F747919" w14:textId="77777777" w:rsidR="00FF6E56" w:rsidRDefault="00FF6E56" w:rsidP="004F4B79">
            <w:pPr>
              <w:pStyle w:val="ListParagraph"/>
              <w:numPr>
                <w:ilvl w:val="0"/>
                <w:numId w:val="144"/>
              </w:numPr>
              <w:spacing w:line="264" w:lineRule="auto"/>
              <w:ind w:right="142"/>
              <w:rPr>
                <w:rFonts w:ascii="Arial" w:hAnsi="Arial" w:cs="Arial"/>
              </w:rPr>
            </w:pPr>
            <w:r>
              <w:rPr>
                <w:rFonts w:ascii="Arial" w:hAnsi="Arial" w:cs="Arial"/>
              </w:rPr>
              <w:t>Option 3: Build a new facility at St Pancras – 39,500 square metres.</w:t>
            </w:r>
          </w:p>
          <w:p w14:paraId="5256756B" w14:textId="77777777" w:rsidR="00FF6E56" w:rsidRPr="000D7EB7" w:rsidRDefault="00FF6E56" w:rsidP="004F4B79">
            <w:pPr>
              <w:pStyle w:val="ListParagraph"/>
              <w:numPr>
                <w:ilvl w:val="0"/>
                <w:numId w:val="144"/>
              </w:numPr>
              <w:spacing w:line="264" w:lineRule="auto"/>
              <w:ind w:right="142"/>
              <w:rPr>
                <w:rFonts w:ascii="Arial" w:hAnsi="Arial" w:cs="Arial"/>
              </w:rPr>
            </w:pPr>
            <w:r>
              <w:rPr>
                <w:rFonts w:ascii="Arial" w:hAnsi="Arial" w:cs="Arial"/>
              </w:rPr>
              <w:t>Option 4: Build a new facility at St Pancras – 43,000 square metres.</w:t>
            </w:r>
          </w:p>
          <w:p w14:paraId="59E372B2" w14:textId="77777777" w:rsidR="00FF6E56" w:rsidRDefault="00FF6E56" w:rsidP="0070603A">
            <w:pPr>
              <w:spacing w:line="264" w:lineRule="auto"/>
              <w:ind w:right="142"/>
              <w:rPr>
                <w:rFonts w:ascii="Arial" w:hAnsi="Arial" w:cs="Arial"/>
              </w:rPr>
            </w:pPr>
            <w:r>
              <w:rPr>
                <w:rFonts w:ascii="Arial" w:hAnsi="Arial" w:cs="Arial"/>
              </w:rPr>
              <w:t>The economic appraisal demonstrates that Options 3 and 4 have the highest net present social value and benefit-cost ratio.  Option 4 is discounted due to affordability.  Option 3 is therefore identified as the preferred option.</w:t>
            </w:r>
          </w:p>
          <w:p w14:paraId="05B3F4EE" w14:textId="77777777" w:rsidR="00FF6E56" w:rsidRPr="000D7EB7" w:rsidRDefault="00FF6E56" w:rsidP="0070603A">
            <w:pPr>
              <w:spacing w:line="264" w:lineRule="auto"/>
              <w:ind w:right="142"/>
              <w:rPr>
                <w:rFonts w:ascii="Arial" w:hAnsi="Arial" w:cs="Arial"/>
              </w:rPr>
            </w:pPr>
            <w:r>
              <w:rPr>
                <w:rFonts w:ascii="Arial" w:hAnsi="Arial" w:cs="Arial"/>
              </w:rPr>
              <w:t>This is tested through sensitivity analysis which demonstrates that this conclusion is robust.</w:t>
            </w:r>
          </w:p>
          <w:p w14:paraId="63C7EEE7" w14:textId="77777777" w:rsidR="00FF6E56" w:rsidRPr="00DD5EC3" w:rsidRDefault="00FF6E56" w:rsidP="0070603A">
            <w:pPr>
              <w:spacing w:line="264" w:lineRule="auto"/>
              <w:ind w:right="142"/>
              <w:rPr>
                <w:rFonts w:ascii="Arial" w:hAnsi="Arial" w:cs="Arial"/>
                <w:b/>
                <w:i/>
              </w:rPr>
            </w:pPr>
            <w:r w:rsidRPr="00DD5EC3">
              <w:rPr>
                <w:rFonts w:ascii="Arial" w:hAnsi="Arial" w:cs="Arial"/>
                <w:b/>
                <w:i/>
              </w:rPr>
              <w:t>Key supporting documents</w:t>
            </w:r>
          </w:p>
          <w:p w14:paraId="082506B6" w14:textId="458EC9BB" w:rsidR="00FF6E56" w:rsidRPr="00DD5EC3" w:rsidRDefault="00FF6E56" w:rsidP="0070603A">
            <w:pPr>
              <w:pStyle w:val="ListParagraph"/>
              <w:numPr>
                <w:ilvl w:val="0"/>
                <w:numId w:val="29"/>
              </w:numPr>
              <w:spacing w:line="264" w:lineRule="auto"/>
              <w:ind w:right="142"/>
              <w:rPr>
                <w:rFonts w:ascii="Arial" w:hAnsi="Arial" w:cs="Arial"/>
                <w:b/>
              </w:rPr>
            </w:pPr>
            <w:r>
              <w:rPr>
                <w:rFonts w:ascii="Arial" w:hAnsi="Arial" w:cs="Arial"/>
                <w:b/>
                <w:i/>
              </w:rPr>
              <w:t>Appendix 4</w:t>
            </w:r>
            <w:r w:rsidRPr="00DD5EC3">
              <w:rPr>
                <w:rFonts w:ascii="Arial" w:hAnsi="Arial" w:cs="Arial"/>
                <w:b/>
                <w:i/>
              </w:rPr>
              <w:t>A:</w:t>
            </w:r>
            <w:r>
              <w:rPr>
                <w:rFonts w:ascii="Arial" w:hAnsi="Arial" w:cs="Arial"/>
                <w:b/>
                <w:i/>
              </w:rPr>
              <w:t xml:space="preserve"> Stakeholder workshops summary</w:t>
            </w:r>
          </w:p>
          <w:p w14:paraId="0F7F3216" w14:textId="277D01D5" w:rsidR="00FF6E56" w:rsidRPr="00DD5EC3" w:rsidRDefault="00FF6E56" w:rsidP="0070603A">
            <w:pPr>
              <w:pStyle w:val="ListParagraph"/>
              <w:numPr>
                <w:ilvl w:val="0"/>
                <w:numId w:val="29"/>
              </w:numPr>
              <w:spacing w:line="264" w:lineRule="auto"/>
              <w:ind w:right="142"/>
              <w:rPr>
                <w:rFonts w:ascii="Arial" w:hAnsi="Arial" w:cs="Arial"/>
                <w:b/>
              </w:rPr>
            </w:pPr>
            <w:r>
              <w:rPr>
                <w:rFonts w:ascii="Arial" w:hAnsi="Arial" w:cs="Arial"/>
                <w:b/>
                <w:i/>
              </w:rPr>
              <w:t xml:space="preserve">Appendix 4B: Approach to costing </w:t>
            </w:r>
            <w:r w:rsidR="00D10F47">
              <w:rPr>
                <w:rFonts w:ascii="Arial" w:hAnsi="Arial" w:cs="Arial"/>
                <w:b/>
                <w:i/>
              </w:rPr>
              <w:t>d</w:t>
            </w:r>
            <w:r>
              <w:rPr>
                <w:rFonts w:ascii="Arial" w:hAnsi="Arial" w:cs="Arial"/>
                <w:b/>
                <w:i/>
              </w:rPr>
              <w:t>o minimum option</w:t>
            </w:r>
          </w:p>
          <w:p w14:paraId="1DB131CA" w14:textId="785B1647" w:rsidR="00FF6E56" w:rsidRPr="00D10F47" w:rsidRDefault="00FF6E56" w:rsidP="0070603A">
            <w:pPr>
              <w:pStyle w:val="ListParagraph"/>
              <w:numPr>
                <w:ilvl w:val="0"/>
                <w:numId w:val="29"/>
              </w:numPr>
              <w:spacing w:line="264" w:lineRule="auto"/>
              <w:ind w:right="142"/>
              <w:rPr>
                <w:rFonts w:ascii="Arial" w:hAnsi="Arial" w:cs="Arial"/>
                <w:b/>
                <w:i/>
              </w:rPr>
            </w:pPr>
            <w:r>
              <w:rPr>
                <w:rFonts w:ascii="Arial" w:hAnsi="Arial" w:cs="Arial"/>
                <w:b/>
                <w:i/>
              </w:rPr>
              <w:t xml:space="preserve">Appendix 4C: Quantified </w:t>
            </w:r>
            <w:r w:rsidRPr="00D10F47">
              <w:rPr>
                <w:rFonts w:ascii="Arial" w:hAnsi="Arial" w:cs="Arial"/>
                <w:b/>
                <w:i/>
              </w:rPr>
              <w:t xml:space="preserve">risk </w:t>
            </w:r>
            <w:r w:rsidR="009300D3">
              <w:rPr>
                <w:rFonts w:ascii="Arial" w:hAnsi="Arial" w:cs="Arial"/>
                <w:b/>
                <w:i/>
              </w:rPr>
              <w:t>methodology</w:t>
            </w:r>
          </w:p>
          <w:p w14:paraId="09C57853" w14:textId="57570836" w:rsidR="00D10F47" w:rsidRPr="00D10F47" w:rsidRDefault="00D10F47" w:rsidP="0070603A">
            <w:pPr>
              <w:pStyle w:val="ListParagraph"/>
              <w:numPr>
                <w:ilvl w:val="0"/>
                <w:numId w:val="29"/>
              </w:numPr>
              <w:spacing w:line="264" w:lineRule="auto"/>
              <w:ind w:right="142"/>
              <w:rPr>
                <w:rFonts w:ascii="Arial" w:hAnsi="Arial" w:cs="Arial"/>
                <w:b/>
                <w:i/>
              </w:rPr>
            </w:pPr>
            <w:r w:rsidRPr="00D10F47">
              <w:rPr>
                <w:rFonts w:ascii="Arial" w:hAnsi="Arial" w:cs="Arial"/>
                <w:b/>
                <w:i/>
              </w:rPr>
              <w:t>Appendix 4D: Further breakdown of economic appraisal</w:t>
            </w:r>
          </w:p>
          <w:p w14:paraId="31CFC3E9" w14:textId="5D4E0C1A" w:rsidR="00FF6E56" w:rsidRPr="00DD5EC3" w:rsidRDefault="00FF6E56" w:rsidP="0070603A">
            <w:pPr>
              <w:pStyle w:val="ListParagraph"/>
              <w:numPr>
                <w:ilvl w:val="0"/>
                <w:numId w:val="29"/>
              </w:numPr>
              <w:spacing w:line="264" w:lineRule="auto"/>
              <w:ind w:right="142"/>
              <w:rPr>
                <w:rFonts w:ascii="Arial" w:hAnsi="Arial" w:cs="Arial"/>
                <w:b/>
              </w:rPr>
            </w:pPr>
            <w:r w:rsidRPr="00D10F47">
              <w:rPr>
                <w:rFonts w:ascii="Arial" w:hAnsi="Arial" w:cs="Arial"/>
                <w:b/>
                <w:i/>
              </w:rPr>
              <w:t>Appendix 4</w:t>
            </w:r>
            <w:r w:rsidR="00D10F47">
              <w:rPr>
                <w:rFonts w:ascii="Arial" w:hAnsi="Arial" w:cs="Arial"/>
                <w:b/>
                <w:i/>
              </w:rPr>
              <w:t>E</w:t>
            </w:r>
            <w:r w:rsidRPr="00D10F47">
              <w:rPr>
                <w:rFonts w:ascii="Arial" w:hAnsi="Arial" w:cs="Arial"/>
                <w:b/>
                <w:i/>
              </w:rPr>
              <w:t xml:space="preserve">: </w:t>
            </w:r>
            <w:r w:rsidR="00D10F47">
              <w:rPr>
                <w:rFonts w:ascii="Arial" w:hAnsi="Arial" w:cs="Arial"/>
                <w:b/>
                <w:i/>
              </w:rPr>
              <w:t>OB</w:t>
            </w:r>
            <w:r w:rsidRPr="00D10F47">
              <w:rPr>
                <w:rFonts w:ascii="Arial" w:hAnsi="Arial" w:cs="Arial"/>
                <w:b/>
                <w:i/>
              </w:rPr>
              <w:t xml:space="preserve"> forms</w:t>
            </w:r>
            <w:r>
              <w:rPr>
                <w:rFonts w:ascii="Arial" w:hAnsi="Arial" w:cs="Arial"/>
                <w:b/>
                <w:i/>
              </w:rPr>
              <w:t xml:space="preserve"> for each option</w:t>
            </w:r>
          </w:p>
          <w:p w14:paraId="1376CAAF" w14:textId="77777777" w:rsidR="00D10F47" w:rsidRPr="00880F3B" w:rsidRDefault="00FF6E56" w:rsidP="00D10F47">
            <w:pPr>
              <w:pStyle w:val="ListParagraph"/>
              <w:numPr>
                <w:ilvl w:val="0"/>
                <w:numId w:val="29"/>
              </w:numPr>
              <w:spacing w:line="264" w:lineRule="auto"/>
              <w:ind w:right="142"/>
              <w:rPr>
                <w:rFonts w:ascii="Arial" w:hAnsi="Arial" w:cs="Arial"/>
                <w:b/>
              </w:rPr>
            </w:pPr>
            <w:r>
              <w:rPr>
                <w:rFonts w:ascii="Arial" w:hAnsi="Arial" w:cs="Arial"/>
                <w:b/>
                <w:i/>
              </w:rPr>
              <w:t>Appendix 4</w:t>
            </w:r>
            <w:r w:rsidR="00D10F47">
              <w:rPr>
                <w:rFonts w:ascii="Arial" w:hAnsi="Arial" w:cs="Arial"/>
                <w:b/>
                <w:i/>
              </w:rPr>
              <w:t>F</w:t>
            </w:r>
            <w:r>
              <w:rPr>
                <w:rFonts w:ascii="Arial" w:hAnsi="Arial" w:cs="Arial"/>
                <w:b/>
                <w:i/>
              </w:rPr>
              <w:t>: DHSC Comprehensive Investment Appraisal Model</w:t>
            </w:r>
          </w:p>
          <w:p w14:paraId="0A9B9DF6" w14:textId="0A3166ED" w:rsidR="00880F3B" w:rsidRPr="00D10F47" w:rsidRDefault="00880F3B" w:rsidP="00D10F47">
            <w:pPr>
              <w:pStyle w:val="ListParagraph"/>
              <w:numPr>
                <w:ilvl w:val="0"/>
                <w:numId w:val="29"/>
              </w:numPr>
              <w:spacing w:line="264" w:lineRule="auto"/>
              <w:ind w:right="142"/>
              <w:rPr>
                <w:rFonts w:ascii="Arial" w:hAnsi="Arial" w:cs="Arial"/>
                <w:b/>
              </w:rPr>
            </w:pPr>
            <w:r>
              <w:rPr>
                <w:rFonts w:ascii="Arial" w:hAnsi="Arial" w:cs="Arial"/>
                <w:b/>
                <w:i/>
              </w:rPr>
              <w:t>Appendix 4G: Options framework further detail</w:t>
            </w:r>
          </w:p>
        </w:tc>
      </w:tr>
    </w:tbl>
    <w:p w14:paraId="3063D3A0" w14:textId="77777777" w:rsidR="00FF6E56" w:rsidRPr="000D7EB7" w:rsidRDefault="00FF6E56" w:rsidP="00FF6E56"/>
    <w:p w14:paraId="00BA7BB8" w14:textId="77777777" w:rsidR="00FF6E56" w:rsidRPr="00587DF1" w:rsidRDefault="00FF6E56" w:rsidP="00FF6E56">
      <w:pPr>
        <w:spacing w:after="0" w:line="240" w:lineRule="auto"/>
        <w:rPr>
          <w:rFonts w:ascii="Arial" w:eastAsia="Arial" w:hAnsi="Arial" w:cs="Arial"/>
        </w:rPr>
      </w:pPr>
    </w:p>
    <w:p w14:paraId="0D28E61D" w14:textId="77777777" w:rsidR="00FF6E56" w:rsidRDefault="00FF6E56" w:rsidP="00FF6E56">
      <w:pPr>
        <w:pStyle w:val="Heading2"/>
        <w:numPr>
          <w:ilvl w:val="1"/>
          <w:numId w:val="1"/>
        </w:numPr>
        <w:rPr>
          <w:rFonts w:ascii="Arial" w:eastAsia="Arial" w:hAnsi="Arial" w:cs="Arial"/>
        </w:rPr>
      </w:pPr>
      <w:bookmarkStart w:id="172" w:name="_Toc413331332"/>
      <w:bookmarkStart w:id="173" w:name="_Toc409771201"/>
      <w:bookmarkStart w:id="174" w:name="_Ref30414546"/>
      <w:bookmarkStart w:id="175" w:name="_Toc32842706"/>
      <w:r w:rsidRPr="00587DF1">
        <w:rPr>
          <w:rFonts w:ascii="Arial" w:eastAsia="Arial" w:hAnsi="Arial" w:cs="Arial"/>
        </w:rPr>
        <w:t>Introduction</w:t>
      </w:r>
      <w:bookmarkEnd w:id="172"/>
      <w:bookmarkEnd w:id="173"/>
      <w:r w:rsidRPr="00587DF1">
        <w:rPr>
          <w:rFonts w:ascii="Arial" w:eastAsia="Arial" w:hAnsi="Arial" w:cs="Arial"/>
        </w:rPr>
        <w:t xml:space="preserve"> and methodology</w:t>
      </w:r>
      <w:bookmarkEnd w:id="174"/>
      <w:bookmarkEnd w:id="175"/>
    </w:p>
    <w:p w14:paraId="751096B6" w14:textId="77777777" w:rsidR="00FF6E56" w:rsidRDefault="00FF6E56" w:rsidP="00FF6E56">
      <w:pPr>
        <w:pBdr>
          <w:top w:val="nil"/>
          <w:left w:val="nil"/>
          <w:bottom w:val="nil"/>
          <w:right w:val="nil"/>
          <w:between w:val="nil"/>
        </w:pBdr>
        <w:tabs>
          <w:tab w:val="left" w:pos="567"/>
        </w:tabs>
        <w:spacing w:after="0"/>
        <w:rPr>
          <w:rFonts w:ascii="Arial" w:eastAsia="Arial" w:hAnsi="Arial" w:cs="Arial"/>
          <w:bCs/>
          <w:color w:val="000000"/>
        </w:rPr>
      </w:pPr>
    </w:p>
    <w:p w14:paraId="1872C7F5" w14:textId="77777777" w:rsidR="00FF6E56" w:rsidRPr="00587DF1" w:rsidRDefault="00FF6E56" w:rsidP="00FF6E56">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 xml:space="preserve">This options appraisal in the OBC </w:t>
      </w:r>
      <w:r>
        <w:rPr>
          <w:rFonts w:ascii="Arial" w:eastAsia="Arial" w:hAnsi="Arial" w:cs="Arial"/>
          <w:bCs/>
          <w:color w:val="000000"/>
        </w:rPr>
        <w:t>represents</w:t>
      </w:r>
      <w:r w:rsidRPr="00587DF1">
        <w:rPr>
          <w:rFonts w:ascii="Arial" w:eastAsia="Arial" w:hAnsi="Arial" w:cs="Arial"/>
          <w:bCs/>
          <w:color w:val="000000"/>
        </w:rPr>
        <w:t xml:space="preserve"> a refresh of the options appraisal undertaken in the SOC, using the opportunity to </w:t>
      </w:r>
      <w:r>
        <w:rPr>
          <w:rFonts w:ascii="Arial" w:eastAsia="Arial" w:hAnsi="Arial" w:cs="Arial"/>
          <w:bCs/>
          <w:color w:val="000000"/>
        </w:rPr>
        <w:t xml:space="preserve">update </w:t>
      </w:r>
      <w:r w:rsidRPr="00587DF1">
        <w:rPr>
          <w:rFonts w:ascii="Arial" w:eastAsia="Arial" w:hAnsi="Arial" w:cs="Arial"/>
          <w:bCs/>
          <w:color w:val="000000"/>
        </w:rPr>
        <w:t xml:space="preserve">assumptions and reflect the updated Treasury Green Book guidance published in 2018. </w:t>
      </w:r>
      <w:r>
        <w:rPr>
          <w:rFonts w:ascii="Arial" w:eastAsia="Arial" w:hAnsi="Arial" w:cs="Arial"/>
          <w:bCs/>
          <w:color w:val="000000"/>
        </w:rPr>
        <w:t>The following steps have been followed:</w:t>
      </w:r>
    </w:p>
    <w:p w14:paraId="066DB93B" w14:textId="21E1771B" w:rsidR="00FF6E56" w:rsidRPr="00E10C97" w:rsidRDefault="00FF6E56" w:rsidP="004F4B79">
      <w:pPr>
        <w:pStyle w:val="ListParagraph"/>
        <w:numPr>
          <w:ilvl w:val="0"/>
          <w:numId w:val="147"/>
        </w:numPr>
        <w:pBdr>
          <w:top w:val="nil"/>
          <w:left w:val="nil"/>
          <w:bottom w:val="nil"/>
          <w:right w:val="nil"/>
          <w:between w:val="nil"/>
        </w:pBdr>
        <w:tabs>
          <w:tab w:val="left" w:pos="709"/>
        </w:tabs>
        <w:rPr>
          <w:rFonts w:ascii="Arial" w:eastAsia="Arial" w:hAnsi="Arial" w:cs="Arial"/>
          <w:bCs/>
          <w:color w:val="000000"/>
        </w:rPr>
      </w:pPr>
      <w:r w:rsidRPr="00E10C97">
        <w:rPr>
          <w:rFonts w:ascii="Arial" w:eastAsia="Arial" w:hAnsi="Arial" w:cs="Arial"/>
          <w:bCs/>
          <w:color w:val="000000"/>
        </w:rPr>
        <w:t xml:space="preserve">Step 1: </w:t>
      </w:r>
      <w:r>
        <w:rPr>
          <w:rFonts w:ascii="Arial" w:eastAsia="Arial" w:hAnsi="Arial" w:cs="Arial"/>
          <w:bCs/>
          <w:color w:val="000000"/>
        </w:rPr>
        <w:t>The</w:t>
      </w:r>
      <w:r w:rsidRPr="00E10C97">
        <w:rPr>
          <w:rFonts w:ascii="Arial" w:eastAsia="Arial" w:hAnsi="Arial" w:cs="Arial"/>
          <w:bCs/>
          <w:color w:val="000000"/>
        </w:rPr>
        <w:t xml:space="preserve"> investment objectives and Critical Success Factors (CSFs) </w:t>
      </w:r>
      <w:r>
        <w:rPr>
          <w:rFonts w:ascii="Arial" w:eastAsia="Arial" w:hAnsi="Arial" w:cs="Arial"/>
          <w:bCs/>
          <w:color w:val="000000"/>
        </w:rPr>
        <w:t xml:space="preserve">were refreshed </w:t>
      </w:r>
      <w:r w:rsidRPr="00E10C97">
        <w:rPr>
          <w:rFonts w:ascii="Arial" w:eastAsia="Arial" w:hAnsi="Arial" w:cs="Arial"/>
          <w:bCs/>
          <w:color w:val="000000"/>
        </w:rPr>
        <w:t xml:space="preserve">to ensure they </w:t>
      </w:r>
      <w:r>
        <w:rPr>
          <w:rFonts w:ascii="Arial" w:eastAsia="Arial" w:hAnsi="Arial" w:cs="Arial"/>
          <w:bCs/>
          <w:color w:val="000000"/>
        </w:rPr>
        <w:t xml:space="preserve">continue to </w:t>
      </w:r>
      <w:r w:rsidRPr="00E10C97">
        <w:rPr>
          <w:rFonts w:ascii="Arial" w:eastAsia="Arial" w:hAnsi="Arial" w:cs="Arial"/>
          <w:bCs/>
          <w:color w:val="000000"/>
        </w:rPr>
        <w:t xml:space="preserve">meet the needs of all the Oriel partners. </w:t>
      </w:r>
      <w:r>
        <w:rPr>
          <w:rFonts w:ascii="Arial" w:eastAsia="Arial" w:hAnsi="Arial" w:cs="Arial"/>
          <w:bCs/>
          <w:color w:val="000000"/>
        </w:rPr>
        <w:t xml:space="preserve">These </w:t>
      </w:r>
      <w:r>
        <w:rPr>
          <w:rFonts w:ascii="Arial" w:eastAsia="Arial" w:hAnsi="Arial" w:cs="Arial"/>
          <w:bCs/>
          <w:color w:val="000000"/>
        </w:rPr>
        <w:lastRenderedPageBreak/>
        <w:t xml:space="preserve">were tested through engagement </w:t>
      </w:r>
      <w:r w:rsidRPr="00E10C97">
        <w:rPr>
          <w:rFonts w:ascii="Arial" w:eastAsia="Arial" w:hAnsi="Arial" w:cs="Arial"/>
          <w:bCs/>
          <w:color w:val="000000"/>
        </w:rPr>
        <w:t>with a wide range of internal and external stakeholders.</w:t>
      </w:r>
      <w:r>
        <w:rPr>
          <w:rFonts w:ascii="Arial" w:eastAsia="Arial" w:hAnsi="Arial" w:cs="Arial"/>
          <w:bCs/>
          <w:color w:val="000000"/>
        </w:rPr>
        <w:t xml:space="preserve"> </w:t>
      </w:r>
      <w:r w:rsidRPr="00E10C97">
        <w:rPr>
          <w:rFonts w:ascii="Arial" w:eastAsia="Arial" w:hAnsi="Arial" w:cs="Arial"/>
          <w:b/>
          <w:bCs/>
          <w:color w:val="000000"/>
        </w:rPr>
        <w:t>See section</w:t>
      </w:r>
      <w:r>
        <w:rPr>
          <w:rFonts w:ascii="Arial" w:eastAsia="Arial" w:hAnsi="Arial" w:cs="Arial"/>
          <w:b/>
          <w:bCs/>
          <w:color w:val="000000"/>
        </w:rPr>
        <w:t xml:space="preserve"> </w:t>
      </w:r>
      <w:r>
        <w:rPr>
          <w:rFonts w:ascii="Arial" w:eastAsia="Arial" w:hAnsi="Arial" w:cs="Arial"/>
          <w:b/>
          <w:bCs/>
          <w:color w:val="000000"/>
        </w:rPr>
        <w:fldChar w:fldCharType="begin"/>
      </w:r>
      <w:r>
        <w:rPr>
          <w:rFonts w:ascii="Arial" w:eastAsia="Arial" w:hAnsi="Arial" w:cs="Arial"/>
          <w:b/>
          <w:bCs/>
          <w:color w:val="000000"/>
        </w:rPr>
        <w:instrText xml:space="preserve"> REF _Ref30414578 \r \h </w:instrText>
      </w:r>
      <w:r>
        <w:rPr>
          <w:rFonts w:ascii="Arial" w:eastAsia="Arial" w:hAnsi="Arial" w:cs="Arial"/>
          <w:b/>
          <w:bCs/>
          <w:color w:val="000000"/>
        </w:rPr>
      </w:r>
      <w:r>
        <w:rPr>
          <w:rFonts w:ascii="Arial" w:eastAsia="Arial" w:hAnsi="Arial" w:cs="Arial"/>
          <w:b/>
          <w:bCs/>
          <w:color w:val="000000"/>
        </w:rPr>
        <w:fldChar w:fldCharType="separate"/>
      </w:r>
      <w:r w:rsidR="00A936CD">
        <w:rPr>
          <w:rFonts w:ascii="Arial" w:eastAsia="Arial" w:hAnsi="Arial" w:cs="Arial"/>
          <w:b/>
          <w:bCs/>
          <w:color w:val="000000"/>
        </w:rPr>
        <w:t>4.2</w:t>
      </w:r>
      <w:r>
        <w:rPr>
          <w:rFonts w:ascii="Arial" w:eastAsia="Arial" w:hAnsi="Arial" w:cs="Arial"/>
          <w:b/>
          <w:bCs/>
          <w:color w:val="000000"/>
        </w:rPr>
        <w:fldChar w:fldCharType="end"/>
      </w:r>
      <w:r w:rsidRPr="00E10C97">
        <w:rPr>
          <w:rFonts w:ascii="Arial" w:eastAsia="Arial" w:hAnsi="Arial" w:cs="Arial"/>
          <w:bCs/>
          <w:color w:val="000000"/>
        </w:rPr>
        <w:t>.</w:t>
      </w:r>
    </w:p>
    <w:p w14:paraId="3A67BAE4" w14:textId="76DCC1C5" w:rsidR="00FF6E56" w:rsidRPr="00E10C97" w:rsidRDefault="00FF6E56" w:rsidP="004F4B79">
      <w:pPr>
        <w:pStyle w:val="ListParagraph"/>
        <w:numPr>
          <w:ilvl w:val="0"/>
          <w:numId w:val="147"/>
        </w:numPr>
        <w:pBdr>
          <w:top w:val="nil"/>
          <w:left w:val="nil"/>
          <w:bottom w:val="nil"/>
          <w:right w:val="nil"/>
          <w:between w:val="nil"/>
        </w:pBdr>
        <w:tabs>
          <w:tab w:val="left" w:pos="709"/>
        </w:tabs>
        <w:rPr>
          <w:rFonts w:ascii="Arial" w:eastAsia="Arial" w:hAnsi="Arial" w:cs="Arial"/>
          <w:bCs/>
          <w:color w:val="000000"/>
        </w:rPr>
      </w:pPr>
      <w:r w:rsidRPr="00E10C97">
        <w:rPr>
          <w:rFonts w:ascii="Arial" w:eastAsia="Arial" w:hAnsi="Arial" w:cs="Arial"/>
          <w:bCs/>
          <w:color w:val="000000"/>
        </w:rPr>
        <w:t xml:space="preserve">Step 2: </w:t>
      </w:r>
      <w:r>
        <w:rPr>
          <w:rFonts w:ascii="Arial" w:eastAsia="Arial" w:hAnsi="Arial" w:cs="Arial"/>
          <w:bCs/>
          <w:color w:val="000000"/>
        </w:rPr>
        <w:t>T</w:t>
      </w:r>
      <w:r w:rsidRPr="00E10C97">
        <w:rPr>
          <w:rFonts w:ascii="Arial" w:eastAsia="Arial" w:hAnsi="Arial" w:cs="Arial"/>
          <w:bCs/>
          <w:color w:val="000000"/>
        </w:rPr>
        <w:t xml:space="preserve">he </w:t>
      </w:r>
      <w:r>
        <w:rPr>
          <w:rFonts w:ascii="Arial" w:eastAsia="Arial" w:hAnsi="Arial" w:cs="Arial"/>
          <w:bCs/>
          <w:color w:val="000000"/>
        </w:rPr>
        <w:t xml:space="preserve">HM Treasury </w:t>
      </w:r>
      <w:r w:rsidRPr="00E10C97">
        <w:rPr>
          <w:rFonts w:ascii="Arial" w:eastAsia="Arial" w:hAnsi="Arial" w:cs="Arial"/>
          <w:bCs/>
          <w:color w:val="000000"/>
        </w:rPr>
        <w:t xml:space="preserve">options framework </w:t>
      </w:r>
      <w:r>
        <w:rPr>
          <w:rFonts w:ascii="Arial" w:eastAsia="Arial" w:hAnsi="Arial" w:cs="Arial"/>
          <w:bCs/>
          <w:color w:val="000000"/>
        </w:rPr>
        <w:t xml:space="preserve">was used </w:t>
      </w:r>
      <w:r w:rsidRPr="00E10C97">
        <w:rPr>
          <w:rFonts w:ascii="Arial" w:eastAsia="Arial" w:hAnsi="Arial" w:cs="Arial"/>
          <w:bCs/>
          <w:color w:val="000000"/>
        </w:rPr>
        <w:t xml:space="preserve">to </w:t>
      </w:r>
      <w:r>
        <w:rPr>
          <w:rFonts w:ascii="Arial" w:eastAsia="Arial" w:hAnsi="Arial" w:cs="Arial"/>
          <w:bCs/>
          <w:color w:val="000000"/>
        </w:rPr>
        <w:t>develop</w:t>
      </w:r>
      <w:r w:rsidRPr="00E10C97">
        <w:rPr>
          <w:rFonts w:ascii="Arial" w:eastAsia="Arial" w:hAnsi="Arial" w:cs="Arial"/>
          <w:bCs/>
          <w:color w:val="000000"/>
        </w:rPr>
        <w:t xml:space="preserve"> </w:t>
      </w:r>
      <w:r>
        <w:rPr>
          <w:rFonts w:ascii="Arial" w:eastAsia="Arial" w:hAnsi="Arial" w:cs="Arial"/>
          <w:bCs/>
          <w:color w:val="000000"/>
        </w:rPr>
        <w:t xml:space="preserve">a </w:t>
      </w:r>
      <w:r w:rsidRPr="00E10C97">
        <w:rPr>
          <w:rFonts w:ascii="Arial" w:eastAsia="Arial" w:hAnsi="Arial" w:cs="Arial"/>
          <w:bCs/>
          <w:color w:val="000000"/>
        </w:rPr>
        <w:t xml:space="preserve">long list of options. </w:t>
      </w:r>
      <w:r>
        <w:rPr>
          <w:rFonts w:ascii="Arial" w:eastAsia="Arial" w:hAnsi="Arial" w:cs="Arial"/>
          <w:bCs/>
          <w:color w:val="000000"/>
        </w:rPr>
        <w:t xml:space="preserve">These were appraised </w:t>
      </w:r>
      <w:r w:rsidRPr="00E10C97">
        <w:rPr>
          <w:rFonts w:ascii="Arial" w:eastAsia="Arial" w:hAnsi="Arial" w:cs="Arial"/>
          <w:bCs/>
          <w:color w:val="000000"/>
        </w:rPr>
        <w:t>against the CSFs, and validat</w:t>
      </w:r>
      <w:r>
        <w:rPr>
          <w:rFonts w:ascii="Arial" w:eastAsia="Arial" w:hAnsi="Arial" w:cs="Arial"/>
          <w:bCs/>
          <w:color w:val="000000"/>
        </w:rPr>
        <w:t>ed</w:t>
      </w:r>
      <w:r w:rsidRPr="00E10C97">
        <w:rPr>
          <w:rFonts w:ascii="Arial" w:eastAsia="Arial" w:hAnsi="Arial" w:cs="Arial"/>
          <w:bCs/>
          <w:color w:val="000000"/>
        </w:rPr>
        <w:t xml:space="preserve"> in a workshop with a wide range of internal and external stakeholders, including commissioners and patient representatives. The output </w:t>
      </w:r>
      <w:r>
        <w:rPr>
          <w:rFonts w:ascii="Arial" w:eastAsia="Arial" w:hAnsi="Arial" w:cs="Arial"/>
          <w:bCs/>
          <w:color w:val="000000"/>
        </w:rPr>
        <w:t xml:space="preserve">of this was </w:t>
      </w:r>
      <w:r w:rsidRPr="00E10C97">
        <w:rPr>
          <w:rFonts w:ascii="Arial" w:eastAsia="Arial" w:hAnsi="Arial" w:cs="Arial"/>
          <w:bCs/>
          <w:color w:val="000000"/>
        </w:rPr>
        <w:t>a shortlist of options that best meet the CSFs.</w:t>
      </w:r>
      <w:r>
        <w:rPr>
          <w:rFonts w:ascii="Arial" w:eastAsia="Arial" w:hAnsi="Arial" w:cs="Arial"/>
          <w:bCs/>
          <w:color w:val="000000"/>
        </w:rPr>
        <w:t xml:space="preserve"> </w:t>
      </w:r>
      <w:r w:rsidRPr="00E10C97">
        <w:rPr>
          <w:rFonts w:ascii="Arial" w:eastAsia="Arial" w:hAnsi="Arial" w:cs="Arial"/>
          <w:b/>
          <w:bCs/>
          <w:color w:val="000000"/>
        </w:rPr>
        <w:t>See section</w:t>
      </w:r>
      <w:r>
        <w:rPr>
          <w:rFonts w:ascii="Arial" w:eastAsia="Arial" w:hAnsi="Arial" w:cs="Arial"/>
          <w:b/>
          <w:bCs/>
          <w:color w:val="000000"/>
        </w:rPr>
        <w:t>s</w:t>
      </w:r>
      <w:r w:rsidRPr="00E10C97">
        <w:rPr>
          <w:rFonts w:ascii="Arial" w:eastAsia="Arial" w:hAnsi="Arial" w:cs="Arial"/>
          <w:b/>
          <w:bCs/>
          <w:color w:val="000000"/>
        </w:rPr>
        <w:t xml:space="preserve"> </w:t>
      </w:r>
      <w:r>
        <w:rPr>
          <w:rFonts w:ascii="Arial" w:eastAsia="Arial" w:hAnsi="Arial" w:cs="Arial"/>
          <w:b/>
          <w:bCs/>
          <w:color w:val="000000"/>
        </w:rPr>
        <w:fldChar w:fldCharType="begin"/>
      </w:r>
      <w:r>
        <w:rPr>
          <w:rFonts w:ascii="Arial" w:eastAsia="Arial" w:hAnsi="Arial" w:cs="Arial"/>
          <w:b/>
          <w:bCs/>
          <w:color w:val="000000"/>
        </w:rPr>
        <w:instrText xml:space="preserve"> REF _Ref30415186 \r \h </w:instrText>
      </w:r>
      <w:r>
        <w:rPr>
          <w:rFonts w:ascii="Arial" w:eastAsia="Arial" w:hAnsi="Arial" w:cs="Arial"/>
          <w:b/>
          <w:bCs/>
          <w:color w:val="000000"/>
        </w:rPr>
      </w:r>
      <w:r>
        <w:rPr>
          <w:rFonts w:ascii="Arial" w:eastAsia="Arial" w:hAnsi="Arial" w:cs="Arial"/>
          <w:b/>
          <w:bCs/>
          <w:color w:val="000000"/>
        </w:rPr>
        <w:fldChar w:fldCharType="separate"/>
      </w:r>
      <w:r w:rsidR="00A936CD">
        <w:rPr>
          <w:rFonts w:ascii="Arial" w:eastAsia="Arial" w:hAnsi="Arial" w:cs="Arial"/>
          <w:b/>
          <w:bCs/>
          <w:color w:val="000000"/>
        </w:rPr>
        <w:t>4.3</w:t>
      </w:r>
      <w:r>
        <w:rPr>
          <w:rFonts w:ascii="Arial" w:eastAsia="Arial" w:hAnsi="Arial" w:cs="Arial"/>
          <w:b/>
          <w:bCs/>
          <w:color w:val="000000"/>
        </w:rPr>
        <w:fldChar w:fldCharType="end"/>
      </w:r>
      <w:r w:rsidRPr="00E10C97">
        <w:rPr>
          <w:rFonts w:ascii="Arial" w:eastAsia="Arial" w:hAnsi="Arial" w:cs="Arial"/>
          <w:b/>
          <w:bCs/>
          <w:color w:val="000000"/>
        </w:rPr>
        <w:t xml:space="preserve"> and </w:t>
      </w:r>
      <w:r>
        <w:rPr>
          <w:rFonts w:ascii="Arial" w:eastAsia="Arial" w:hAnsi="Arial" w:cs="Arial"/>
          <w:b/>
          <w:bCs/>
          <w:color w:val="000000"/>
        </w:rPr>
        <w:fldChar w:fldCharType="begin"/>
      </w:r>
      <w:r>
        <w:rPr>
          <w:rFonts w:ascii="Arial" w:eastAsia="Arial" w:hAnsi="Arial" w:cs="Arial"/>
          <w:b/>
          <w:bCs/>
          <w:color w:val="000000"/>
        </w:rPr>
        <w:instrText xml:space="preserve"> REF _Ref30415195 \r \h </w:instrText>
      </w:r>
      <w:r>
        <w:rPr>
          <w:rFonts w:ascii="Arial" w:eastAsia="Arial" w:hAnsi="Arial" w:cs="Arial"/>
          <w:b/>
          <w:bCs/>
          <w:color w:val="000000"/>
        </w:rPr>
      </w:r>
      <w:r>
        <w:rPr>
          <w:rFonts w:ascii="Arial" w:eastAsia="Arial" w:hAnsi="Arial" w:cs="Arial"/>
          <w:b/>
          <w:bCs/>
          <w:color w:val="000000"/>
        </w:rPr>
        <w:fldChar w:fldCharType="separate"/>
      </w:r>
      <w:r w:rsidR="00A936CD">
        <w:rPr>
          <w:rFonts w:ascii="Arial" w:eastAsia="Arial" w:hAnsi="Arial" w:cs="Arial"/>
          <w:b/>
          <w:bCs/>
          <w:color w:val="000000"/>
        </w:rPr>
        <w:t>4.4</w:t>
      </w:r>
      <w:r>
        <w:rPr>
          <w:rFonts w:ascii="Arial" w:eastAsia="Arial" w:hAnsi="Arial" w:cs="Arial"/>
          <w:b/>
          <w:bCs/>
          <w:color w:val="000000"/>
        </w:rPr>
        <w:fldChar w:fldCharType="end"/>
      </w:r>
      <w:r w:rsidRPr="00E10C97">
        <w:rPr>
          <w:rFonts w:ascii="Arial" w:eastAsia="Arial" w:hAnsi="Arial" w:cs="Arial"/>
          <w:bCs/>
          <w:color w:val="000000"/>
        </w:rPr>
        <w:t>.</w:t>
      </w:r>
    </w:p>
    <w:p w14:paraId="387987FB" w14:textId="14D520A2" w:rsidR="00FF6E56" w:rsidRPr="00E10C97" w:rsidRDefault="00FF6E56" w:rsidP="004F4B79">
      <w:pPr>
        <w:pStyle w:val="ListParagraph"/>
        <w:numPr>
          <w:ilvl w:val="0"/>
          <w:numId w:val="147"/>
        </w:numPr>
        <w:pBdr>
          <w:top w:val="nil"/>
          <w:left w:val="nil"/>
          <w:bottom w:val="nil"/>
          <w:right w:val="nil"/>
          <w:between w:val="nil"/>
        </w:pBdr>
        <w:tabs>
          <w:tab w:val="left" w:pos="709"/>
        </w:tabs>
        <w:rPr>
          <w:rFonts w:ascii="Arial" w:eastAsia="Arial" w:hAnsi="Arial" w:cs="Arial"/>
          <w:bCs/>
          <w:color w:val="000000"/>
        </w:rPr>
      </w:pPr>
      <w:r w:rsidRPr="00E10C97">
        <w:rPr>
          <w:rFonts w:ascii="Arial" w:eastAsia="Arial" w:hAnsi="Arial" w:cs="Arial"/>
          <w:bCs/>
          <w:color w:val="000000"/>
        </w:rPr>
        <w:t xml:space="preserve">Step 3: </w:t>
      </w:r>
      <w:r>
        <w:rPr>
          <w:rFonts w:ascii="Arial" w:eastAsia="Arial" w:hAnsi="Arial" w:cs="Arial"/>
          <w:bCs/>
          <w:color w:val="000000"/>
        </w:rPr>
        <w:t>T</w:t>
      </w:r>
      <w:r w:rsidRPr="00E10C97">
        <w:rPr>
          <w:rFonts w:ascii="Arial" w:eastAsia="Arial" w:hAnsi="Arial" w:cs="Arial"/>
          <w:bCs/>
          <w:color w:val="000000"/>
        </w:rPr>
        <w:t>he costs, benefits, and risks of the shortlisted options</w:t>
      </w:r>
      <w:r>
        <w:rPr>
          <w:rFonts w:ascii="Arial" w:eastAsia="Arial" w:hAnsi="Arial" w:cs="Arial"/>
          <w:bCs/>
          <w:color w:val="000000"/>
        </w:rPr>
        <w:t xml:space="preserve"> were identified</w:t>
      </w:r>
      <w:r w:rsidRPr="00E10C97">
        <w:rPr>
          <w:rFonts w:ascii="Arial" w:eastAsia="Arial" w:hAnsi="Arial" w:cs="Arial"/>
          <w:bCs/>
          <w:color w:val="000000"/>
        </w:rPr>
        <w:t>. Us</w:t>
      </w:r>
      <w:r>
        <w:rPr>
          <w:rFonts w:ascii="Arial" w:eastAsia="Arial" w:hAnsi="Arial" w:cs="Arial"/>
          <w:bCs/>
          <w:color w:val="000000"/>
        </w:rPr>
        <w:t>ing</w:t>
      </w:r>
      <w:r w:rsidRPr="00E10C97">
        <w:rPr>
          <w:rFonts w:ascii="Arial" w:eastAsia="Arial" w:hAnsi="Arial" w:cs="Arial"/>
          <w:bCs/>
          <w:color w:val="000000"/>
        </w:rPr>
        <w:t xml:space="preserve"> the Comprehensive Investment Appraisal </w:t>
      </w:r>
      <w:r>
        <w:rPr>
          <w:rFonts w:ascii="Arial" w:eastAsia="Arial" w:hAnsi="Arial" w:cs="Arial"/>
          <w:bCs/>
          <w:color w:val="000000"/>
        </w:rPr>
        <w:t xml:space="preserve">(CIA) </w:t>
      </w:r>
      <w:r w:rsidRPr="00E10C97">
        <w:rPr>
          <w:rFonts w:ascii="Arial" w:eastAsia="Arial" w:hAnsi="Arial" w:cs="Arial"/>
          <w:bCs/>
          <w:color w:val="000000"/>
        </w:rPr>
        <w:t>model</w:t>
      </w:r>
      <w:r>
        <w:rPr>
          <w:rFonts w:ascii="Arial" w:eastAsia="Arial" w:hAnsi="Arial" w:cs="Arial"/>
          <w:bCs/>
          <w:color w:val="000000"/>
        </w:rPr>
        <w:t xml:space="preserve">, a </w:t>
      </w:r>
      <w:r w:rsidRPr="00E10C97">
        <w:rPr>
          <w:rFonts w:ascii="Arial" w:eastAsia="Arial" w:hAnsi="Arial" w:cs="Arial"/>
          <w:bCs/>
          <w:color w:val="000000"/>
        </w:rPr>
        <w:t xml:space="preserve">value for money assessment </w:t>
      </w:r>
      <w:r>
        <w:rPr>
          <w:rFonts w:ascii="Arial" w:eastAsia="Arial" w:hAnsi="Arial" w:cs="Arial"/>
          <w:bCs/>
          <w:color w:val="000000"/>
        </w:rPr>
        <w:t xml:space="preserve">was undertaken </w:t>
      </w:r>
      <w:r w:rsidRPr="00E10C97">
        <w:rPr>
          <w:rFonts w:ascii="Arial" w:eastAsia="Arial" w:hAnsi="Arial" w:cs="Arial"/>
          <w:bCs/>
          <w:color w:val="000000"/>
        </w:rPr>
        <w:t xml:space="preserve">to identify the preferred option. </w:t>
      </w:r>
      <w:r w:rsidRPr="00E10C97">
        <w:rPr>
          <w:rFonts w:ascii="Arial" w:eastAsia="Arial" w:hAnsi="Arial" w:cs="Arial"/>
          <w:b/>
          <w:bCs/>
          <w:color w:val="000000"/>
        </w:rPr>
        <w:t xml:space="preserve">See section </w:t>
      </w:r>
      <w:r>
        <w:rPr>
          <w:rFonts w:ascii="Arial" w:eastAsia="Arial" w:hAnsi="Arial" w:cs="Arial"/>
          <w:b/>
          <w:bCs/>
          <w:color w:val="000000"/>
        </w:rPr>
        <w:fldChar w:fldCharType="begin"/>
      </w:r>
      <w:r>
        <w:rPr>
          <w:rFonts w:ascii="Arial" w:eastAsia="Arial" w:hAnsi="Arial" w:cs="Arial"/>
          <w:b/>
          <w:bCs/>
          <w:color w:val="000000"/>
        </w:rPr>
        <w:instrText xml:space="preserve"> REF _Ref30415201 \r \h </w:instrText>
      </w:r>
      <w:r>
        <w:rPr>
          <w:rFonts w:ascii="Arial" w:eastAsia="Arial" w:hAnsi="Arial" w:cs="Arial"/>
          <w:b/>
          <w:bCs/>
          <w:color w:val="000000"/>
        </w:rPr>
      </w:r>
      <w:r>
        <w:rPr>
          <w:rFonts w:ascii="Arial" w:eastAsia="Arial" w:hAnsi="Arial" w:cs="Arial"/>
          <w:b/>
          <w:bCs/>
          <w:color w:val="000000"/>
        </w:rPr>
        <w:fldChar w:fldCharType="separate"/>
      </w:r>
      <w:r w:rsidR="00A936CD">
        <w:rPr>
          <w:rFonts w:ascii="Arial" w:eastAsia="Arial" w:hAnsi="Arial" w:cs="Arial"/>
          <w:b/>
          <w:bCs/>
          <w:color w:val="000000"/>
        </w:rPr>
        <w:t>4.5</w:t>
      </w:r>
      <w:r>
        <w:rPr>
          <w:rFonts w:ascii="Arial" w:eastAsia="Arial" w:hAnsi="Arial" w:cs="Arial"/>
          <w:b/>
          <w:bCs/>
          <w:color w:val="000000"/>
        </w:rPr>
        <w:fldChar w:fldCharType="end"/>
      </w:r>
      <w:r w:rsidRPr="00E10C97">
        <w:rPr>
          <w:rFonts w:ascii="Arial" w:eastAsia="Arial" w:hAnsi="Arial" w:cs="Arial"/>
          <w:b/>
          <w:bCs/>
          <w:color w:val="000000"/>
        </w:rPr>
        <w:t>.</w:t>
      </w:r>
    </w:p>
    <w:p w14:paraId="29628924" w14:textId="074A0953" w:rsidR="00FF6E56" w:rsidRPr="00E10C97" w:rsidRDefault="00FF6E56" w:rsidP="004F4B79">
      <w:pPr>
        <w:pStyle w:val="ListParagraph"/>
        <w:numPr>
          <w:ilvl w:val="0"/>
          <w:numId w:val="147"/>
        </w:numPr>
        <w:pBdr>
          <w:top w:val="nil"/>
          <w:left w:val="nil"/>
          <w:bottom w:val="nil"/>
          <w:right w:val="nil"/>
          <w:between w:val="nil"/>
        </w:pBdr>
        <w:tabs>
          <w:tab w:val="left" w:pos="709"/>
        </w:tabs>
        <w:rPr>
          <w:rFonts w:ascii="Arial" w:eastAsia="Arial" w:hAnsi="Arial" w:cs="Arial"/>
          <w:bCs/>
          <w:color w:val="000000"/>
        </w:rPr>
      </w:pPr>
      <w:r w:rsidRPr="00E10C97">
        <w:rPr>
          <w:rFonts w:ascii="Arial" w:eastAsia="Arial" w:hAnsi="Arial" w:cs="Arial"/>
          <w:bCs/>
          <w:color w:val="000000"/>
        </w:rPr>
        <w:t xml:space="preserve">Step 4: </w:t>
      </w:r>
      <w:r>
        <w:rPr>
          <w:rFonts w:ascii="Arial" w:eastAsia="Arial" w:hAnsi="Arial" w:cs="Arial"/>
          <w:bCs/>
          <w:color w:val="000000"/>
        </w:rPr>
        <w:t>S</w:t>
      </w:r>
      <w:r w:rsidRPr="00E10C97">
        <w:rPr>
          <w:rFonts w:ascii="Arial" w:eastAsia="Arial" w:hAnsi="Arial" w:cs="Arial"/>
          <w:bCs/>
          <w:color w:val="000000"/>
        </w:rPr>
        <w:t xml:space="preserve">ensitivity analysis </w:t>
      </w:r>
      <w:r>
        <w:rPr>
          <w:rFonts w:ascii="Arial" w:eastAsia="Arial" w:hAnsi="Arial" w:cs="Arial"/>
          <w:bCs/>
          <w:color w:val="000000"/>
        </w:rPr>
        <w:t xml:space="preserve">was conducted </w:t>
      </w:r>
      <w:r w:rsidRPr="00E10C97">
        <w:rPr>
          <w:rFonts w:ascii="Arial" w:eastAsia="Arial" w:hAnsi="Arial" w:cs="Arial"/>
          <w:bCs/>
          <w:color w:val="000000"/>
        </w:rPr>
        <w:t>on the preferred option.</w:t>
      </w:r>
      <w:r>
        <w:rPr>
          <w:rFonts w:ascii="Arial" w:eastAsia="Arial" w:hAnsi="Arial" w:cs="Arial"/>
          <w:bCs/>
          <w:color w:val="000000"/>
        </w:rPr>
        <w:t xml:space="preserve"> </w:t>
      </w:r>
      <w:r w:rsidRPr="00E10C97">
        <w:rPr>
          <w:rFonts w:ascii="Arial" w:eastAsia="Arial" w:hAnsi="Arial" w:cs="Arial"/>
          <w:b/>
          <w:bCs/>
          <w:color w:val="000000"/>
        </w:rPr>
        <w:t>See section</w:t>
      </w:r>
      <w:r>
        <w:rPr>
          <w:rFonts w:ascii="Arial" w:eastAsia="Arial" w:hAnsi="Arial" w:cs="Arial"/>
          <w:b/>
          <w:bCs/>
          <w:color w:val="000000"/>
        </w:rPr>
        <w:t xml:space="preserve"> </w:t>
      </w:r>
      <w:r>
        <w:rPr>
          <w:rFonts w:ascii="Arial" w:eastAsia="Arial" w:hAnsi="Arial" w:cs="Arial"/>
          <w:b/>
          <w:bCs/>
          <w:color w:val="000000"/>
        </w:rPr>
        <w:fldChar w:fldCharType="begin"/>
      </w:r>
      <w:r>
        <w:rPr>
          <w:rFonts w:ascii="Arial" w:eastAsia="Arial" w:hAnsi="Arial" w:cs="Arial"/>
          <w:b/>
          <w:bCs/>
          <w:color w:val="000000"/>
        </w:rPr>
        <w:instrText xml:space="preserve"> REF _Ref30415208 \r \h </w:instrText>
      </w:r>
      <w:r>
        <w:rPr>
          <w:rFonts w:ascii="Arial" w:eastAsia="Arial" w:hAnsi="Arial" w:cs="Arial"/>
          <w:b/>
          <w:bCs/>
          <w:color w:val="000000"/>
        </w:rPr>
      </w:r>
      <w:r>
        <w:rPr>
          <w:rFonts w:ascii="Arial" w:eastAsia="Arial" w:hAnsi="Arial" w:cs="Arial"/>
          <w:b/>
          <w:bCs/>
          <w:color w:val="000000"/>
        </w:rPr>
        <w:fldChar w:fldCharType="separate"/>
      </w:r>
      <w:r w:rsidR="00A936CD">
        <w:rPr>
          <w:rFonts w:ascii="Arial" w:eastAsia="Arial" w:hAnsi="Arial" w:cs="Arial"/>
          <w:b/>
          <w:bCs/>
          <w:color w:val="000000"/>
        </w:rPr>
        <w:t>4.6</w:t>
      </w:r>
      <w:r>
        <w:rPr>
          <w:rFonts w:ascii="Arial" w:eastAsia="Arial" w:hAnsi="Arial" w:cs="Arial"/>
          <w:b/>
          <w:bCs/>
          <w:color w:val="000000"/>
        </w:rPr>
        <w:fldChar w:fldCharType="end"/>
      </w:r>
      <w:r>
        <w:rPr>
          <w:rFonts w:ascii="Arial" w:eastAsia="Arial" w:hAnsi="Arial" w:cs="Arial"/>
          <w:b/>
          <w:bCs/>
          <w:color w:val="000000"/>
        </w:rPr>
        <w:t>.</w:t>
      </w:r>
    </w:p>
    <w:p w14:paraId="44340591" w14:textId="77777777" w:rsidR="00FF6E56" w:rsidRDefault="00FF6E56" w:rsidP="00FF6E56">
      <w:pPr>
        <w:pStyle w:val="Heading2"/>
        <w:numPr>
          <w:ilvl w:val="1"/>
          <w:numId w:val="1"/>
        </w:numPr>
        <w:rPr>
          <w:rFonts w:ascii="Arial" w:eastAsia="Arial" w:hAnsi="Arial" w:cs="Arial"/>
        </w:rPr>
      </w:pPr>
      <w:bookmarkStart w:id="176" w:name="_Toc413331333"/>
      <w:bookmarkStart w:id="177" w:name="_Toc409771202"/>
      <w:bookmarkStart w:id="178" w:name="_Ref30414578"/>
      <w:bookmarkStart w:id="179" w:name="_Toc32842707"/>
      <w:r w:rsidRPr="00587DF1">
        <w:rPr>
          <w:rFonts w:ascii="Arial" w:eastAsia="Arial" w:hAnsi="Arial" w:cs="Arial"/>
        </w:rPr>
        <w:t xml:space="preserve">Refresh of </w:t>
      </w:r>
      <w:bookmarkEnd w:id="176"/>
      <w:bookmarkEnd w:id="177"/>
      <w:r>
        <w:rPr>
          <w:rFonts w:ascii="Arial" w:eastAsia="Arial" w:hAnsi="Arial" w:cs="Arial"/>
        </w:rPr>
        <w:t>investment objectives and critical success factors</w:t>
      </w:r>
      <w:bookmarkEnd w:id="178"/>
      <w:bookmarkEnd w:id="179"/>
    </w:p>
    <w:p w14:paraId="1AC65D33" w14:textId="77777777" w:rsidR="00FF6E56" w:rsidRPr="002F4789" w:rsidRDefault="00FF6E56" w:rsidP="00FF6E56">
      <w:pPr>
        <w:spacing w:after="0"/>
      </w:pPr>
    </w:p>
    <w:p w14:paraId="46F238FB" w14:textId="44B23784" w:rsidR="00FF6E56" w:rsidRDefault="00FF6E56" w:rsidP="00FF6E56">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 xml:space="preserve">Critical success factors (CSFs) are the attributes essential for successful delivery of the project, against which the </w:t>
      </w:r>
      <w:r>
        <w:rPr>
          <w:rFonts w:ascii="Arial" w:eastAsia="Arial" w:hAnsi="Arial" w:cs="Arial"/>
          <w:bCs/>
          <w:color w:val="000000"/>
        </w:rPr>
        <w:t xml:space="preserve">long list of </w:t>
      </w:r>
      <w:r w:rsidRPr="00587DF1">
        <w:rPr>
          <w:rFonts w:ascii="Arial" w:eastAsia="Arial" w:hAnsi="Arial" w:cs="Arial"/>
          <w:bCs/>
          <w:color w:val="000000"/>
        </w:rPr>
        <w:t xml:space="preserve">options for the project </w:t>
      </w:r>
      <w:r>
        <w:rPr>
          <w:rFonts w:ascii="Arial" w:eastAsia="Arial" w:hAnsi="Arial" w:cs="Arial"/>
          <w:bCs/>
          <w:color w:val="000000"/>
        </w:rPr>
        <w:t xml:space="preserve">have been </w:t>
      </w:r>
      <w:r w:rsidRPr="00587DF1">
        <w:rPr>
          <w:rFonts w:ascii="Arial" w:eastAsia="Arial" w:hAnsi="Arial" w:cs="Arial"/>
          <w:bCs/>
          <w:color w:val="000000"/>
        </w:rPr>
        <w:t>appraised</w:t>
      </w:r>
      <w:r>
        <w:rPr>
          <w:rFonts w:ascii="Arial" w:eastAsia="Arial" w:hAnsi="Arial" w:cs="Arial"/>
          <w:bCs/>
          <w:color w:val="000000"/>
        </w:rPr>
        <w:t xml:space="preserve">. These align with the investment objectives set out in the Strategic Case (section </w:t>
      </w:r>
      <w:r>
        <w:rPr>
          <w:rFonts w:ascii="Arial" w:eastAsia="Arial" w:hAnsi="Arial" w:cs="Arial"/>
          <w:bCs/>
          <w:color w:val="000000"/>
        </w:rPr>
        <w:fldChar w:fldCharType="begin"/>
      </w:r>
      <w:r>
        <w:rPr>
          <w:rFonts w:ascii="Arial" w:eastAsia="Arial" w:hAnsi="Arial" w:cs="Arial"/>
          <w:bCs/>
          <w:color w:val="000000"/>
        </w:rPr>
        <w:instrText xml:space="preserve"> REF _Ref30419293 \r \h </w:instrText>
      </w:r>
      <w:r>
        <w:rPr>
          <w:rFonts w:ascii="Arial" w:eastAsia="Arial" w:hAnsi="Arial" w:cs="Arial"/>
          <w:bCs/>
          <w:color w:val="000000"/>
        </w:rPr>
      </w:r>
      <w:r>
        <w:rPr>
          <w:rFonts w:ascii="Arial" w:eastAsia="Arial" w:hAnsi="Arial" w:cs="Arial"/>
          <w:bCs/>
          <w:color w:val="000000"/>
        </w:rPr>
        <w:fldChar w:fldCharType="separate"/>
      </w:r>
      <w:r w:rsidR="00A936CD">
        <w:rPr>
          <w:rFonts w:ascii="Arial" w:eastAsia="Arial" w:hAnsi="Arial" w:cs="Arial"/>
          <w:bCs/>
          <w:color w:val="000000"/>
        </w:rPr>
        <w:t>3.9</w:t>
      </w:r>
      <w:r>
        <w:rPr>
          <w:rFonts w:ascii="Arial" w:eastAsia="Arial" w:hAnsi="Arial" w:cs="Arial"/>
          <w:bCs/>
          <w:color w:val="000000"/>
        </w:rPr>
        <w:fldChar w:fldCharType="end"/>
      </w:r>
      <w:r>
        <w:rPr>
          <w:rFonts w:ascii="Arial" w:eastAsia="Arial" w:hAnsi="Arial" w:cs="Arial"/>
          <w:bCs/>
          <w:color w:val="000000"/>
        </w:rPr>
        <w:t>)</w:t>
      </w:r>
      <w:r w:rsidRPr="00587DF1">
        <w:rPr>
          <w:rFonts w:ascii="Arial" w:eastAsia="Arial" w:hAnsi="Arial" w:cs="Arial"/>
          <w:bCs/>
          <w:color w:val="000000"/>
        </w:rPr>
        <w:t>.</w:t>
      </w:r>
    </w:p>
    <w:p w14:paraId="5580CBA6" w14:textId="504AA41A" w:rsidR="00FF6E56" w:rsidRPr="00587DF1" w:rsidRDefault="00FF6E56" w:rsidP="00FF6E56">
      <w:pPr>
        <w:pBdr>
          <w:top w:val="nil"/>
          <w:left w:val="nil"/>
          <w:bottom w:val="nil"/>
          <w:right w:val="nil"/>
          <w:between w:val="nil"/>
        </w:pBdr>
        <w:tabs>
          <w:tab w:val="left" w:pos="567"/>
        </w:tabs>
        <w:rPr>
          <w:rFonts w:ascii="Arial" w:hAnsi="Arial" w:cs="Arial"/>
        </w:rPr>
      </w:pPr>
      <w:r w:rsidRPr="00587DF1">
        <w:rPr>
          <w:rFonts w:ascii="Arial" w:eastAsia="Arial" w:hAnsi="Arial" w:cs="Arial"/>
          <w:bCs/>
          <w:color w:val="000000"/>
        </w:rPr>
        <w:t>The CSFs for Oriel</w:t>
      </w:r>
      <w:r>
        <w:rPr>
          <w:rFonts w:ascii="Arial" w:eastAsia="Arial" w:hAnsi="Arial" w:cs="Arial"/>
          <w:bCs/>
          <w:color w:val="000000"/>
        </w:rPr>
        <w:t xml:space="preserve"> </w:t>
      </w:r>
      <w:r w:rsidRPr="00587DF1">
        <w:rPr>
          <w:rFonts w:ascii="Arial" w:eastAsia="Arial" w:hAnsi="Arial" w:cs="Arial"/>
          <w:bCs/>
          <w:color w:val="000000"/>
        </w:rPr>
        <w:t xml:space="preserve">were </w:t>
      </w:r>
      <w:r>
        <w:rPr>
          <w:rFonts w:ascii="Arial" w:eastAsia="Arial" w:hAnsi="Arial" w:cs="Arial"/>
          <w:bCs/>
          <w:color w:val="000000"/>
        </w:rPr>
        <w:t xml:space="preserve">developed </w:t>
      </w:r>
      <w:r w:rsidRPr="00587DF1">
        <w:rPr>
          <w:rFonts w:ascii="Arial" w:eastAsia="Arial" w:hAnsi="Arial" w:cs="Arial"/>
          <w:bCs/>
          <w:color w:val="000000"/>
        </w:rPr>
        <w:t xml:space="preserve">by the project team and refined during stakeholder workshops described in </w:t>
      </w:r>
      <w:r>
        <w:rPr>
          <w:rFonts w:ascii="Arial" w:eastAsia="Arial" w:hAnsi="Arial" w:cs="Arial"/>
          <w:bCs/>
          <w:color w:val="000000"/>
        </w:rPr>
        <w:t xml:space="preserve">Appendix </w:t>
      </w:r>
      <w:r w:rsidR="00D10F47">
        <w:rPr>
          <w:rFonts w:ascii="Arial" w:eastAsia="Arial" w:hAnsi="Arial" w:cs="Arial"/>
          <w:bCs/>
          <w:color w:val="000000"/>
        </w:rPr>
        <w:t>4A</w:t>
      </w:r>
      <w:r>
        <w:rPr>
          <w:rFonts w:ascii="Arial" w:eastAsia="Arial" w:hAnsi="Arial" w:cs="Arial"/>
          <w:bCs/>
          <w:color w:val="000000"/>
        </w:rPr>
        <w:t xml:space="preserve">. </w:t>
      </w:r>
      <w:r w:rsidRPr="00587DF1">
        <w:rPr>
          <w:rFonts w:ascii="Arial" w:eastAsia="Arial" w:hAnsi="Arial" w:cs="Arial"/>
          <w:bCs/>
          <w:color w:val="000000"/>
        </w:rPr>
        <w:t xml:space="preserve">These workshops ensured commissioner and patient representative perspectives were captured in the </w:t>
      </w:r>
      <w:r>
        <w:rPr>
          <w:rFonts w:ascii="Arial" w:eastAsia="Arial" w:hAnsi="Arial" w:cs="Arial"/>
          <w:bCs/>
          <w:color w:val="000000"/>
        </w:rPr>
        <w:t>CSFs</w:t>
      </w:r>
      <w:r w:rsidRPr="00587DF1">
        <w:rPr>
          <w:rFonts w:ascii="Arial" w:eastAsia="Arial" w:hAnsi="Arial" w:cs="Arial"/>
          <w:bCs/>
          <w:color w:val="000000"/>
        </w:rPr>
        <w:t xml:space="preserve">. </w:t>
      </w:r>
      <w:r>
        <w:rPr>
          <w:rFonts w:ascii="Arial" w:hAnsi="Arial" w:cs="Arial"/>
        </w:rPr>
        <w:t>They were attended by representatives from</w:t>
      </w:r>
      <w:r w:rsidRPr="00587DF1">
        <w:rPr>
          <w:rFonts w:ascii="Arial" w:hAnsi="Arial" w:cs="Arial"/>
        </w:rPr>
        <w:t>:</w:t>
      </w:r>
    </w:p>
    <w:p w14:paraId="491190AC" w14:textId="77777777" w:rsidR="00FF6E56" w:rsidRPr="00587DF1" w:rsidRDefault="00FF6E56" w:rsidP="00FF6E56">
      <w:pPr>
        <w:pStyle w:val="ListParagraph"/>
        <w:numPr>
          <w:ilvl w:val="0"/>
          <w:numId w:val="51"/>
        </w:numPr>
        <w:spacing w:after="160" w:line="259" w:lineRule="auto"/>
        <w:rPr>
          <w:rFonts w:ascii="Arial" w:hAnsi="Arial" w:cs="Arial"/>
        </w:rPr>
      </w:pPr>
      <w:r w:rsidRPr="00587DF1">
        <w:rPr>
          <w:rFonts w:ascii="Arial" w:hAnsi="Arial" w:cs="Arial"/>
        </w:rPr>
        <w:t>Moorfields trust executive</w:t>
      </w:r>
    </w:p>
    <w:p w14:paraId="41E7E981" w14:textId="77777777" w:rsidR="00FF6E56" w:rsidRPr="00587DF1" w:rsidRDefault="00FF6E56" w:rsidP="00FF6E56">
      <w:pPr>
        <w:pStyle w:val="ListParagraph"/>
        <w:numPr>
          <w:ilvl w:val="0"/>
          <w:numId w:val="51"/>
        </w:numPr>
        <w:spacing w:after="160" w:line="259" w:lineRule="auto"/>
        <w:rPr>
          <w:rFonts w:ascii="Arial" w:hAnsi="Arial" w:cs="Arial"/>
        </w:rPr>
      </w:pPr>
      <w:r w:rsidRPr="00587DF1">
        <w:rPr>
          <w:rFonts w:ascii="Arial" w:hAnsi="Arial" w:cs="Arial"/>
        </w:rPr>
        <w:t>Moorfields trust senior clinical and operational leaders</w:t>
      </w:r>
    </w:p>
    <w:p w14:paraId="78F5DD97" w14:textId="77777777" w:rsidR="00FF6E56" w:rsidRPr="00587DF1" w:rsidRDefault="00FF6E56" w:rsidP="00FF6E56">
      <w:pPr>
        <w:pStyle w:val="ListParagraph"/>
        <w:numPr>
          <w:ilvl w:val="0"/>
          <w:numId w:val="51"/>
        </w:numPr>
        <w:spacing w:after="160" w:line="259" w:lineRule="auto"/>
        <w:rPr>
          <w:rFonts w:ascii="Arial" w:hAnsi="Arial" w:cs="Arial"/>
        </w:rPr>
      </w:pPr>
      <w:r w:rsidRPr="00587DF1">
        <w:rPr>
          <w:rFonts w:ascii="Arial" w:hAnsi="Arial" w:cs="Arial"/>
        </w:rPr>
        <w:t xml:space="preserve">NCL </w:t>
      </w:r>
      <w:r>
        <w:rPr>
          <w:rFonts w:ascii="Arial" w:hAnsi="Arial" w:cs="Arial"/>
        </w:rPr>
        <w:t xml:space="preserve">(North Central London) </w:t>
      </w:r>
      <w:r w:rsidRPr="00587DF1">
        <w:rPr>
          <w:rFonts w:ascii="Arial" w:hAnsi="Arial" w:cs="Arial"/>
        </w:rPr>
        <w:t>CCGs to represent CCG commissioners</w:t>
      </w:r>
    </w:p>
    <w:p w14:paraId="0B42E0FF" w14:textId="77777777" w:rsidR="00FF6E56" w:rsidRPr="00587DF1" w:rsidRDefault="00FF6E56" w:rsidP="00FF6E56">
      <w:pPr>
        <w:pStyle w:val="ListParagraph"/>
        <w:numPr>
          <w:ilvl w:val="0"/>
          <w:numId w:val="51"/>
        </w:numPr>
        <w:spacing w:after="160" w:line="259" w:lineRule="auto"/>
        <w:rPr>
          <w:rFonts w:ascii="Arial" w:hAnsi="Arial" w:cs="Arial"/>
        </w:rPr>
      </w:pPr>
      <w:r w:rsidRPr="00587DF1">
        <w:rPr>
          <w:rFonts w:ascii="Arial" w:hAnsi="Arial" w:cs="Arial"/>
        </w:rPr>
        <w:t>NCL STP</w:t>
      </w:r>
    </w:p>
    <w:p w14:paraId="1FBE42EC" w14:textId="77777777" w:rsidR="00FF6E56" w:rsidRPr="00587DF1" w:rsidRDefault="00FF6E56" w:rsidP="00FF6E56">
      <w:pPr>
        <w:pStyle w:val="ListParagraph"/>
        <w:numPr>
          <w:ilvl w:val="0"/>
          <w:numId w:val="51"/>
        </w:numPr>
        <w:spacing w:after="160" w:line="259" w:lineRule="auto"/>
        <w:rPr>
          <w:rFonts w:ascii="Arial" w:hAnsi="Arial" w:cs="Arial"/>
        </w:rPr>
      </w:pPr>
      <w:r>
        <w:rPr>
          <w:rFonts w:ascii="Arial" w:hAnsi="Arial" w:cs="Arial"/>
        </w:rPr>
        <w:t xml:space="preserve">NHS England </w:t>
      </w:r>
      <w:r w:rsidRPr="00587DF1">
        <w:rPr>
          <w:rFonts w:ascii="Arial" w:hAnsi="Arial" w:cs="Arial"/>
        </w:rPr>
        <w:t>specialised commissioning</w:t>
      </w:r>
    </w:p>
    <w:p w14:paraId="611A189F" w14:textId="77777777" w:rsidR="00FF6E56" w:rsidRPr="00587DF1" w:rsidRDefault="00FF6E56" w:rsidP="00FF6E56">
      <w:pPr>
        <w:pStyle w:val="ListParagraph"/>
        <w:numPr>
          <w:ilvl w:val="0"/>
          <w:numId w:val="51"/>
        </w:numPr>
        <w:spacing w:after="160" w:line="259" w:lineRule="auto"/>
        <w:rPr>
          <w:rFonts w:ascii="Arial" w:hAnsi="Arial" w:cs="Arial"/>
        </w:rPr>
      </w:pPr>
      <w:r>
        <w:rPr>
          <w:rFonts w:ascii="Arial" w:hAnsi="Arial" w:cs="Arial"/>
        </w:rPr>
        <w:t>P</w:t>
      </w:r>
      <w:r w:rsidRPr="00587DF1">
        <w:rPr>
          <w:rFonts w:ascii="Arial" w:hAnsi="Arial" w:cs="Arial"/>
        </w:rPr>
        <w:t>atient groups</w:t>
      </w:r>
    </w:p>
    <w:p w14:paraId="412F7124" w14:textId="77777777" w:rsidR="00FF6E56" w:rsidRPr="004B771A" w:rsidRDefault="00FF6E56" w:rsidP="00FF6E56">
      <w:pPr>
        <w:pStyle w:val="ListParagraph"/>
        <w:numPr>
          <w:ilvl w:val="0"/>
          <w:numId w:val="51"/>
        </w:numPr>
        <w:spacing w:after="160" w:line="259" w:lineRule="auto"/>
        <w:rPr>
          <w:rFonts w:ascii="Arial" w:hAnsi="Arial" w:cs="Arial"/>
        </w:rPr>
      </w:pPr>
      <w:r>
        <w:rPr>
          <w:rFonts w:ascii="Arial" w:hAnsi="Arial" w:cs="Arial"/>
        </w:rPr>
        <w:t>L</w:t>
      </w:r>
      <w:r w:rsidRPr="00587DF1">
        <w:rPr>
          <w:rFonts w:ascii="Arial" w:hAnsi="Arial" w:cs="Arial"/>
        </w:rPr>
        <w:t>ocal authorities</w:t>
      </w:r>
    </w:p>
    <w:p w14:paraId="541442B3" w14:textId="77777777" w:rsidR="00FF6E56" w:rsidRPr="004B771A" w:rsidRDefault="00FF6E56" w:rsidP="00FF6E56">
      <w:pPr>
        <w:pStyle w:val="ListParagraph"/>
        <w:numPr>
          <w:ilvl w:val="0"/>
          <w:numId w:val="51"/>
        </w:numPr>
        <w:spacing w:after="160" w:line="259" w:lineRule="auto"/>
        <w:rPr>
          <w:rFonts w:ascii="Arial" w:hAnsi="Arial" w:cs="Arial"/>
        </w:rPr>
      </w:pPr>
      <w:r>
        <w:rPr>
          <w:rFonts w:ascii="Arial" w:hAnsi="Arial" w:cs="Arial"/>
        </w:rPr>
        <w:t>T</w:t>
      </w:r>
      <w:r w:rsidRPr="00587DF1">
        <w:rPr>
          <w:rFonts w:ascii="Arial" w:hAnsi="Arial" w:cs="Arial"/>
        </w:rPr>
        <w:t>he voluntary sector</w:t>
      </w:r>
    </w:p>
    <w:p w14:paraId="284FB7F4" w14:textId="0C61FA9B" w:rsidR="00FF6E56" w:rsidRPr="00B72F95" w:rsidRDefault="00FF6E56" w:rsidP="00FF6E56">
      <w:pPr>
        <w:pBdr>
          <w:top w:val="nil"/>
          <w:left w:val="nil"/>
          <w:bottom w:val="nil"/>
          <w:right w:val="nil"/>
          <w:between w:val="nil"/>
        </w:pBdr>
        <w:tabs>
          <w:tab w:val="left" w:pos="567"/>
        </w:tabs>
        <w:spacing w:after="160" w:line="259" w:lineRule="auto"/>
        <w:rPr>
          <w:rFonts w:ascii="Arial" w:eastAsia="Arial" w:hAnsi="Arial" w:cs="Arial"/>
          <w:bCs/>
          <w:color w:val="000000"/>
        </w:rPr>
      </w:pPr>
      <w:r>
        <w:rPr>
          <w:rFonts w:ascii="Arial" w:eastAsia="Arial" w:hAnsi="Arial" w:cs="Arial"/>
          <w:bCs/>
          <w:color w:val="000000"/>
        </w:rPr>
        <w:t>The CSFs for Oriel</w:t>
      </w:r>
      <w:r w:rsidRPr="00587DF1">
        <w:rPr>
          <w:rFonts w:ascii="Arial" w:eastAsia="Arial" w:hAnsi="Arial" w:cs="Arial"/>
          <w:bCs/>
          <w:color w:val="000000"/>
        </w:rPr>
        <w:t xml:space="preserve"> are set </w:t>
      </w:r>
      <w:r w:rsidRPr="00B72F95">
        <w:rPr>
          <w:rFonts w:ascii="Arial" w:eastAsia="Arial" w:hAnsi="Arial" w:cs="Arial"/>
          <w:bCs/>
          <w:color w:val="000000"/>
        </w:rPr>
        <w:t xml:space="preserve">out in </w:t>
      </w:r>
      <w:r w:rsidRPr="00B72F95">
        <w:rPr>
          <w:rFonts w:ascii="Arial" w:eastAsia="Arial" w:hAnsi="Arial" w:cs="Arial"/>
          <w:bCs/>
          <w:color w:val="000000"/>
        </w:rPr>
        <w:fldChar w:fldCharType="begin"/>
      </w:r>
      <w:r w:rsidRPr="00B72F95">
        <w:rPr>
          <w:rFonts w:ascii="Arial" w:eastAsia="Arial" w:hAnsi="Arial" w:cs="Arial"/>
          <w:bCs/>
          <w:color w:val="000000"/>
        </w:rPr>
        <w:instrText xml:space="preserve"> REF _Ref30075499 \h </w:instrText>
      </w:r>
      <w:r>
        <w:rPr>
          <w:rFonts w:ascii="Arial" w:eastAsia="Arial" w:hAnsi="Arial" w:cs="Arial"/>
          <w:bCs/>
          <w:color w:val="000000"/>
        </w:rPr>
        <w:instrText xml:space="preserve"> \* MERGEFORMAT </w:instrText>
      </w:r>
      <w:r w:rsidRPr="00B72F95">
        <w:rPr>
          <w:rFonts w:ascii="Arial" w:eastAsia="Arial" w:hAnsi="Arial" w:cs="Arial"/>
          <w:bCs/>
          <w:color w:val="000000"/>
        </w:rPr>
      </w:r>
      <w:r w:rsidRPr="00B72F95">
        <w:rPr>
          <w:rFonts w:ascii="Arial" w:eastAsia="Arial" w:hAnsi="Arial" w:cs="Arial"/>
          <w:bCs/>
          <w:color w:val="000000"/>
        </w:rPr>
        <w:fldChar w:fldCharType="separate"/>
      </w:r>
      <w:r w:rsidR="00A936CD" w:rsidRPr="00A936CD">
        <w:rPr>
          <w:rFonts w:ascii="Arial" w:hAnsi="Arial" w:cs="Arial"/>
        </w:rPr>
        <w:t xml:space="preserve">Table </w:t>
      </w:r>
      <w:r w:rsidR="00A936CD" w:rsidRPr="00A936CD">
        <w:rPr>
          <w:rFonts w:ascii="Arial" w:hAnsi="Arial" w:cs="Arial"/>
          <w:noProof/>
        </w:rPr>
        <w:t>14</w:t>
      </w:r>
      <w:r w:rsidRPr="00B72F95">
        <w:rPr>
          <w:rFonts w:ascii="Arial" w:eastAsia="Arial" w:hAnsi="Arial" w:cs="Arial"/>
          <w:bCs/>
          <w:color w:val="000000"/>
        </w:rPr>
        <w:fldChar w:fldCharType="end"/>
      </w:r>
      <w:r w:rsidRPr="00B72F95">
        <w:rPr>
          <w:rFonts w:ascii="Arial" w:eastAsia="Arial" w:hAnsi="Arial" w:cs="Arial"/>
          <w:bCs/>
          <w:color w:val="000000"/>
        </w:rPr>
        <w:t>.</w:t>
      </w:r>
      <w:r w:rsidRPr="00587DF1">
        <w:rPr>
          <w:rFonts w:ascii="Arial" w:eastAsia="Arial" w:hAnsi="Arial" w:cs="Arial"/>
          <w:bCs/>
          <w:color w:val="000000"/>
        </w:rPr>
        <w:t xml:space="preserve"> </w:t>
      </w:r>
    </w:p>
    <w:p w14:paraId="1550C6D6" w14:textId="5A17BA4B" w:rsidR="00FF6E56" w:rsidRDefault="00FF6E56" w:rsidP="00FF6E56">
      <w:pPr>
        <w:pStyle w:val="Caption"/>
      </w:pPr>
      <w:bookmarkStart w:id="180" w:name="_Ref30075499"/>
      <w:r>
        <w:t xml:space="preserve">Table </w:t>
      </w:r>
      <w:r>
        <w:fldChar w:fldCharType="begin"/>
      </w:r>
      <w:r>
        <w:instrText xml:space="preserve"> SEQ Table \* ARABIC </w:instrText>
      </w:r>
      <w:r>
        <w:fldChar w:fldCharType="separate"/>
      </w:r>
      <w:r w:rsidR="00A936CD">
        <w:rPr>
          <w:noProof/>
        </w:rPr>
        <w:t>14</w:t>
      </w:r>
      <w:r>
        <w:fldChar w:fldCharType="end"/>
      </w:r>
      <w:bookmarkEnd w:id="180"/>
      <w:r>
        <w:t xml:space="preserve">: </w:t>
      </w:r>
      <w:r w:rsidRPr="008B4459">
        <w:rPr>
          <w:b w:val="0"/>
        </w:rPr>
        <w:t>Critical success factors for assessment of the long list of options</w:t>
      </w:r>
    </w:p>
    <w:tbl>
      <w:tblPr>
        <w:tblW w:w="52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Look w:val="04A0" w:firstRow="1" w:lastRow="0" w:firstColumn="1" w:lastColumn="0" w:noHBand="0" w:noVBand="1"/>
      </w:tblPr>
      <w:tblGrid>
        <w:gridCol w:w="1260"/>
        <w:gridCol w:w="1304"/>
        <w:gridCol w:w="6831"/>
      </w:tblGrid>
      <w:tr w:rsidR="00FF6E56" w:rsidRPr="00A40BA5" w14:paraId="719C0F32" w14:textId="77777777" w:rsidTr="0070603A">
        <w:tc>
          <w:tcPr>
            <w:tcW w:w="657" w:type="pct"/>
            <w:shd w:val="clear" w:color="auto" w:fill="4F81BD"/>
          </w:tcPr>
          <w:p w14:paraId="56E8C640" w14:textId="77777777" w:rsidR="00FF6E56" w:rsidRPr="00A40BA5" w:rsidRDefault="00FF6E56" w:rsidP="0070603A">
            <w:pPr>
              <w:contextualSpacing/>
              <w:rPr>
                <w:rFonts w:ascii="Arial" w:hAnsi="Arial" w:cs="Arial"/>
                <w:color w:val="FFFFFF" w:themeColor="background1"/>
                <w:sz w:val="20"/>
                <w:szCs w:val="20"/>
              </w:rPr>
            </w:pPr>
            <w:r w:rsidRPr="00A40BA5">
              <w:rPr>
                <w:rFonts w:ascii="Arial" w:hAnsi="Arial" w:cs="Arial"/>
                <w:b/>
                <w:color w:val="FFFFFF" w:themeColor="background1"/>
                <w:sz w:val="20"/>
                <w:szCs w:val="20"/>
              </w:rPr>
              <w:t>HMT CSF category</w:t>
            </w:r>
          </w:p>
        </w:tc>
        <w:tc>
          <w:tcPr>
            <w:tcW w:w="680" w:type="pct"/>
            <w:shd w:val="clear" w:color="auto" w:fill="4F81BD"/>
          </w:tcPr>
          <w:p w14:paraId="3B0A5C2B" w14:textId="77777777" w:rsidR="00FF6E56" w:rsidRPr="00A40BA5" w:rsidRDefault="00FF6E56" w:rsidP="0070603A">
            <w:pPr>
              <w:spacing w:before="100"/>
              <w:contextualSpacing/>
              <w:rPr>
                <w:rFonts w:ascii="Arial" w:hAnsi="Arial" w:cs="Arial"/>
                <w:color w:val="FFFFFF" w:themeColor="background1"/>
                <w:sz w:val="20"/>
                <w:szCs w:val="20"/>
              </w:rPr>
            </w:pPr>
            <w:r w:rsidRPr="00A40BA5">
              <w:rPr>
                <w:rFonts w:ascii="Arial" w:hAnsi="Arial" w:cs="Arial"/>
                <w:b/>
                <w:color w:val="FFFFFF" w:themeColor="background1"/>
                <w:sz w:val="20"/>
                <w:szCs w:val="20"/>
              </w:rPr>
              <w:t>CSF</w:t>
            </w:r>
          </w:p>
        </w:tc>
        <w:tc>
          <w:tcPr>
            <w:tcW w:w="3662" w:type="pct"/>
            <w:shd w:val="clear" w:color="auto" w:fill="4F81BD"/>
          </w:tcPr>
          <w:p w14:paraId="177EAC13" w14:textId="77777777" w:rsidR="00FF6E56" w:rsidRPr="00A40BA5" w:rsidRDefault="00FF6E56" w:rsidP="0070603A">
            <w:pPr>
              <w:rPr>
                <w:rFonts w:ascii="Arial" w:hAnsi="Arial" w:cs="Arial"/>
                <w:color w:val="FFFFFF" w:themeColor="background1"/>
                <w:sz w:val="20"/>
                <w:szCs w:val="20"/>
              </w:rPr>
            </w:pPr>
            <w:r w:rsidRPr="00A40BA5">
              <w:rPr>
                <w:rFonts w:ascii="Arial" w:hAnsi="Arial" w:cs="Arial"/>
                <w:b/>
                <w:color w:val="FFFFFF" w:themeColor="background1"/>
                <w:sz w:val="20"/>
                <w:szCs w:val="20"/>
              </w:rPr>
              <w:t>Description</w:t>
            </w:r>
          </w:p>
        </w:tc>
      </w:tr>
      <w:tr w:rsidR="00FF6E56" w:rsidRPr="00EC6A9A" w14:paraId="62A41903" w14:textId="77777777" w:rsidTr="0070603A">
        <w:tc>
          <w:tcPr>
            <w:tcW w:w="657" w:type="pct"/>
            <w:vMerge w:val="restart"/>
          </w:tcPr>
          <w:p w14:paraId="0AFFD725" w14:textId="77777777" w:rsidR="00FF6E56" w:rsidRPr="00EC6A9A" w:rsidRDefault="00FF6E56" w:rsidP="0070603A">
            <w:pPr>
              <w:spacing w:after="0"/>
              <w:contextualSpacing/>
              <w:rPr>
                <w:rFonts w:ascii="Arial" w:hAnsi="Arial" w:cs="Arial"/>
                <w:sz w:val="20"/>
                <w:szCs w:val="20"/>
              </w:rPr>
            </w:pPr>
            <w:r w:rsidRPr="00EC6A9A">
              <w:rPr>
                <w:rFonts w:ascii="Arial" w:hAnsi="Arial" w:cs="Arial"/>
                <w:sz w:val="20"/>
                <w:szCs w:val="20"/>
              </w:rPr>
              <w:t>Strategic fit and business needs</w:t>
            </w:r>
          </w:p>
        </w:tc>
        <w:tc>
          <w:tcPr>
            <w:tcW w:w="680" w:type="pct"/>
          </w:tcPr>
          <w:p w14:paraId="13ED622A" w14:textId="77777777" w:rsidR="00FF6E56" w:rsidRPr="00EC6A9A" w:rsidRDefault="00FF6E56" w:rsidP="0070603A">
            <w:pPr>
              <w:spacing w:before="100" w:after="0"/>
              <w:contextualSpacing/>
              <w:rPr>
                <w:rFonts w:ascii="Arial" w:hAnsi="Arial" w:cs="Arial"/>
                <w:sz w:val="20"/>
                <w:szCs w:val="20"/>
              </w:rPr>
            </w:pPr>
            <w:r w:rsidRPr="00EC6A9A">
              <w:rPr>
                <w:rFonts w:ascii="Arial" w:hAnsi="Arial" w:cs="Arial"/>
                <w:sz w:val="20"/>
                <w:szCs w:val="20"/>
              </w:rPr>
              <w:t>Strategic fit</w:t>
            </w:r>
          </w:p>
        </w:tc>
        <w:tc>
          <w:tcPr>
            <w:tcW w:w="3662" w:type="pct"/>
          </w:tcPr>
          <w:p w14:paraId="14DB8FD2" w14:textId="77777777" w:rsidR="00FF6E56" w:rsidRPr="00EC6A9A" w:rsidRDefault="00FF6E56" w:rsidP="0070603A">
            <w:pPr>
              <w:spacing w:after="0"/>
              <w:rPr>
                <w:rFonts w:ascii="Arial" w:hAnsi="Arial" w:cs="Arial"/>
                <w:sz w:val="20"/>
                <w:szCs w:val="20"/>
              </w:rPr>
            </w:pPr>
            <w:r w:rsidRPr="00EC6A9A">
              <w:rPr>
                <w:rFonts w:ascii="Arial" w:hAnsi="Arial" w:cs="Arial"/>
                <w:sz w:val="20"/>
                <w:szCs w:val="20"/>
              </w:rPr>
              <w:t>Contributes to delivery of:</w:t>
            </w:r>
          </w:p>
          <w:p w14:paraId="4629255C" w14:textId="77777777" w:rsidR="00FF6E56" w:rsidRPr="00EC6A9A" w:rsidRDefault="00FF6E56" w:rsidP="0070603A">
            <w:pPr>
              <w:pStyle w:val="ListParagraph"/>
              <w:numPr>
                <w:ilvl w:val="0"/>
                <w:numId w:val="137"/>
              </w:numPr>
              <w:spacing w:after="0"/>
              <w:rPr>
                <w:rFonts w:ascii="Arial" w:hAnsi="Arial" w:cs="Arial"/>
                <w:sz w:val="20"/>
                <w:szCs w:val="20"/>
              </w:rPr>
            </w:pPr>
            <w:r w:rsidRPr="00EC6A9A">
              <w:rPr>
                <w:rFonts w:ascii="Arial" w:hAnsi="Arial" w:cs="Arial"/>
                <w:sz w:val="20"/>
                <w:szCs w:val="20"/>
              </w:rPr>
              <w:t>Priorities of the NHS Long Term Plan</w:t>
            </w:r>
            <w:r w:rsidRPr="00EC6A9A">
              <w:rPr>
                <w:rFonts w:ascii="Arial" w:hAnsi="Arial" w:cs="Arial"/>
                <w:sz w:val="20"/>
                <w:szCs w:val="20"/>
                <w:vertAlign w:val="superscript"/>
              </w:rPr>
              <w:footnoteReference w:id="10"/>
            </w:r>
            <w:r w:rsidRPr="00EC6A9A">
              <w:rPr>
                <w:rFonts w:ascii="Arial" w:hAnsi="Arial" w:cs="Arial"/>
                <w:sz w:val="20"/>
                <w:szCs w:val="20"/>
              </w:rPr>
              <w:t>, including moving to new service models in which patients receive care in the most optimal setting</w:t>
            </w:r>
          </w:p>
          <w:p w14:paraId="338B0B7F" w14:textId="77777777" w:rsidR="00FF6E56" w:rsidRPr="00EC6A9A" w:rsidRDefault="00FF6E56" w:rsidP="0070603A">
            <w:pPr>
              <w:pStyle w:val="ListParagraph"/>
              <w:numPr>
                <w:ilvl w:val="0"/>
                <w:numId w:val="137"/>
              </w:numPr>
              <w:spacing w:after="0"/>
              <w:rPr>
                <w:rFonts w:ascii="Arial" w:hAnsi="Arial" w:cs="Arial"/>
                <w:sz w:val="20"/>
                <w:szCs w:val="20"/>
              </w:rPr>
            </w:pPr>
            <w:r w:rsidRPr="00EC6A9A">
              <w:rPr>
                <w:rFonts w:ascii="Arial" w:hAnsi="Arial" w:cs="Arial"/>
                <w:sz w:val="20"/>
                <w:szCs w:val="20"/>
              </w:rPr>
              <w:t>Integrated care priorities of the STP and NHS England specialised commissioning</w:t>
            </w:r>
          </w:p>
          <w:p w14:paraId="7844CF24" w14:textId="77777777" w:rsidR="00FF6E56" w:rsidRPr="00EC6A9A" w:rsidRDefault="00FF6E56" w:rsidP="0070603A">
            <w:pPr>
              <w:pStyle w:val="ListParagraph"/>
              <w:numPr>
                <w:ilvl w:val="0"/>
                <w:numId w:val="137"/>
              </w:numPr>
              <w:spacing w:after="0"/>
              <w:rPr>
                <w:rFonts w:ascii="Arial" w:hAnsi="Arial" w:cs="Arial"/>
                <w:sz w:val="20"/>
                <w:szCs w:val="20"/>
              </w:rPr>
            </w:pPr>
            <w:r w:rsidRPr="00EC6A9A">
              <w:rPr>
                <w:rFonts w:ascii="Arial" w:hAnsi="Arial" w:cs="Arial"/>
                <w:sz w:val="20"/>
                <w:szCs w:val="20"/>
              </w:rPr>
              <w:lastRenderedPageBreak/>
              <w:t>The Government’s industrial strategy: Building a Britain fit for the future</w:t>
            </w:r>
            <w:r w:rsidRPr="00EC6A9A">
              <w:rPr>
                <w:rFonts w:ascii="Arial" w:hAnsi="Arial" w:cs="Arial"/>
                <w:sz w:val="20"/>
                <w:szCs w:val="20"/>
                <w:vertAlign w:val="superscript"/>
              </w:rPr>
              <w:footnoteReference w:id="11"/>
            </w:r>
          </w:p>
          <w:p w14:paraId="02CB8747" w14:textId="77777777" w:rsidR="00FF6E56" w:rsidRPr="00EC6A9A" w:rsidRDefault="00FF6E56" w:rsidP="0070603A">
            <w:pPr>
              <w:pStyle w:val="ListParagraph"/>
              <w:numPr>
                <w:ilvl w:val="0"/>
                <w:numId w:val="137"/>
              </w:numPr>
              <w:spacing w:after="0"/>
              <w:rPr>
                <w:rFonts w:ascii="Arial" w:hAnsi="Arial" w:cs="Arial"/>
                <w:sz w:val="20"/>
                <w:szCs w:val="20"/>
              </w:rPr>
            </w:pPr>
            <w:r w:rsidRPr="00EC6A9A">
              <w:rPr>
                <w:rFonts w:ascii="Arial" w:hAnsi="Arial" w:cs="Arial"/>
                <w:sz w:val="20"/>
                <w:szCs w:val="20"/>
              </w:rPr>
              <w:t>UCL 2034 Strategy</w:t>
            </w:r>
            <w:r w:rsidRPr="00EC6A9A">
              <w:rPr>
                <w:rFonts w:ascii="Arial" w:hAnsi="Arial" w:cs="Arial"/>
                <w:sz w:val="20"/>
                <w:szCs w:val="20"/>
                <w:vertAlign w:val="superscript"/>
              </w:rPr>
              <w:footnoteReference w:id="12"/>
            </w:r>
            <w:r w:rsidRPr="00EC6A9A">
              <w:rPr>
                <w:rFonts w:ascii="Arial" w:hAnsi="Arial" w:cs="Arial"/>
                <w:sz w:val="20"/>
                <w:szCs w:val="20"/>
              </w:rPr>
              <w:t xml:space="preserve"> and Brain Sciences Faculty Doctoral Strategy</w:t>
            </w:r>
            <w:r w:rsidRPr="00EC6A9A">
              <w:rPr>
                <w:rFonts w:ascii="Arial" w:hAnsi="Arial" w:cs="Arial"/>
                <w:sz w:val="20"/>
                <w:szCs w:val="20"/>
                <w:vertAlign w:val="superscript"/>
              </w:rPr>
              <w:footnoteReference w:id="13"/>
            </w:r>
          </w:p>
          <w:p w14:paraId="5511512F" w14:textId="77777777" w:rsidR="00FF6E56" w:rsidRPr="00EC6A9A" w:rsidRDefault="00FF6E56" w:rsidP="0070603A">
            <w:pPr>
              <w:pStyle w:val="ListParagraph"/>
              <w:numPr>
                <w:ilvl w:val="0"/>
                <w:numId w:val="137"/>
              </w:numPr>
              <w:spacing w:after="0"/>
              <w:rPr>
                <w:rFonts w:ascii="Arial" w:hAnsi="Arial" w:cs="Arial"/>
                <w:sz w:val="20"/>
                <w:szCs w:val="20"/>
              </w:rPr>
            </w:pPr>
            <w:r w:rsidRPr="00EC6A9A">
              <w:rPr>
                <w:rFonts w:ascii="Arial" w:hAnsi="Arial" w:cs="Arial"/>
                <w:sz w:val="20"/>
                <w:szCs w:val="20"/>
              </w:rPr>
              <w:t>Enables the Oriel partners to maximise integration and innovation in the delivery of research, education and clinical care</w:t>
            </w:r>
          </w:p>
          <w:p w14:paraId="1464603B" w14:textId="77777777" w:rsidR="00FF6E56" w:rsidRPr="00EC6A9A" w:rsidRDefault="00FF6E56" w:rsidP="0070603A">
            <w:pPr>
              <w:pStyle w:val="ListParagraph"/>
              <w:numPr>
                <w:ilvl w:val="0"/>
                <w:numId w:val="137"/>
              </w:numPr>
              <w:spacing w:after="0"/>
              <w:rPr>
                <w:rFonts w:ascii="Arial" w:hAnsi="Arial" w:cs="Arial"/>
                <w:sz w:val="20"/>
                <w:szCs w:val="20"/>
              </w:rPr>
            </w:pPr>
            <w:r w:rsidRPr="00EC6A9A">
              <w:rPr>
                <w:rFonts w:ascii="Arial" w:hAnsi="Arial" w:cs="Arial"/>
                <w:sz w:val="20"/>
                <w:szCs w:val="20"/>
              </w:rPr>
              <w:t>Improves the strength and effectiveness of existing clinical and academic networks</w:t>
            </w:r>
          </w:p>
          <w:p w14:paraId="69CC6DFB" w14:textId="77777777" w:rsidR="00FF6E56" w:rsidRPr="00EC6A9A" w:rsidRDefault="00FF6E56" w:rsidP="0070603A">
            <w:pPr>
              <w:pStyle w:val="ListParagraph"/>
              <w:numPr>
                <w:ilvl w:val="0"/>
                <w:numId w:val="137"/>
              </w:numPr>
              <w:spacing w:after="0"/>
              <w:rPr>
                <w:rFonts w:ascii="Arial" w:hAnsi="Arial" w:cs="Arial"/>
                <w:sz w:val="20"/>
                <w:szCs w:val="20"/>
              </w:rPr>
            </w:pPr>
            <w:r w:rsidRPr="00EC6A9A">
              <w:rPr>
                <w:rFonts w:ascii="Arial" w:hAnsi="Arial" w:cs="Arial"/>
                <w:sz w:val="20"/>
                <w:szCs w:val="20"/>
              </w:rPr>
              <w:t>Improves accessibility and connectivity of the Oriel partners’ hub to the partners’ other sites</w:t>
            </w:r>
          </w:p>
        </w:tc>
      </w:tr>
      <w:tr w:rsidR="00FF6E56" w:rsidRPr="00EC6A9A" w14:paraId="1FABF024" w14:textId="77777777" w:rsidTr="0070603A">
        <w:tc>
          <w:tcPr>
            <w:tcW w:w="657" w:type="pct"/>
            <w:vMerge/>
            <w:textDirection w:val="btLr"/>
          </w:tcPr>
          <w:p w14:paraId="4C607855" w14:textId="77777777" w:rsidR="00FF6E56" w:rsidRPr="00EC6A9A" w:rsidRDefault="00FF6E56" w:rsidP="0070603A">
            <w:pPr>
              <w:ind w:left="113" w:right="113"/>
              <w:contextualSpacing/>
              <w:rPr>
                <w:rFonts w:ascii="Arial" w:hAnsi="Arial" w:cs="Arial"/>
                <w:sz w:val="20"/>
                <w:szCs w:val="20"/>
              </w:rPr>
            </w:pPr>
          </w:p>
        </w:tc>
        <w:tc>
          <w:tcPr>
            <w:tcW w:w="680" w:type="pct"/>
          </w:tcPr>
          <w:p w14:paraId="2BF53277" w14:textId="77777777" w:rsidR="00FF6E56" w:rsidRPr="00EC6A9A" w:rsidRDefault="00FF6E56" w:rsidP="0070603A">
            <w:pPr>
              <w:spacing w:before="100"/>
              <w:contextualSpacing/>
              <w:rPr>
                <w:rFonts w:ascii="Arial" w:hAnsi="Arial" w:cs="Arial"/>
                <w:sz w:val="20"/>
                <w:szCs w:val="20"/>
              </w:rPr>
            </w:pPr>
            <w:r w:rsidRPr="00EC6A9A">
              <w:rPr>
                <w:rFonts w:ascii="Arial" w:hAnsi="Arial" w:cs="Arial"/>
                <w:sz w:val="20"/>
                <w:szCs w:val="20"/>
              </w:rPr>
              <w:t>Creating the best possible patient experience</w:t>
            </w:r>
          </w:p>
        </w:tc>
        <w:tc>
          <w:tcPr>
            <w:tcW w:w="3662" w:type="pct"/>
          </w:tcPr>
          <w:p w14:paraId="789DD40C" w14:textId="77777777" w:rsidR="00FF6E56" w:rsidRPr="00EC6A9A" w:rsidRDefault="00FF6E56" w:rsidP="0070603A">
            <w:pPr>
              <w:numPr>
                <w:ilvl w:val="0"/>
                <w:numId w:val="137"/>
              </w:numPr>
              <w:contextualSpacing/>
              <w:rPr>
                <w:rFonts w:ascii="Arial" w:hAnsi="Arial" w:cs="Arial"/>
                <w:sz w:val="20"/>
                <w:szCs w:val="20"/>
              </w:rPr>
            </w:pPr>
            <w:r w:rsidRPr="00EC6A9A">
              <w:rPr>
                <w:rFonts w:ascii="Arial" w:hAnsi="Arial" w:cs="Arial"/>
                <w:sz w:val="20"/>
                <w:szCs w:val="20"/>
              </w:rPr>
              <w:t>Improves clinical outcomes by integrating research with service delivery</w:t>
            </w:r>
          </w:p>
          <w:p w14:paraId="59DCC1E0" w14:textId="77777777" w:rsidR="00FF6E56" w:rsidRPr="00EC6A9A" w:rsidRDefault="00FF6E56" w:rsidP="0070603A">
            <w:pPr>
              <w:numPr>
                <w:ilvl w:val="0"/>
                <w:numId w:val="137"/>
              </w:numPr>
              <w:contextualSpacing/>
              <w:rPr>
                <w:rFonts w:ascii="Arial" w:hAnsi="Arial" w:cs="Arial"/>
                <w:sz w:val="20"/>
                <w:szCs w:val="20"/>
              </w:rPr>
            </w:pPr>
            <w:r w:rsidRPr="00EC6A9A">
              <w:rPr>
                <w:rFonts w:ascii="Arial" w:hAnsi="Arial" w:cs="Arial"/>
                <w:sz w:val="20"/>
                <w:szCs w:val="20"/>
              </w:rPr>
              <w:t>Contributes to a reduction in health inequalities</w:t>
            </w:r>
          </w:p>
          <w:p w14:paraId="05068F69" w14:textId="77777777" w:rsidR="00FF6E56" w:rsidRPr="00EC6A9A" w:rsidRDefault="00FF6E56" w:rsidP="0070603A">
            <w:pPr>
              <w:numPr>
                <w:ilvl w:val="0"/>
                <w:numId w:val="137"/>
              </w:numPr>
              <w:contextualSpacing/>
              <w:rPr>
                <w:rFonts w:ascii="Arial" w:hAnsi="Arial" w:cs="Arial"/>
                <w:sz w:val="20"/>
                <w:szCs w:val="20"/>
              </w:rPr>
            </w:pPr>
            <w:r w:rsidRPr="00EC6A9A">
              <w:rPr>
                <w:rFonts w:ascii="Arial" w:hAnsi="Arial" w:cs="Arial"/>
                <w:sz w:val="20"/>
                <w:szCs w:val="20"/>
              </w:rPr>
              <w:t>Contributes to improving patient reported outcomes and experience measures through an improved environment</w:t>
            </w:r>
          </w:p>
          <w:p w14:paraId="67B86B3C" w14:textId="77777777" w:rsidR="00FF6E56" w:rsidRPr="00EC6A9A" w:rsidRDefault="00FF6E56" w:rsidP="0070603A">
            <w:pPr>
              <w:numPr>
                <w:ilvl w:val="0"/>
                <w:numId w:val="137"/>
              </w:numPr>
              <w:contextualSpacing/>
              <w:rPr>
                <w:rFonts w:ascii="Arial" w:hAnsi="Arial" w:cs="Arial"/>
                <w:sz w:val="20"/>
                <w:szCs w:val="20"/>
              </w:rPr>
            </w:pPr>
            <w:r w:rsidRPr="00EC6A9A">
              <w:rPr>
                <w:rFonts w:ascii="Arial" w:hAnsi="Arial" w:cs="Arial"/>
                <w:sz w:val="20"/>
                <w:szCs w:val="20"/>
              </w:rPr>
              <w:t>Enables a smooth clinical pathway from primary care referral to diagnosis/treatment to supported self-care</w:t>
            </w:r>
          </w:p>
          <w:p w14:paraId="28F6D090" w14:textId="77777777" w:rsidR="00FF6E56" w:rsidRPr="00EC6A9A" w:rsidRDefault="00FF6E56" w:rsidP="0070603A">
            <w:pPr>
              <w:numPr>
                <w:ilvl w:val="0"/>
                <w:numId w:val="137"/>
              </w:numPr>
              <w:contextualSpacing/>
              <w:rPr>
                <w:rFonts w:ascii="Arial" w:hAnsi="Arial" w:cs="Arial"/>
                <w:i/>
                <w:sz w:val="20"/>
                <w:szCs w:val="20"/>
              </w:rPr>
            </w:pPr>
            <w:r w:rsidRPr="00EC6A9A">
              <w:rPr>
                <w:rFonts w:ascii="Arial" w:hAnsi="Arial" w:cs="Arial"/>
                <w:sz w:val="20"/>
                <w:szCs w:val="20"/>
              </w:rPr>
              <w:t>Facilitates transformation of clinical and research pathways through implementation of integrated care models and better use of technology</w:t>
            </w:r>
          </w:p>
        </w:tc>
      </w:tr>
      <w:tr w:rsidR="00FF6E56" w:rsidRPr="00EC6A9A" w14:paraId="3D417F19" w14:textId="77777777" w:rsidTr="0070603A">
        <w:tc>
          <w:tcPr>
            <w:tcW w:w="657" w:type="pct"/>
            <w:vMerge/>
            <w:textDirection w:val="btLr"/>
          </w:tcPr>
          <w:p w14:paraId="22286807" w14:textId="77777777" w:rsidR="00FF6E56" w:rsidRPr="00EC6A9A" w:rsidRDefault="00FF6E56" w:rsidP="0070603A">
            <w:pPr>
              <w:spacing w:after="0"/>
              <w:ind w:left="113" w:right="113"/>
              <w:contextualSpacing/>
              <w:rPr>
                <w:rFonts w:ascii="Arial" w:hAnsi="Arial" w:cs="Arial"/>
                <w:sz w:val="20"/>
                <w:szCs w:val="20"/>
              </w:rPr>
            </w:pPr>
          </w:p>
        </w:tc>
        <w:tc>
          <w:tcPr>
            <w:tcW w:w="680" w:type="pct"/>
          </w:tcPr>
          <w:p w14:paraId="032B8AF2" w14:textId="77777777" w:rsidR="00FF6E56" w:rsidRPr="00EC6A9A" w:rsidRDefault="00FF6E56" w:rsidP="0070603A">
            <w:pPr>
              <w:spacing w:before="100" w:after="0"/>
              <w:contextualSpacing/>
              <w:rPr>
                <w:rFonts w:ascii="Arial" w:hAnsi="Arial" w:cs="Arial"/>
                <w:sz w:val="20"/>
                <w:szCs w:val="20"/>
              </w:rPr>
            </w:pPr>
            <w:r w:rsidRPr="00EC6A9A">
              <w:rPr>
                <w:rFonts w:ascii="Arial" w:hAnsi="Arial" w:cs="Arial"/>
                <w:sz w:val="20"/>
                <w:szCs w:val="20"/>
              </w:rPr>
              <w:t>Accessibility</w:t>
            </w:r>
          </w:p>
        </w:tc>
        <w:tc>
          <w:tcPr>
            <w:tcW w:w="3662" w:type="pct"/>
          </w:tcPr>
          <w:p w14:paraId="387E1472" w14:textId="77777777" w:rsidR="00FF6E56" w:rsidRPr="00EC6A9A" w:rsidRDefault="00FF6E56" w:rsidP="0070603A">
            <w:pPr>
              <w:spacing w:after="0"/>
              <w:rPr>
                <w:rFonts w:ascii="Arial" w:hAnsi="Arial" w:cs="Arial"/>
                <w:sz w:val="20"/>
                <w:szCs w:val="20"/>
              </w:rPr>
            </w:pPr>
            <w:r w:rsidRPr="00EC6A9A">
              <w:rPr>
                <w:rFonts w:ascii="Arial" w:hAnsi="Arial" w:cs="Arial"/>
                <w:sz w:val="20"/>
                <w:szCs w:val="20"/>
              </w:rPr>
              <w:t>Positive impact on:</w:t>
            </w:r>
          </w:p>
          <w:p w14:paraId="57E32B89" w14:textId="77777777" w:rsidR="00FF6E56" w:rsidRPr="00EC6A9A" w:rsidRDefault="00FF6E56" w:rsidP="0070603A">
            <w:pPr>
              <w:pStyle w:val="ListParagraph"/>
              <w:numPr>
                <w:ilvl w:val="0"/>
                <w:numId w:val="136"/>
              </w:numPr>
              <w:spacing w:after="0"/>
              <w:rPr>
                <w:rFonts w:ascii="Arial" w:hAnsi="Arial" w:cs="Arial"/>
                <w:sz w:val="20"/>
                <w:szCs w:val="20"/>
              </w:rPr>
            </w:pPr>
            <w:r w:rsidRPr="00EC6A9A">
              <w:rPr>
                <w:rFonts w:ascii="Arial" w:hAnsi="Arial" w:cs="Arial"/>
                <w:sz w:val="20"/>
                <w:szCs w:val="20"/>
              </w:rPr>
              <w:t>Accessibility and safety for visitors and staff by and from public transport</w:t>
            </w:r>
          </w:p>
          <w:p w14:paraId="410A1A9C" w14:textId="77777777" w:rsidR="00FF6E56" w:rsidRPr="00EC6A9A" w:rsidRDefault="00FF6E56" w:rsidP="0070603A">
            <w:pPr>
              <w:pStyle w:val="ListParagraph"/>
              <w:numPr>
                <w:ilvl w:val="0"/>
                <w:numId w:val="136"/>
              </w:numPr>
              <w:spacing w:after="0"/>
              <w:rPr>
                <w:rFonts w:ascii="Arial" w:hAnsi="Arial" w:cs="Arial"/>
                <w:sz w:val="20"/>
                <w:szCs w:val="20"/>
              </w:rPr>
            </w:pPr>
            <w:r w:rsidRPr="00EC6A9A">
              <w:rPr>
                <w:rFonts w:ascii="Arial" w:hAnsi="Arial" w:cs="Arial"/>
                <w:sz w:val="20"/>
                <w:szCs w:val="20"/>
              </w:rPr>
              <w:t>Emergency access</w:t>
            </w:r>
          </w:p>
          <w:p w14:paraId="3BABA578" w14:textId="77777777" w:rsidR="00FF6E56" w:rsidRPr="00EC6A9A" w:rsidRDefault="00FF6E56" w:rsidP="0070603A">
            <w:pPr>
              <w:pStyle w:val="ListParagraph"/>
              <w:numPr>
                <w:ilvl w:val="0"/>
                <w:numId w:val="136"/>
              </w:numPr>
              <w:spacing w:after="0"/>
              <w:rPr>
                <w:rFonts w:ascii="Arial" w:hAnsi="Arial" w:cs="Arial"/>
                <w:sz w:val="20"/>
                <w:szCs w:val="20"/>
              </w:rPr>
            </w:pPr>
            <w:r w:rsidRPr="00EC6A9A">
              <w:rPr>
                <w:rFonts w:ascii="Arial" w:hAnsi="Arial" w:cs="Arial"/>
                <w:sz w:val="20"/>
                <w:szCs w:val="20"/>
              </w:rPr>
              <w:t>Population-weighted average travel times for acute and specialist patients</w:t>
            </w:r>
          </w:p>
          <w:p w14:paraId="42F7BB6B" w14:textId="77777777" w:rsidR="00FF6E56" w:rsidRPr="00EC6A9A" w:rsidRDefault="00FF6E56" w:rsidP="0070603A">
            <w:pPr>
              <w:pStyle w:val="ListParagraph"/>
              <w:numPr>
                <w:ilvl w:val="0"/>
                <w:numId w:val="136"/>
              </w:numPr>
              <w:spacing w:after="0"/>
              <w:rPr>
                <w:rFonts w:ascii="Arial" w:hAnsi="Arial" w:cs="Arial"/>
                <w:sz w:val="20"/>
                <w:szCs w:val="20"/>
              </w:rPr>
            </w:pPr>
            <w:r w:rsidRPr="00EC6A9A">
              <w:rPr>
                <w:rFonts w:ascii="Arial" w:hAnsi="Arial" w:cs="Arial"/>
                <w:sz w:val="20"/>
                <w:szCs w:val="20"/>
              </w:rPr>
              <w:t>Reduces patient and staff journey times in the building due to improved adjacencies</w:t>
            </w:r>
          </w:p>
          <w:p w14:paraId="34DDD502" w14:textId="77777777" w:rsidR="00FF6E56" w:rsidRPr="00EC6A9A" w:rsidRDefault="00FF6E56" w:rsidP="0070603A">
            <w:pPr>
              <w:pStyle w:val="ListParagraph"/>
              <w:numPr>
                <w:ilvl w:val="0"/>
                <w:numId w:val="136"/>
              </w:numPr>
              <w:spacing w:after="0"/>
              <w:rPr>
                <w:rFonts w:ascii="Arial" w:hAnsi="Arial" w:cs="Arial"/>
                <w:sz w:val="20"/>
                <w:szCs w:val="20"/>
              </w:rPr>
            </w:pPr>
            <w:r w:rsidRPr="00EC6A9A">
              <w:rPr>
                <w:rFonts w:ascii="Arial" w:hAnsi="Arial" w:cs="Arial"/>
                <w:sz w:val="20"/>
                <w:szCs w:val="20"/>
              </w:rPr>
              <w:t>Full compliance with Equality Act 2010</w:t>
            </w:r>
          </w:p>
        </w:tc>
      </w:tr>
      <w:tr w:rsidR="00FF6E56" w:rsidRPr="00EC6A9A" w14:paraId="0B8B43F5" w14:textId="77777777" w:rsidTr="0070603A">
        <w:tc>
          <w:tcPr>
            <w:tcW w:w="657" w:type="pct"/>
            <w:vMerge/>
            <w:textDirection w:val="btLr"/>
          </w:tcPr>
          <w:p w14:paraId="14B5C5F7" w14:textId="77777777" w:rsidR="00FF6E56" w:rsidRPr="00EC6A9A" w:rsidRDefault="00FF6E56" w:rsidP="0070603A">
            <w:pPr>
              <w:ind w:left="113" w:right="113"/>
              <w:contextualSpacing/>
              <w:rPr>
                <w:rFonts w:ascii="Arial" w:hAnsi="Arial" w:cs="Arial"/>
                <w:sz w:val="20"/>
                <w:szCs w:val="20"/>
              </w:rPr>
            </w:pPr>
          </w:p>
        </w:tc>
        <w:tc>
          <w:tcPr>
            <w:tcW w:w="680" w:type="pct"/>
          </w:tcPr>
          <w:p w14:paraId="1C784D14" w14:textId="77777777" w:rsidR="00FF6E56" w:rsidRPr="00EC6A9A" w:rsidRDefault="00FF6E56" w:rsidP="0070603A">
            <w:pPr>
              <w:spacing w:before="100"/>
              <w:contextualSpacing/>
              <w:rPr>
                <w:rFonts w:ascii="Arial" w:hAnsi="Arial" w:cs="Arial"/>
                <w:sz w:val="20"/>
                <w:szCs w:val="20"/>
              </w:rPr>
            </w:pPr>
            <w:r w:rsidRPr="00EC6A9A">
              <w:rPr>
                <w:rFonts w:ascii="Arial" w:hAnsi="Arial" w:cs="Arial"/>
                <w:sz w:val="20"/>
                <w:szCs w:val="20"/>
              </w:rPr>
              <w:t>Inventing and innovating together to be at the leading edge</w:t>
            </w:r>
          </w:p>
        </w:tc>
        <w:tc>
          <w:tcPr>
            <w:tcW w:w="3662" w:type="pct"/>
          </w:tcPr>
          <w:p w14:paraId="4E31C285" w14:textId="77777777" w:rsidR="00FF6E56" w:rsidRPr="00EC6A9A" w:rsidRDefault="00FF6E56" w:rsidP="0070603A">
            <w:pPr>
              <w:numPr>
                <w:ilvl w:val="0"/>
                <w:numId w:val="131"/>
              </w:numPr>
              <w:contextualSpacing/>
              <w:rPr>
                <w:rFonts w:ascii="Arial" w:hAnsi="Arial" w:cs="Arial"/>
                <w:sz w:val="20"/>
                <w:szCs w:val="20"/>
              </w:rPr>
            </w:pPr>
            <w:r w:rsidRPr="00EC6A9A">
              <w:rPr>
                <w:rFonts w:ascii="Arial" w:hAnsi="Arial" w:cs="Arial"/>
                <w:sz w:val="20"/>
                <w:szCs w:val="20"/>
              </w:rPr>
              <w:t>Brings Moorfields and the IoO to the heart of the UCL Bloomsbury campus, improving collaboration and enabling resources to be shared with colleagues in other UCL and the Central London Knowledge Quarter</w:t>
            </w:r>
          </w:p>
          <w:p w14:paraId="66004261" w14:textId="77777777" w:rsidR="00FF6E56" w:rsidRPr="00EC6A9A" w:rsidRDefault="00FF6E56" w:rsidP="0070603A">
            <w:pPr>
              <w:numPr>
                <w:ilvl w:val="0"/>
                <w:numId w:val="131"/>
              </w:numPr>
              <w:contextualSpacing/>
              <w:rPr>
                <w:rFonts w:ascii="Arial" w:hAnsi="Arial" w:cs="Arial"/>
                <w:sz w:val="20"/>
                <w:szCs w:val="20"/>
              </w:rPr>
            </w:pPr>
            <w:r w:rsidRPr="00EC6A9A">
              <w:rPr>
                <w:rFonts w:ascii="Arial" w:hAnsi="Arial" w:cs="Arial"/>
                <w:sz w:val="20"/>
                <w:szCs w:val="20"/>
              </w:rPr>
              <w:t>Enhances delivery of life changing research evidenced through increased rate of conversion of new therapies from trials to clinical care</w:t>
            </w:r>
          </w:p>
          <w:p w14:paraId="32FF69D1" w14:textId="77777777" w:rsidR="00FF6E56" w:rsidRPr="00EC6A9A" w:rsidRDefault="00FF6E56" w:rsidP="0070603A">
            <w:pPr>
              <w:numPr>
                <w:ilvl w:val="0"/>
                <w:numId w:val="131"/>
              </w:numPr>
              <w:contextualSpacing/>
              <w:rPr>
                <w:rFonts w:ascii="Arial" w:hAnsi="Arial" w:cs="Arial"/>
                <w:i/>
                <w:sz w:val="20"/>
                <w:szCs w:val="20"/>
              </w:rPr>
            </w:pPr>
            <w:r w:rsidRPr="00EC6A9A">
              <w:rPr>
                <w:rFonts w:ascii="Arial" w:hAnsi="Arial" w:cs="Arial"/>
                <w:sz w:val="20"/>
                <w:szCs w:val="20"/>
              </w:rPr>
              <w:t>Provides space for collaboration between health professionals, researchers and patients in an ‘open innovation hub’, allowing us to transform existing (and create new) strategic partnerships with industry and other higher education institutes</w:t>
            </w:r>
          </w:p>
        </w:tc>
      </w:tr>
      <w:tr w:rsidR="00FF6E56" w:rsidRPr="00EC6A9A" w14:paraId="56A04A27" w14:textId="77777777" w:rsidTr="0070603A">
        <w:tc>
          <w:tcPr>
            <w:tcW w:w="657" w:type="pct"/>
            <w:vMerge/>
            <w:textDirection w:val="btLr"/>
          </w:tcPr>
          <w:p w14:paraId="78BAB6FD" w14:textId="77777777" w:rsidR="00FF6E56" w:rsidRPr="00EC6A9A" w:rsidRDefault="00FF6E56" w:rsidP="0070603A">
            <w:pPr>
              <w:ind w:left="113" w:right="113"/>
              <w:contextualSpacing/>
              <w:rPr>
                <w:rFonts w:ascii="Arial" w:hAnsi="Arial" w:cs="Arial"/>
                <w:sz w:val="20"/>
                <w:szCs w:val="20"/>
              </w:rPr>
            </w:pPr>
          </w:p>
        </w:tc>
        <w:tc>
          <w:tcPr>
            <w:tcW w:w="680" w:type="pct"/>
          </w:tcPr>
          <w:p w14:paraId="2E0AEF76" w14:textId="77777777" w:rsidR="00FF6E56" w:rsidRPr="00EC6A9A" w:rsidRDefault="00FF6E56" w:rsidP="0070603A">
            <w:pPr>
              <w:spacing w:before="100"/>
              <w:contextualSpacing/>
              <w:rPr>
                <w:rFonts w:ascii="Arial" w:hAnsi="Arial" w:cs="Arial"/>
                <w:sz w:val="20"/>
                <w:szCs w:val="20"/>
              </w:rPr>
            </w:pPr>
            <w:r w:rsidRPr="00EC6A9A">
              <w:rPr>
                <w:rFonts w:ascii="Arial" w:hAnsi="Arial" w:cs="Arial"/>
                <w:sz w:val="20"/>
                <w:szCs w:val="20"/>
              </w:rPr>
              <w:t>Educating people to be the very best</w:t>
            </w:r>
          </w:p>
        </w:tc>
        <w:tc>
          <w:tcPr>
            <w:tcW w:w="3662" w:type="pct"/>
          </w:tcPr>
          <w:p w14:paraId="74915CE7" w14:textId="77777777" w:rsidR="00FF6E56" w:rsidRPr="00EC6A9A" w:rsidRDefault="00FF6E56" w:rsidP="0070603A">
            <w:pPr>
              <w:numPr>
                <w:ilvl w:val="0"/>
                <w:numId w:val="132"/>
              </w:numPr>
              <w:contextualSpacing/>
              <w:rPr>
                <w:rFonts w:ascii="Arial" w:hAnsi="Arial" w:cs="Arial"/>
                <w:sz w:val="20"/>
                <w:szCs w:val="20"/>
              </w:rPr>
            </w:pPr>
            <w:r w:rsidRPr="00EC6A9A">
              <w:rPr>
                <w:rFonts w:ascii="Arial" w:hAnsi="Arial" w:cs="Arial"/>
                <w:sz w:val="20"/>
                <w:szCs w:val="20"/>
              </w:rPr>
              <w:t>Enables the Oriel partners to equip staff and students with the knowledge and skills to be successful and to fulfil their ambitions</w:t>
            </w:r>
          </w:p>
          <w:p w14:paraId="07A5FE5C" w14:textId="77777777" w:rsidR="00FF6E56" w:rsidRPr="00EC6A9A" w:rsidRDefault="00FF6E56" w:rsidP="0070603A">
            <w:pPr>
              <w:numPr>
                <w:ilvl w:val="0"/>
                <w:numId w:val="132"/>
              </w:numPr>
              <w:contextualSpacing/>
              <w:rPr>
                <w:rFonts w:ascii="Arial" w:hAnsi="Arial" w:cs="Arial"/>
                <w:sz w:val="20"/>
                <w:szCs w:val="20"/>
              </w:rPr>
            </w:pPr>
            <w:r w:rsidRPr="00EC6A9A">
              <w:rPr>
                <w:rFonts w:ascii="Arial" w:hAnsi="Arial" w:cs="Arial"/>
                <w:sz w:val="20"/>
                <w:szCs w:val="20"/>
              </w:rPr>
              <w:t>Enables world leading education, learning and development to take place in appropriate modern facilities</w:t>
            </w:r>
          </w:p>
          <w:p w14:paraId="061BCD64" w14:textId="77777777" w:rsidR="00FF6E56" w:rsidRPr="00EC6A9A" w:rsidRDefault="00FF6E56" w:rsidP="0070603A">
            <w:pPr>
              <w:numPr>
                <w:ilvl w:val="0"/>
                <w:numId w:val="132"/>
              </w:numPr>
              <w:contextualSpacing/>
              <w:rPr>
                <w:rFonts w:ascii="Arial" w:hAnsi="Arial" w:cs="Arial"/>
                <w:sz w:val="20"/>
                <w:szCs w:val="20"/>
              </w:rPr>
            </w:pPr>
            <w:r w:rsidRPr="00EC6A9A">
              <w:rPr>
                <w:rFonts w:ascii="Arial" w:hAnsi="Arial" w:cs="Arial"/>
                <w:sz w:val="20"/>
                <w:szCs w:val="20"/>
              </w:rPr>
              <w:lastRenderedPageBreak/>
              <w:t>Provides opportunities for cross-departmental learning at UCL and within the Central London Knowledge Quarter</w:t>
            </w:r>
          </w:p>
          <w:p w14:paraId="73A3311E" w14:textId="77777777" w:rsidR="00FF6E56" w:rsidRPr="00EC6A9A" w:rsidRDefault="00FF6E56" w:rsidP="0070603A">
            <w:pPr>
              <w:numPr>
                <w:ilvl w:val="0"/>
                <w:numId w:val="132"/>
              </w:numPr>
              <w:contextualSpacing/>
              <w:rPr>
                <w:rFonts w:ascii="Arial" w:hAnsi="Arial" w:cs="Arial"/>
                <w:sz w:val="20"/>
                <w:szCs w:val="20"/>
              </w:rPr>
            </w:pPr>
            <w:r w:rsidRPr="00EC6A9A">
              <w:rPr>
                <w:rFonts w:ascii="Arial" w:hAnsi="Arial" w:cs="Arial"/>
                <w:sz w:val="20"/>
                <w:szCs w:val="20"/>
              </w:rPr>
              <w:t>Enables growth in education through greater capacity</w:t>
            </w:r>
          </w:p>
        </w:tc>
      </w:tr>
      <w:tr w:rsidR="00FF6E56" w:rsidRPr="00EC6A9A" w14:paraId="478F8CE0" w14:textId="77777777" w:rsidTr="0070603A">
        <w:trPr>
          <w:trHeight w:val="620"/>
        </w:trPr>
        <w:tc>
          <w:tcPr>
            <w:tcW w:w="657" w:type="pct"/>
            <w:vMerge/>
            <w:textDirection w:val="btLr"/>
          </w:tcPr>
          <w:p w14:paraId="5E49968E" w14:textId="77777777" w:rsidR="00FF6E56" w:rsidRPr="00EC6A9A" w:rsidRDefault="00FF6E56" w:rsidP="0070603A">
            <w:pPr>
              <w:spacing w:after="0"/>
              <w:ind w:left="113" w:right="113"/>
              <w:contextualSpacing/>
              <w:rPr>
                <w:rFonts w:ascii="Arial" w:hAnsi="Arial" w:cs="Arial"/>
                <w:sz w:val="20"/>
                <w:szCs w:val="20"/>
              </w:rPr>
            </w:pPr>
          </w:p>
        </w:tc>
        <w:tc>
          <w:tcPr>
            <w:tcW w:w="680" w:type="pct"/>
          </w:tcPr>
          <w:p w14:paraId="48219E00" w14:textId="77777777" w:rsidR="00FF6E56" w:rsidRPr="00EC6A9A" w:rsidRDefault="00FF6E56" w:rsidP="0070603A">
            <w:pPr>
              <w:spacing w:before="100" w:after="0"/>
              <w:contextualSpacing/>
              <w:rPr>
                <w:rFonts w:ascii="Arial" w:hAnsi="Arial" w:cs="Arial"/>
                <w:sz w:val="20"/>
                <w:szCs w:val="20"/>
              </w:rPr>
            </w:pPr>
            <w:r w:rsidRPr="00EC6A9A">
              <w:rPr>
                <w:rFonts w:ascii="Arial" w:hAnsi="Arial" w:cs="Arial"/>
                <w:sz w:val="20"/>
                <w:szCs w:val="20"/>
              </w:rPr>
              <w:t>Improving the experience for staff and students</w:t>
            </w:r>
          </w:p>
        </w:tc>
        <w:tc>
          <w:tcPr>
            <w:tcW w:w="3662" w:type="pct"/>
          </w:tcPr>
          <w:p w14:paraId="4CB74CBA" w14:textId="77777777" w:rsidR="00FF6E56" w:rsidRPr="00EC6A9A" w:rsidRDefault="00FF6E56" w:rsidP="0070603A">
            <w:pPr>
              <w:pStyle w:val="ListParagraph"/>
              <w:numPr>
                <w:ilvl w:val="0"/>
                <w:numId w:val="135"/>
              </w:numPr>
              <w:spacing w:after="0"/>
              <w:rPr>
                <w:rFonts w:ascii="Arial" w:hAnsi="Arial" w:cs="Arial"/>
                <w:sz w:val="20"/>
                <w:szCs w:val="20"/>
              </w:rPr>
            </w:pPr>
            <w:r w:rsidRPr="00EC6A9A">
              <w:rPr>
                <w:rFonts w:ascii="Arial" w:hAnsi="Arial" w:cs="Arial"/>
                <w:sz w:val="20"/>
                <w:szCs w:val="20"/>
              </w:rPr>
              <w:t>Contributes to attracting and retaining the best clinical and research expertise for our patients</w:t>
            </w:r>
          </w:p>
          <w:p w14:paraId="2F075689" w14:textId="77777777" w:rsidR="00FF6E56" w:rsidRPr="00EC6A9A" w:rsidRDefault="00FF6E56" w:rsidP="0070603A">
            <w:pPr>
              <w:pStyle w:val="ListParagraph"/>
              <w:numPr>
                <w:ilvl w:val="0"/>
                <w:numId w:val="135"/>
              </w:numPr>
              <w:spacing w:after="0"/>
              <w:rPr>
                <w:rFonts w:ascii="Arial" w:hAnsi="Arial" w:cs="Arial"/>
                <w:sz w:val="20"/>
                <w:szCs w:val="20"/>
              </w:rPr>
            </w:pPr>
            <w:r w:rsidRPr="00EC6A9A">
              <w:rPr>
                <w:rFonts w:ascii="Arial" w:hAnsi="Arial" w:cs="Arial"/>
                <w:sz w:val="20"/>
                <w:szCs w:val="20"/>
              </w:rPr>
              <w:t>Contributes to improving staff and student welfare – and improving satisfaction measures through an improved environment and greater opportunities for learning and collaboration</w:t>
            </w:r>
          </w:p>
        </w:tc>
      </w:tr>
      <w:tr w:rsidR="00FF6E56" w:rsidRPr="00EC6A9A" w14:paraId="40DD8BA6" w14:textId="77777777" w:rsidTr="0070603A">
        <w:tc>
          <w:tcPr>
            <w:tcW w:w="657" w:type="pct"/>
            <w:vMerge w:val="restart"/>
          </w:tcPr>
          <w:p w14:paraId="691C55AC" w14:textId="77777777" w:rsidR="00FF6E56" w:rsidRPr="00EC6A9A" w:rsidRDefault="00FF6E56" w:rsidP="0070603A">
            <w:pPr>
              <w:contextualSpacing/>
              <w:rPr>
                <w:rFonts w:ascii="Arial" w:hAnsi="Arial" w:cs="Arial"/>
                <w:sz w:val="20"/>
                <w:szCs w:val="20"/>
              </w:rPr>
            </w:pPr>
            <w:r w:rsidRPr="00EC6A9A">
              <w:rPr>
                <w:rFonts w:ascii="Arial" w:hAnsi="Arial" w:cs="Arial"/>
                <w:sz w:val="20"/>
                <w:szCs w:val="20"/>
              </w:rPr>
              <w:t>Potential value for money</w:t>
            </w:r>
          </w:p>
        </w:tc>
        <w:tc>
          <w:tcPr>
            <w:tcW w:w="680" w:type="pct"/>
          </w:tcPr>
          <w:p w14:paraId="7F0FA1B0" w14:textId="77777777" w:rsidR="00FF6E56" w:rsidRPr="00EC6A9A" w:rsidRDefault="00FF6E56" w:rsidP="0070603A">
            <w:pPr>
              <w:spacing w:before="100"/>
              <w:contextualSpacing/>
              <w:rPr>
                <w:rFonts w:ascii="Arial" w:hAnsi="Arial" w:cs="Arial"/>
                <w:sz w:val="20"/>
                <w:szCs w:val="20"/>
              </w:rPr>
            </w:pPr>
            <w:r w:rsidRPr="00EC6A9A">
              <w:rPr>
                <w:rFonts w:ascii="Arial" w:hAnsi="Arial" w:cs="Arial"/>
                <w:sz w:val="20"/>
                <w:szCs w:val="20"/>
              </w:rPr>
              <w:t>Future flexibility</w:t>
            </w:r>
          </w:p>
        </w:tc>
        <w:tc>
          <w:tcPr>
            <w:tcW w:w="3662" w:type="pct"/>
          </w:tcPr>
          <w:p w14:paraId="15BAE6F5" w14:textId="77777777" w:rsidR="00FF6E56" w:rsidRPr="00EC6A9A" w:rsidRDefault="00FF6E56" w:rsidP="0070603A">
            <w:pPr>
              <w:numPr>
                <w:ilvl w:val="0"/>
                <w:numId w:val="33"/>
              </w:numPr>
              <w:contextualSpacing/>
              <w:rPr>
                <w:rFonts w:ascii="Arial" w:hAnsi="Arial" w:cs="Arial"/>
                <w:sz w:val="20"/>
                <w:szCs w:val="20"/>
              </w:rPr>
            </w:pPr>
            <w:r w:rsidRPr="00EC6A9A">
              <w:rPr>
                <w:rFonts w:ascii="Arial" w:hAnsi="Arial" w:cs="Arial"/>
                <w:sz w:val="20"/>
                <w:szCs w:val="20"/>
              </w:rPr>
              <w:t>Provides a development opportunity of up to 40–45,000m² space with efficient floorplate</w:t>
            </w:r>
          </w:p>
          <w:p w14:paraId="3E3B0EF5" w14:textId="77777777" w:rsidR="00FF6E56" w:rsidRPr="00EC6A9A" w:rsidRDefault="00FF6E56" w:rsidP="0070603A">
            <w:pPr>
              <w:numPr>
                <w:ilvl w:val="0"/>
                <w:numId w:val="33"/>
              </w:numPr>
              <w:contextualSpacing/>
              <w:rPr>
                <w:rFonts w:ascii="Arial" w:hAnsi="Arial" w:cs="Arial"/>
                <w:sz w:val="20"/>
                <w:szCs w:val="20"/>
              </w:rPr>
            </w:pPr>
            <w:r w:rsidRPr="00EC6A9A">
              <w:rPr>
                <w:rFonts w:ascii="Arial" w:hAnsi="Arial" w:cs="Arial"/>
                <w:sz w:val="20"/>
                <w:szCs w:val="20"/>
              </w:rPr>
              <w:t>Ability to expand and contract space efficiently to suit changing demand</w:t>
            </w:r>
          </w:p>
          <w:p w14:paraId="7AB9B18E" w14:textId="77777777" w:rsidR="00FF6E56" w:rsidRPr="00EC6A9A" w:rsidRDefault="00FF6E56" w:rsidP="0070603A">
            <w:pPr>
              <w:numPr>
                <w:ilvl w:val="0"/>
                <w:numId w:val="33"/>
              </w:numPr>
              <w:contextualSpacing/>
              <w:rPr>
                <w:rFonts w:ascii="Arial" w:hAnsi="Arial" w:cs="Arial"/>
                <w:sz w:val="20"/>
                <w:szCs w:val="20"/>
              </w:rPr>
            </w:pPr>
            <w:r w:rsidRPr="00EC6A9A">
              <w:rPr>
                <w:rFonts w:ascii="Arial" w:hAnsi="Arial" w:cs="Arial"/>
                <w:sz w:val="20"/>
                <w:szCs w:val="20"/>
              </w:rPr>
              <w:t>Increases flexibility of facilities through modular design and construction standardisation</w:t>
            </w:r>
          </w:p>
        </w:tc>
      </w:tr>
      <w:tr w:rsidR="00FF6E56" w:rsidRPr="00EC6A9A" w14:paraId="0DF3F121" w14:textId="77777777" w:rsidTr="0070603A">
        <w:trPr>
          <w:trHeight w:val="572"/>
        </w:trPr>
        <w:tc>
          <w:tcPr>
            <w:tcW w:w="657" w:type="pct"/>
            <w:vMerge/>
          </w:tcPr>
          <w:p w14:paraId="0E432AE9" w14:textId="77777777" w:rsidR="00FF6E56" w:rsidRPr="00EC6A9A" w:rsidRDefault="00FF6E56" w:rsidP="0070603A">
            <w:pPr>
              <w:spacing w:after="0"/>
              <w:contextualSpacing/>
              <w:rPr>
                <w:rFonts w:ascii="Arial" w:hAnsi="Arial" w:cs="Arial"/>
                <w:sz w:val="20"/>
                <w:szCs w:val="20"/>
              </w:rPr>
            </w:pPr>
          </w:p>
        </w:tc>
        <w:tc>
          <w:tcPr>
            <w:tcW w:w="680" w:type="pct"/>
          </w:tcPr>
          <w:p w14:paraId="41D1EAAF" w14:textId="77777777" w:rsidR="00FF6E56" w:rsidRPr="00EC6A9A" w:rsidRDefault="00FF6E56" w:rsidP="0070603A">
            <w:pPr>
              <w:spacing w:before="100" w:after="0"/>
              <w:contextualSpacing/>
              <w:rPr>
                <w:rFonts w:ascii="Arial" w:hAnsi="Arial" w:cs="Arial"/>
                <w:sz w:val="20"/>
                <w:szCs w:val="20"/>
              </w:rPr>
            </w:pPr>
            <w:r w:rsidRPr="00EC6A9A">
              <w:rPr>
                <w:rFonts w:ascii="Arial" w:hAnsi="Arial" w:cs="Arial"/>
                <w:sz w:val="20"/>
                <w:szCs w:val="20"/>
              </w:rPr>
              <w:t>Economy and efficiency</w:t>
            </w:r>
          </w:p>
        </w:tc>
        <w:tc>
          <w:tcPr>
            <w:tcW w:w="3662" w:type="pct"/>
          </w:tcPr>
          <w:p w14:paraId="2D2524B3" w14:textId="77777777" w:rsidR="00FF6E56" w:rsidRPr="00EC6A9A" w:rsidRDefault="00FF6E56" w:rsidP="0070603A">
            <w:pPr>
              <w:pStyle w:val="ListParagraph"/>
              <w:numPr>
                <w:ilvl w:val="0"/>
                <w:numId w:val="133"/>
              </w:numPr>
              <w:spacing w:after="0"/>
              <w:rPr>
                <w:rFonts w:ascii="Arial" w:hAnsi="Arial" w:cs="Arial"/>
                <w:sz w:val="20"/>
                <w:szCs w:val="20"/>
              </w:rPr>
            </w:pPr>
            <w:r w:rsidRPr="00EC6A9A">
              <w:rPr>
                <w:rFonts w:ascii="Arial" w:hAnsi="Arial" w:cs="Arial"/>
                <w:sz w:val="20"/>
                <w:szCs w:val="20"/>
              </w:rPr>
              <w:t>Improved adjacencies and integrated care models increase the flow of patients within clinical areas and enables better use of resources</w:t>
            </w:r>
          </w:p>
          <w:p w14:paraId="04FDBACD" w14:textId="77777777" w:rsidR="00FF6E56" w:rsidRPr="00EC6A9A" w:rsidRDefault="00FF6E56" w:rsidP="0070603A">
            <w:pPr>
              <w:pStyle w:val="ListParagraph"/>
              <w:numPr>
                <w:ilvl w:val="0"/>
                <w:numId w:val="133"/>
              </w:numPr>
              <w:spacing w:after="0"/>
              <w:rPr>
                <w:rFonts w:ascii="Arial" w:hAnsi="Arial" w:cs="Arial"/>
                <w:sz w:val="20"/>
                <w:szCs w:val="20"/>
              </w:rPr>
            </w:pPr>
            <w:r w:rsidRPr="00EC6A9A">
              <w:rPr>
                <w:rFonts w:ascii="Arial" w:hAnsi="Arial" w:cs="Arial"/>
                <w:sz w:val="20"/>
                <w:szCs w:val="20"/>
              </w:rPr>
              <w:t>Enables greater use of technology to improve efficiency of services</w:t>
            </w:r>
          </w:p>
          <w:p w14:paraId="14F400CC" w14:textId="77777777" w:rsidR="00FF6E56" w:rsidRPr="00EC6A9A" w:rsidRDefault="00FF6E56" w:rsidP="0070603A">
            <w:pPr>
              <w:pStyle w:val="ListParagraph"/>
              <w:numPr>
                <w:ilvl w:val="0"/>
                <w:numId w:val="133"/>
              </w:numPr>
              <w:spacing w:after="0"/>
              <w:rPr>
                <w:rFonts w:ascii="Arial" w:hAnsi="Arial" w:cs="Arial"/>
                <w:sz w:val="20"/>
                <w:szCs w:val="20"/>
              </w:rPr>
            </w:pPr>
            <w:r w:rsidRPr="00EC6A9A">
              <w:rPr>
                <w:rFonts w:ascii="Arial" w:hAnsi="Arial" w:cs="Arial"/>
                <w:sz w:val="20"/>
                <w:szCs w:val="20"/>
              </w:rPr>
              <w:t>Enables collocation of activities to achieve economies of scale and scope</w:t>
            </w:r>
          </w:p>
          <w:p w14:paraId="6FCF6008" w14:textId="77777777" w:rsidR="00FF6E56" w:rsidRPr="00EC6A9A" w:rsidRDefault="00FF6E56" w:rsidP="0070603A">
            <w:pPr>
              <w:pStyle w:val="ListParagraph"/>
              <w:numPr>
                <w:ilvl w:val="0"/>
                <w:numId w:val="133"/>
              </w:numPr>
              <w:spacing w:after="0"/>
              <w:rPr>
                <w:rFonts w:ascii="Arial" w:hAnsi="Arial" w:cs="Arial"/>
                <w:sz w:val="20"/>
                <w:szCs w:val="20"/>
              </w:rPr>
            </w:pPr>
            <w:r w:rsidRPr="00EC6A9A">
              <w:rPr>
                <w:rFonts w:ascii="Arial" w:hAnsi="Arial" w:cs="Arial"/>
                <w:sz w:val="20"/>
                <w:szCs w:val="20"/>
              </w:rPr>
              <w:t>Lower running costs from efficient and environmentally sustainable premises</w:t>
            </w:r>
          </w:p>
          <w:p w14:paraId="01A40F84" w14:textId="77777777" w:rsidR="00FF6E56" w:rsidRPr="00EC6A9A" w:rsidRDefault="00FF6E56" w:rsidP="0070603A">
            <w:pPr>
              <w:pStyle w:val="ListParagraph"/>
              <w:numPr>
                <w:ilvl w:val="0"/>
                <w:numId w:val="133"/>
              </w:numPr>
              <w:spacing w:after="0"/>
              <w:rPr>
                <w:rFonts w:ascii="Arial" w:hAnsi="Arial" w:cs="Arial"/>
                <w:sz w:val="20"/>
                <w:szCs w:val="20"/>
              </w:rPr>
            </w:pPr>
            <w:r w:rsidRPr="00EC6A9A">
              <w:rPr>
                <w:rFonts w:ascii="Arial" w:hAnsi="Arial" w:cs="Arial"/>
                <w:sz w:val="20"/>
                <w:szCs w:val="20"/>
              </w:rPr>
              <w:t>Increases opportunities for potential alternative income sources for Oriel partners</w:t>
            </w:r>
          </w:p>
        </w:tc>
      </w:tr>
      <w:tr w:rsidR="00FF6E56" w:rsidRPr="00EC6A9A" w14:paraId="4B8701CA" w14:textId="77777777" w:rsidTr="0070603A">
        <w:trPr>
          <w:cantSplit/>
          <w:trHeight w:val="224"/>
        </w:trPr>
        <w:tc>
          <w:tcPr>
            <w:tcW w:w="657" w:type="pct"/>
          </w:tcPr>
          <w:p w14:paraId="62763EFA" w14:textId="77777777" w:rsidR="00FF6E56" w:rsidRPr="00EC6A9A" w:rsidRDefault="00FF6E56" w:rsidP="0070603A">
            <w:pPr>
              <w:spacing w:after="0"/>
              <w:contextualSpacing/>
              <w:rPr>
                <w:rFonts w:ascii="Arial" w:hAnsi="Arial" w:cs="Arial"/>
                <w:sz w:val="20"/>
                <w:szCs w:val="20"/>
              </w:rPr>
            </w:pPr>
            <w:r w:rsidRPr="00EC6A9A">
              <w:rPr>
                <w:rFonts w:ascii="Arial" w:hAnsi="Arial" w:cs="Arial"/>
                <w:sz w:val="20"/>
                <w:szCs w:val="20"/>
              </w:rPr>
              <w:t>Potential affordability</w:t>
            </w:r>
          </w:p>
        </w:tc>
        <w:tc>
          <w:tcPr>
            <w:tcW w:w="680" w:type="pct"/>
          </w:tcPr>
          <w:p w14:paraId="6D5AE6CE" w14:textId="77777777" w:rsidR="00FF6E56" w:rsidRPr="00EC6A9A" w:rsidRDefault="00FF6E56" w:rsidP="0070603A">
            <w:pPr>
              <w:spacing w:before="100" w:after="0"/>
              <w:contextualSpacing/>
              <w:rPr>
                <w:rFonts w:ascii="Arial" w:hAnsi="Arial" w:cs="Arial"/>
                <w:sz w:val="20"/>
                <w:szCs w:val="20"/>
              </w:rPr>
            </w:pPr>
            <w:r w:rsidRPr="00EC6A9A">
              <w:rPr>
                <w:rFonts w:ascii="Arial" w:hAnsi="Arial" w:cs="Arial"/>
                <w:sz w:val="20"/>
                <w:szCs w:val="20"/>
              </w:rPr>
              <w:t>Affordability</w:t>
            </w:r>
          </w:p>
        </w:tc>
        <w:tc>
          <w:tcPr>
            <w:tcW w:w="3662" w:type="pct"/>
          </w:tcPr>
          <w:p w14:paraId="5355573C" w14:textId="77777777" w:rsidR="00FF6E56" w:rsidRPr="00EC6A9A" w:rsidRDefault="00FF6E56" w:rsidP="0070603A">
            <w:pPr>
              <w:pStyle w:val="ListParagraph"/>
              <w:numPr>
                <w:ilvl w:val="0"/>
                <w:numId w:val="134"/>
              </w:numPr>
              <w:spacing w:after="0"/>
              <w:rPr>
                <w:rFonts w:ascii="Arial" w:hAnsi="Arial" w:cs="Arial"/>
                <w:sz w:val="20"/>
                <w:szCs w:val="20"/>
              </w:rPr>
            </w:pPr>
            <w:r w:rsidRPr="00EC6A9A">
              <w:rPr>
                <w:rFonts w:ascii="Arial" w:hAnsi="Arial" w:cs="Arial"/>
                <w:sz w:val="20"/>
                <w:szCs w:val="20"/>
              </w:rPr>
              <w:t>Capital available to achieve prescribed capacity and quality</w:t>
            </w:r>
          </w:p>
          <w:p w14:paraId="0C006FF1" w14:textId="77777777" w:rsidR="00FF6E56" w:rsidRPr="00EC6A9A" w:rsidRDefault="00FF6E56" w:rsidP="0070603A">
            <w:pPr>
              <w:pStyle w:val="ListParagraph"/>
              <w:numPr>
                <w:ilvl w:val="0"/>
                <w:numId w:val="134"/>
              </w:numPr>
              <w:spacing w:after="0"/>
              <w:rPr>
                <w:rFonts w:ascii="Arial" w:hAnsi="Arial" w:cs="Arial"/>
                <w:sz w:val="20"/>
                <w:szCs w:val="20"/>
              </w:rPr>
            </w:pPr>
            <w:r w:rsidRPr="00EC6A9A">
              <w:rPr>
                <w:rFonts w:ascii="Arial" w:hAnsi="Arial" w:cs="Arial"/>
                <w:sz w:val="20"/>
                <w:szCs w:val="20"/>
              </w:rPr>
              <w:t>One-off costs (excluding capital and receipts) to implement changes</w:t>
            </w:r>
          </w:p>
          <w:p w14:paraId="07D32D8C" w14:textId="77777777" w:rsidR="00FF6E56" w:rsidRPr="00EC6A9A" w:rsidRDefault="00FF6E56" w:rsidP="0070603A">
            <w:pPr>
              <w:pStyle w:val="ListParagraph"/>
              <w:numPr>
                <w:ilvl w:val="0"/>
                <w:numId w:val="134"/>
              </w:numPr>
              <w:spacing w:after="0"/>
              <w:rPr>
                <w:rFonts w:ascii="Arial" w:hAnsi="Arial" w:cs="Arial"/>
                <w:sz w:val="20"/>
                <w:szCs w:val="20"/>
              </w:rPr>
            </w:pPr>
            <w:r w:rsidRPr="00EC6A9A">
              <w:rPr>
                <w:rFonts w:ascii="Arial" w:hAnsi="Arial" w:cs="Arial"/>
                <w:sz w:val="20"/>
                <w:szCs w:val="20"/>
              </w:rPr>
              <w:t>Revenue expenditure requirement affordable within income</w:t>
            </w:r>
          </w:p>
        </w:tc>
      </w:tr>
      <w:tr w:rsidR="00FF6E56" w:rsidRPr="00EC6A9A" w14:paraId="57A5909E" w14:textId="77777777" w:rsidTr="0070603A">
        <w:trPr>
          <w:cantSplit/>
        </w:trPr>
        <w:tc>
          <w:tcPr>
            <w:tcW w:w="657" w:type="pct"/>
          </w:tcPr>
          <w:p w14:paraId="155C897D" w14:textId="77777777" w:rsidR="00FF6E56" w:rsidRPr="00EC6A9A" w:rsidRDefault="00FF6E56" w:rsidP="0070603A">
            <w:pPr>
              <w:spacing w:after="0"/>
              <w:contextualSpacing/>
              <w:rPr>
                <w:rFonts w:ascii="Arial" w:hAnsi="Arial" w:cs="Arial"/>
                <w:sz w:val="20"/>
                <w:szCs w:val="20"/>
              </w:rPr>
            </w:pPr>
            <w:r w:rsidRPr="00EC6A9A">
              <w:rPr>
                <w:rFonts w:ascii="Arial" w:hAnsi="Arial" w:cs="Arial"/>
                <w:sz w:val="20"/>
                <w:szCs w:val="20"/>
              </w:rPr>
              <w:t>Potential achievability</w:t>
            </w:r>
          </w:p>
        </w:tc>
        <w:tc>
          <w:tcPr>
            <w:tcW w:w="680" w:type="pct"/>
          </w:tcPr>
          <w:p w14:paraId="1A13317E" w14:textId="77777777" w:rsidR="00FF6E56" w:rsidRPr="00EC6A9A" w:rsidRDefault="00FF6E56" w:rsidP="0070603A">
            <w:pPr>
              <w:spacing w:before="100" w:after="0"/>
              <w:contextualSpacing/>
              <w:rPr>
                <w:rFonts w:ascii="Arial" w:hAnsi="Arial" w:cs="Arial"/>
                <w:sz w:val="20"/>
                <w:szCs w:val="20"/>
              </w:rPr>
            </w:pPr>
            <w:r w:rsidRPr="00EC6A9A">
              <w:rPr>
                <w:rFonts w:ascii="Arial" w:hAnsi="Arial" w:cs="Arial"/>
                <w:sz w:val="20"/>
                <w:szCs w:val="20"/>
              </w:rPr>
              <w:t>Deliverability</w:t>
            </w:r>
          </w:p>
        </w:tc>
        <w:tc>
          <w:tcPr>
            <w:tcW w:w="3662" w:type="pct"/>
          </w:tcPr>
          <w:p w14:paraId="6D5E6146" w14:textId="77777777" w:rsidR="00FF6E56" w:rsidRPr="00EC6A9A" w:rsidRDefault="00FF6E56" w:rsidP="0070603A">
            <w:pPr>
              <w:pStyle w:val="ListParagraph"/>
              <w:numPr>
                <w:ilvl w:val="0"/>
                <w:numId w:val="134"/>
              </w:numPr>
              <w:spacing w:after="0"/>
              <w:rPr>
                <w:rFonts w:ascii="Arial" w:hAnsi="Arial" w:cs="Arial"/>
                <w:sz w:val="20"/>
                <w:szCs w:val="20"/>
              </w:rPr>
            </w:pPr>
            <w:r w:rsidRPr="00EC6A9A">
              <w:rPr>
                <w:rFonts w:ascii="Arial" w:hAnsi="Arial" w:cs="Arial"/>
                <w:sz w:val="20"/>
                <w:szCs w:val="20"/>
              </w:rPr>
              <w:t xml:space="preserve">Can be delivered and made operational by 2025/26, while maintaining current services </w:t>
            </w:r>
          </w:p>
          <w:p w14:paraId="58C6A49A" w14:textId="77777777" w:rsidR="00FF6E56" w:rsidRPr="00EC6A9A" w:rsidRDefault="00FF6E56" w:rsidP="0070603A">
            <w:pPr>
              <w:pStyle w:val="ListParagraph"/>
              <w:numPr>
                <w:ilvl w:val="0"/>
                <w:numId w:val="134"/>
              </w:numPr>
              <w:spacing w:after="0"/>
              <w:rPr>
                <w:rFonts w:ascii="Arial" w:hAnsi="Arial" w:cs="Arial"/>
                <w:sz w:val="20"/>
                <w:szCs w:val="20"/>
              </w:rPr>
            </w:pPr>
            <w:r w:rsidRPr="00EC6A9A">
              <w:rPr>
                <w:rFonts w:ascii="Arial" w:hAnsi="Arial" w:cs="Arial"/>
                <w:sz w:val="20"/>
                <w:szCs w:val="20"/>
              </w:rPr>
              <w:t>Acceptable to stakeholders</w:t>
            </w:r>
          </w:p>
        </w:tc>
      </w:tr>
    </w:tbl>
    <w:p w14:paraId="05A9F417" w14:textId="77777777" w:rsidR="00FF6E56" w:rsidRPr="00587DF1" w:rsidRDefault="00FF6E56" w:rsidP="00FF6E56">
      <w:pPr>
        <w:pBdr>
          <w:top w:val="nil"/>
          <w:left w:val="nil"/>
          <w:bottom w:val="nil"/>
          <w:right w:val="nil"/>
          <w:between w:val="nil"/>
        </w:pBdr>
        <w:tabs>
          <w:tab w:val="left" w:pos="567"/>
        </w:tabs>
        <w:rPr>
          <w:rFonts w:ascii="Arial" w:eastAsia="Arial" w:hAnsi="Arial" w:cs="Arial"/>
          <w:bCs/>
          <w:color w:val="000000"/>
        </w:rPr>
      </w:pPr>
    </w:p>
    <w:p w14:paraId="6405BF0A" w14:textId="77777777" w:rsidR="00FF6E56" w:rsidRPr="00587DF1" w:rsidRDefault="00FF6E56" w:rsidP="00FF6E56">
      <w:pPr>
        <w:pStyle w:val="Heading2"/>
        <w:numPr>
          <w:ilvl w:val="1"/>
          <w:numId w:val="1"/>
        </w:numPr>
        <w:rPr>
          <w:rFonts w:ascii="Arial" w:eastAsia="Arial" w:hAnsi="Arial" w:cs="Arial"/>
        </w:rPr>
      </w:pPr>
      <w:bookmarkStart w:id="181" w:name="_Toc413331335"/>
      <w:bookmarkStart w:id="182" w:name="_Toc409771204"/>
      <w:bookmarkStart w:id="183" w:name="_Ref30415186"/>
      <w:bookmarkStart w:id="184" w:name="_Toc32842708"/>
      <w:r w:rsidRPr="00587DF1">
        <w:rPr>
          <w:rFonts w:ascii="Arial" w:eastAsia="Arial" w:hAnsi="Arial" w:cs="Arial"/>
        </w:rPr>
        <w:t>Long list of options</w:t>
      </w:r>
      <w:bookmarkEnd w:id="181"/>
      <w:bookmarkEnd w:id="182"/>
      <w:bookmarkEnd w:id="183"/>
      <w:bookmarkEnd w:id="184"/>
    </w:p>
    <w:p w14:paraId="4B7ED4AC" w14:textId="77777777" w:rsidR="00FF6E56" w:rsidRDefault="00FF6E56" w:rsidP="00FF6E56">
      <w:pPr>
        <w:pBdr>
          <w:top w:val="nil"/>
          <w:left w:val="nil"/>
          <w:bottom w:val="nil"/>
          <w:right w:val="nil"/>
          <w:between w:val="nil"/>
        </w:pBdr>
        <w:tabs>
          <w:tab w:val="left" w:pos="567"/>
        </w:tabs>
        <w:spacing w:after="0"/>
        <w:rPr>
          <w:rFonts w:ascii="Arial" w:eastAsia="Arial" w:hAnsi="Arial" w:cs="Arial"/>
          <w:bCs/>
          <w:color w:val="000000"/>
        </w:rPr>
      </w:pPr>
    </w:p>
    <w:p w14:paraId="5BB1B5DB" w14:textId="11805865" w:rsidR="00FF6E56" w:rsidRPr="00A40BA5" w:rsidRDefault="00FF6E56" w:rsidP="00FF6E56">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The long list of options was generated in accordance with the requirements of HM Treasury’s Green Book</w:t>
      </w:r>
      <w:r>
        <w:rPr>
          <w:rStyle w:val="FootnoteReference"/>
          <w:rFonts w:ascii="Arial" w:eastAsia="Arial" w:hAnsi="Arial" w:cs="Arial"/>
          <w:bCs/>
          <w:color w:val="000000"/>
        </w:rPr>
        <w:footnoteReference w:id="14"/>
      </w:r>
      <w:r>
        <w:rPr>
          <w:rFonts w:ascii="Arial" w:eastAsia="Arial" w:hAnsi="Arial" w:cs="Arial"/>
          <w:bCs/>
          <w:color w:val="000000"/>
        </w:rPr>
        <w:t xml:space="preserve">. </w:t>
      </w:r>
      <w:r w:rsidRPr="00587DF1">
        <w:rPr>
          <w:rFonts w:ascii="Arial" w:eastAsia="Arial" w:hAnsi="Arial" w:cs="Arial"/>
          <w:bCs/>
          <w:color w:val="000000"/>
        </w:rPr>
        <w:t xml:space="preserve">Options were generated using the options framework, which systematically works through the available choices for what, how, who, when and funding. The five dimensions of the options </w:t>
      </w:r>
      <w:r w:rsidRPr="00A40BA5">
        <w:rPr>
          <w:rFonts w:ascii="Arial" w:eastAsia="Arial" w:hAnsi="Arial" w:cs="Arial"/>
          <w:bCs/>
          <w:color w:val="000000"/>
        </w:rPr>
        <w:t xml:space="preserve">framework are shown in </w:t>
      </w:r>
      <w:r w:rsidRPr="00A40BA5">
        <w:rPr>
          <w:rFonts w:ascii="Arial" w:eastAsia="Arial" w:hAnsi="Arial" w:cs="Arial"/>
          <w:bCs/>
          <w:color w:val="000000"/>
        </w:rPr>
        <w:fldChar w:fldCharType="begin"/>
      </w:r>
      <w:r w:rsidRPr="00A40BA5">
        <w:rPr>
          <w:rFonts w:ascii="Arial" w:eastAsia="Arial" w:hAnsi="Arial" w:cs="Arial"/>
          <w:bCs/>
          <w:color w:val="000000"/>
        </w:rPr>
        <w:instrText xml:space="preserve"> REF _Ref30420381 \h </w:instrText>
      </w:r>
      <w:r>
        <w:rPr>
          <w:rFonts w:ascii="Arial" w:eastAsia="Arial" w:hAnsi="Arial" w:cs="Arial"/>
          <w:bCs/>
          <w:color w:val="000000"/>
        </w:rPr>
        <w:instrText xml:space="preserve"> \* MERGEFORMAT </w:instrText>
      </w:r>
      <w:r w:rsidRPr="00A40BA5">
        <w:rPr>
          <w:rFonts w:ascii="Arial" w:eastAsia="Arial" w:hAnsi="Arial" w:cs="Arial"/>
          <w:bCs/>
          <w:color w:val="000000"/>
        </w:rPr>
      </w:r>
      <w:r w:rsidRPr="00A40BA5">
        <w:rPr>
          <w:rFonts w:ascii="Arial" w:eastAsia="Arial" w:hAnsi="Arial" w:cs="Arial"/>
          <w:bCs/>
          <w:color w:val="000000"/>
        </w:rPr>
        <w:fldChar w:fldCharType="separate"/>
      </w:r>
      <w:r w:rsidR="00A936CD" w:rsidRPr="00A936CD">
        <w:rPr>
          <w:rFonts w:ascii="Arial" w:hAnsi="Arial" w:cs="Arial"/>
        </w:rPr>
        <w:t xml:space="preserve">Table </w:t>
      </w:r>
      <w:r w:rsidR="00A936CD" w:rsidRPr="00A936CD">
        <w:rPr>
          <w:rFonts w:ascii="Arial" w:hAnsi="Arial" w:cs="Arial"/>
          <w:noProof/>
        </w:rPr>
        <w:t>15</w:t>
      </w:r>
      <w:r w:rsidRPr="00A40BA5">
        <w:rPr>
          <w:rFonts w:ascii="Arial" w:eastAsia="Arial" w:hAnsi="Arial" w:cs="Arial"/>
          <w:bCs/>
          <w:color w:val="000000"/>
        </w:rPr>
        <w:fldChar w:fldCharType="end"/>
      </w:r>
      <w:r w:rsidRPr="00A40BA5">
        <w:rPr>
          <w:rFonts w:ascii="Arial" w:eastAsia="Arial" w:hAnsi="Arial" w:cs="Arial"/>
          <w:bCs/>
          <w:color w:val="000000"/>
        </w:rPr>
        <w:t>.</w:t>
      </w:r>
    </w:p>
    <w:p w14:paraId="4B9A7790" w14:textId="18542ED9" w:rsidR="00FF6E56" w:rsidRPr="00A40BA5" w:rsidRDefault="00FF6E56" w:rsidP="00FF6E56">
      <w:pPr>
        <w:pStyle w:val="Caption"/>
        <w:rPr>
          <w:b w:val="0"/>
          <w:bCs w:val="0"/>
        </w:rPr>
      </w:pPr>
      <w:bookmarkStart w:id="185" w:name="_Ref30420381"/>
      <w:r>
        <w:t xml:space="preserve">Table </w:t>
      </w:r>
      <w:r>
        <w:fldChar w:fldCharType="begin"/>
      </w:r>
      <w:r>
        <w:instrText xml:space="preserve"> SEQ Table \* ARABIC </w:instrText>
      </w:r>
      <w:r>
        <w:fldChar w:fldCharType="separate"/>
      </w:r>
      <w:r w:rsidR="00A936CD">
        <w:rPr>
          <w:noProof/>
        </w:rPr>
        <w:t>15</w:t>
      </w:r>
      <w:r>
        <w:fldChar w:fldCharType="end"/>
      </w:r>
      <w:bookmarkEnd w:id="185"/>
      <w:r>
        <w:t xml:space="preserve">: </w:t>
      </w:r>
      <w:r w:rsidRPr="00A40BA5">
        <w:rPr>
          <w:b w:val="0"/>
          <w:bCs w:val="0"/>
        </w:rPr>
        <w:t>Overview of the options framework</w:t>
      </w:r>
    </w:p>
    <w:tbl>
      <w:tblPr>
        <w:tblW w:w="0" w:type="auto"/>
        <w:tblLook w:val="04A0" w:firstRow="1" w:lastRow="0" w:firstColumn="1" w:lastColumn="0" w:noHBand="0" w:noVBand="1"/>
      </w:tblPr>
      <w:tblGrid>
        <w:gridCol w:w="2121"/>
        <w:gridCol w:w="6895"/>
      </w:tblGrid>
      <w:tr w:rsidR="00FF6E56" w:rsidRPr="00A40BA5" w14:paraId="005DB7F5" w14:textId="77777777" w:rsidTr="0070603A">
        <w:tc>
          <w:tcPr>
            <w:tcW w:w="0" w:type="auto"/>
            <w:tcBorders>
              <w:top w:val="single" w:sz="4" w:space="0" w:color="auto"/>
              <w:left w:val="single" w:sz="4" w:space="0" w:color="auto"/>
              <w:bottom w:val="single" w:sz="4" w:space="0" w:color="auto"/>
              <w:right w:val="single" w:sz="4" w:space="0" w:color="auto"/>
            </w:tcBorders>
            <w:shd w:val="clear" w:color="auto" w:fill="4F81BD"/>
            <w:vAlign w:val="center"/>
          </w:tcPr>
          <w:p w14:paraId="7FE9A374" w14:textId="77777777" w:rsidR="00FF6E56" w:rsidRPr="00A40BA5" w:rsidRDefault="00FF6E56" w:rsidP="0070603A">
            <w:pPr>
              <w:pStyle w:val="ListParagraph"/>
              <w:spacing w:after="0"/>
              <w:ind w:left="426" w:hanging="360"/>
              <w:rPr>
                <w:rFonts w:ascii="Arial" w:hAnsi="Arial" w:cs="Arial"/>
                <w:b/>
                <w:bCs/>
                <w:color w:val="FFFFFF" w:themeColor="background1"/>
                <w:sz w:val="20"/>
                <w:szCs w:val="20"/>
              </w:rPr>
            </w:pPr>
            <w:r w:rsidRPr="00A40BA5">
              <w:rPr>
                <w:rFonts w:ascii="Arial" w:hAnsi="Arial" w:cs="Arial"/>
                <w:b/>
                <w:bCs/>
                <w:color w:val="FFFFFF" w:themeColor="background1"/>
                <w:sz w:val="20"/>
                <w:szCs w:val="20"/>
              </w:rPr>
              <w:t>Dimension</w:t>
            </w:r>
          </w:p>
        </w:tc>
        <w:tc>
          <w:tcPr>
            <w:tcW w:w="0" w:type="auto"/>
            <w:tcBorders>
              <w:top w:val="single" w:sz="4" w:space="0" w:color="auto"/>
              <w:left w:val="single" w:sz="4" w:space="0" w:color="auto"/>
              <w:bottom w:val="single" w:sz="4" w:space="0" w:color="auto"/>
              <w:right w:val="single" w:sz="4" w:space="0" w:color="auto"/>
            </w:tcBorders>
            <w:shd w:val="clear" w:color="auto" w:fill="4F81BD"/>
            <w:vAlign w:val="center"/>
          </w:tcPr>
          <w:p w14:paraId="413098AB" w14:textId="77777777" w:rsidR="00FF6E56" w:rsidRPr="00A40BA5" w:rsidRDefault="00FF6E56" w:rsidP="0070603A">
            <w:pPr>
              <w:spacing w:after="0"/>
              <w:rPr>
                <w:rFonts w:ascii="Arial" w:hAnsi="Arial" w:cs="Arial"/>
                <w:b/>
                <w:bCs/>
                <w:color w:val="FFFFFF" w:themeColor="background1"/>
                <w:sz w:val="20"/>
                <w:szCs w:val="20"/>
              </w:rPr>
            </w:pPr>
            <w:r w:rsidRPr="00A40BA5">
              <w:rPr>
                <w:rFonts w:ascii="Arial" w:hAnsi="Arial" w:cs="Arial"/>
                <w:b/>
                <w:bCs/>
                <w:color w:val="FFFFFF" w:themeColor="background1"/>
                <w:sz w:val="20"/>
                <w:szCs w:val="20"/>
              </w:rPr>
              <w:t>Description</w:t>
            </w:r>
          </w:p>
        </w:tc>
      </w:tr>
      <w:tr w:rsidR="00FF6E56" w:rsidRPr="00B72F95" w14:paraId="7D97C738" w14:textId="77777777" w:rsidTr="007060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14:paraId="2666F1B2" w14:textId="77777777" w:rsidR="00FF6E56" w:rsidRPr="00A40BA5" w:rsidRDefault="00FF6E56" w:rsidP="0070603A">
            <w:pPr>
              <w:pStyle w:val="ListParagraph"/>
              <w:numPr>
                <w:ilvl w:val="0"/>
                <w:numId w:val="48"/>
              </w:numPr>
              <w:spacing w:before="100" w:after="100"/>
              <w:ind w:left="426"/>
              <w:rPr>
                <w:rFonts w:ascii="Arial" w:hAnsi="Arial" w:cs="Arial"/>
                <w:sz w:val="20"/>
                <w:szCs w:val="20"/>
              </w:rPr>
            </w:pPr>
            <w:r w:rsidRPr="00A40BA5">
              <w:rPr>
                <w:rFonts w:ascii="Arial" w:hAnsi="Arial" w:cs="Arial"/>
                <w:sz w:val="20"/>
                <w:szCs w:val="20"/>
              </w:rPr>
              <w:t>Scoping options</w:t>
            </w:r>
          </w:p>
        </w:tc>
        <w:tc>
          <w:tcPr>
            <w:tcW w:w="0" w:type="auto"/>
          </w:tcPr>
          <w:p w14:paraId="5652FC47" w14:textId="77777777" w:rsidR="00FF6E56" w:rsidRPr="00A40BA5" w:rsidRDefault="00FF6E56" w:rsidP="0070603A">
            <w:pPr>
              <w:spacing w:before="100" w:after="100"/>
              <w:rPr>
                <w:rFonts w:ascii="Arial" w:hAnsi="Arial" w:cs="Arial"/>
                <w:sz w:val="20"/>
                <w:szCs w:val="20"/>
              </w:rPr>
            </w:pPr>
            <w:r w:rsidRPr="00A40BA5">
              <w:rPr>
                <w:rFonts w:ascii="Arial" w:hAnsi="Arial" w:cs="Arial"/>
                <w:sz w:val="20"/>
                <w:szCs w:val="20"/>
              </w:rPr>
              <w:t>Choices in terms of coverage (the what)</w:t>
            </w:r>
          </w:p>
          <w:p w14:paraId="48A50403" w14:textId="77777777" w:rsidR="00FF6E56" w:rsidRPr="00A40BA5" w:rsidRDefault="00FF6E56" w:rsidP="0070603A">
            <w:pPr>
              <w:spacing w:before="100" w:after="100"/>
              <w:rPr>
                <w:rFonts w:ascii="Arial" w:hAnsi="Arial" w:cs="Arial"/>
                <w:sz w:val="20"/>
                <w:szCs w:val="20"/>
              </w:rPr>
            </w:pPr>
            <w:r w:rsidRPr="00A40BA5">
              <w:rPr>
                <w:rFonts w:ascii="Arial" w:hAnsi="Arial" w:cs="Arial"/>
                <w:sz w:val="20"/>
                <w:szCs w:val="20"/>
              </w:rPr>
              <w:t xml:space="preserve">The choices for potential scope are driven by business needs and the strategic objectives at national, regional and local levels. In practice, these </w:t>
            </w:r>
            <w:r w:rsidRPr="00A40BA5">
              <w:rPr>
                <w:rFonts w:ascii="Arial" w:hAnsi="Arial" w:cs="Arial"/>
                <w:sz w:val="20"/>
                <w:szCs w:val="20"/>
              </w:rPr>
              <w:lastRenderedPageBreak/>
              <w:t xml:space="preserve">may range from service scope to geographical, organisational and patient coverage. Key considerations at this stage are ‘what’s in?’ ‘what’s out?’ and service needs. </w:t>
            </w:r>
          </w:p>
        </w:tc>
      </w:tr>
      <w:tr w:rsidR="00FF6E56" w:rsidRPr="00B72F95" w14:paraId="25EC11C8" w14:textId="77777777" w:rsidTr="007060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14:paraId="42C2B145" w14:textId="77777777" w:rsidR="00FF6E56" w:rsidRPr="00A40BA5" w:rsidRDefault="00FF6E56" w:rsidP="0070603A">
            <w:pPr>
              <w:pStyle w:val="ListParagraph"/>
              <w:numPr>
                <w:ilvl w:val="0"/>
                <w:numId w:val="48"/>
              </w:numPr>
              <w:spacing w:before="100" w:after="100"/>
              <w:ind w:left="426"/>
              <w:rPr>
                <w:rFonts w:ascii="Arial" w:hAnsi="Arial" w:cs="Arial"/>
                <w:sz w:val="20"/>
                <w:szCs w:val="20"/>
              </w:rPr>
            </w:pPr>
            <w:r w:rsidRPr="00A40BA5">
              <w:rPr>
                <w:rFonts w:ascii="Arial" w:hAnsi="Arial" w:cs="Arial"/>
                <w:sz w:val="20"/>
                <w:szCs w:val="20"/>
              </w:rPr>
              <w:lastRenderedPageBreak/>
              <w:t>Service solution options</w:t>
            </w:r>
          </w:p>
        </w:tc>
        <w:tc>
          <w:tcPr>
            <w:tcW w:w="0" w:type="auto"/>
          </w:tcPr>
          <w:p w14:paraId="42177CB5" w14:textId="77777777" w:rsidR="00FF6E56" w:rsidRPr="00A40BA5" w:rsidRDefault="00FF6E56" w:rsidP="0070603A">
            <w:pPr>
              <w:spacing w:before="100" w:after="100"/>
              <w:rPr>
                <w:rFonts w:ascii="Arial" w:hAnsi="Arial" w:cs="Arial"/>
                <w:sz w:val="20"/>
                <w:szCs w:val="20"/>
              </w:rPr>
            </w:pPr>
            <w:r w:rsidRPr="00A40BA5">
              <w:rPr>
                <w:rFonts w:ascii="Arial" w:hAnsi="Arial" w:cs="Arial"/>
                <w:sz w:val="20"/>
                <w:szCs w:val="20"/>
              </w:rPr>
              <w:t>Choices in terms of solution (the how)</w:t>
            </w:r>
          </w:p>
          <w:p w14:paraId="1A180106" w14:textId="77777777" w:rsidR="00FF6E56" w:rsidRPr="00A40BA5" w:rsidRDefault="00FF6E56" w:rsidP="0070603A">
            <w:pPr>
              <w:spacing w:before="100" w:after="100"/>
              <w:rPr>
                <w:rFonts w:ascii="Arial" w:hAnsi="Arial" w:cs="Arial"/>
                <w:sz w:val="20"/>
                <w:szCs w:val="20"/>
              </w:rPr>
            </w:pPr>
            <w:r w:rsidRPr="00A40BA5">
              <w:rPr>
                <w:rFonts w:ascii="Arial" w:hAnsi="Arial" w:cs="Arial"/>
                <w:sz w:val="20"/>
                <w:szCs w:val="20"/>
              </w:rPr>
              <w:t>The choices for potential solution are driven by new technologies, new services and new approaches, and new ways of working, including business process re-engineering. In practice, these will range from services to how the estate of an organisation might be configured. Key considerations range from ‘what ways are there to do it?’ to ‘what processes could we use?’</w:t>
            </w:r>
          </w:p>
        </w:tc>
      </w:tr>
      <w:tr w:rsidR="00FF6E56" w:rsidRPr="00B72F95" w14:paraId="4EA9B14D" w14:textId="77777777" w:rsidTr="007060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14:paraId="6C72EDE2" w14:textId="77777777" w:rsidR="00FF6E56" w:rsidRPr="00A40BA5" w:rsidRDefault="00FF6E56" w:rsidP="0070603A">
            <w:pPr>
              <w:pStyle w:val="ListParagraph"/>
              <w:numPr>
                <w:ilvl w:val="0"/>
                <w:numId w:val="48"/>
              </w:numPr>
              <w:spacing w:before="100" w:after="100"/>
              <w:ind w:left="426"/>
              <w:rPr>
                <w:rFonts w:ascii="Arial" w:hAnsi="Arial" w:cs="Arial"/>
                <w:sz w:val="20"/>
                <w:szCs w:val="20"/>
              </w:rPr>
            </w:pPr>
            <w:r w:rsidRPr="00A40BA5">
              <w:rPr>
                <w:rFonts w:ascii="Arial" w:hAnsi="Arial" w:cs="Arial"/>
                <w:sz w:val="20"/>
                <w:szCs w:val="20"/>
              </w:rPr>
              <w:t>Service delivery options</w:t>
            </w:r>
          </w:p>
        </w:tc>
        <w:tc>
          <w:tcPr>
            <w:tcW w:w="0" w:type="auto"/>
          </w:tcPr>
          <w:p w14:paraId="101CFB34" w14:textId="77777777" w:rsidR="00FF6E56" w:rsidRPr="00A40BA5" w:rsidRDefault="00FF6E56" w:rsidP="0070603A">
            <w:pPr>
              <w:spacing w:before="100" w:after="100"/>
              <w:rPr>
                <w:rFonts w:ascii="Arial" w:hAnsi="Arial" w:cs="Arial"/>
                <w:sz w:val="20"/>
                <w:szCs w:val="20"/>
              </w:rPr>
            </w:pPr>
            <w:r w:rsidRPr="00A40BA5">
              <w:rPr>
                <w:rFonts w:ascii="Arial" w:hAnsi="Arial" w:cs="Arial"/>
                <w:sz w:val="20"/>
                <w:szCs w:val="20"/>
              </w:rPr>
              <w:t>Choices in terms of delivery (the who)</w:t>
            </w:r>
          </w:p>
          <w:p w14:paraId="42DDB65C" w14:textId="77777777" w:rsidR="00FF6E56" w:rsidRPr="00A40BA5" w:rsidRDefault="00FF6E56" w:rsidP="0070603A">
            <w:pPr>
              <w:spacing w:before="100" w:after="100"/>
              <w:rPr>
                <w:rFonts w:ascii="Arial" w:hAnsi="Arial" w:cs="Arial"/>
                <w:sz w:val="20"/>
                <w:szCs w:val="20"/>
              </w:rPr>
            </w:pPr>
            <w:r w:rsidRPr="00A40BA5">
              <w:rPr>
                <w:rFonts w:ascii="Arial" w:hAnsi="Arial" w:cs="Arial"/>
                <w:sz w:val="20"/>
                <w:szCs w:val="20"/>
              </w:rPr>
              <w:t xml:space="preserve">The choices for service delivery are driven by the availability of service providers. In practice, these will range from within the organisation (in-house), to outsourcing, to use of the public sector as opposed to the private sector, or some combination of each category. The use of some form of public private sector partnership (PPP) is also relevant here. </w:t>
            </w:r>
          </w:p>
        </w:tc>
      </w:tr>
      <w:tr w:rsidR="00FF6E56" w:rsidRPr="00B72F95" w14:paraId="33B9D9CD" w14:textId="77777777" w:rsidTr="007060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14:paraId="5F03B48E" w14:textId="77777777" w:rsidR="00FF6E56" w:rsidRPr="00A40BA5" w:rsidRDefault="00FF6E56" w:rsidP="0070603A">
            <w:pPr>
              <w:pStyle w:val="ListParagraph"/>
              <w:numPr>
                <w:ilvl w:val="0"/>
                <w:numId w:val="48"/>
              </w:numPr>
              <w:spacing w:before="100" w:after="100"/>
              <w:ind w:left="426"/>
              <w:rPr>
                <w:rFonts w:ascii="Arial" w:hAnsi="Arial" w:cs="Arial"/>
                <w:sz w:val="20"/>
                <w:szCs w:val="20"/>
              </w:rPr>
            </w:pPr>
            <w:r w:rsidRPr="00A40BA5">
              <w:rPr>
                <w:rFonts w:ascii="Arial" w:hAnsi="Arial" w:cs="Arial"/>
                <w:sz w:val="20"/>
                <w:szCs w:val="20"/>
              </w:rPr>
              <w:t>Implementation options</w:t>
            </w:r>
          </w:p>
        </w:tc>
        <w:tc>
          <w:tcPr>
            <w:tcW w:w="0" w:type="auto"/>
          </w:tcPr>
          <w:p w14:paraId="2C32A6C5" w14:textId="77777777" w:rsidR="00FF6E56" w:rsidRPr="00A40BA5" w:rsidRDefault="00FF6E56" w:rsidP="0070603A">
            <w:pPr>
              <w:spacing w:before="100" w:after="100"/>
              <w:rPr>
                <w:rFonts w:ascii="Arial" w:hAnsi="Arial" w:cs="Arial"/>
                <w:sz w:val="20"/>
                <w:szCs w:val="20"/>
              </w:rPr>
            </w:pPr>
            <w:r w:rsidRPr="00A40BA5">
              <w:rPr>
                <w:rFonts w:ascii="Arial" w:hAnsi="Arial" w:cs="Arial"/>
                <w:sz w:val="20"/>
                <w:szCs w:val="20"/>
              </w:rPr>
              <w:t>Choices in terms of the delivery timescale (the when)</w:t>
            </w:r>
          </w:p>
          <w:p w14:paraId="2E349EB9" w14:textId="77777777" w:rsidR="00FF6E56" w:rsidRPr="00A40BA5" w:rsidRDefault="00FF6E56" w:rsidP="0070603A">
            <w:pPr>
              <w:spacing w:before="100" w:after="100"/>
              <w:rPr>
                <w:rFonts w:ascii="Arial" w:hAnsi="Arial" w:cs="Arial"/>
                <w:sz w:val="20"/>
                <w:szCs w:val="20"/>
              </w:rPr>
            </w:pPr>
            <w:r w:rsidRPr="00A40BA5">
              <w:rPr>
                <w:rFonts w:ascii="Arial" w:hAnsi="Arial" w:cs="Arial"/>
                <w:sz w:val="20"/>
                <w:szCs w:val="20"/>
              </w:rPr>
              <w:t>The choices for implementation are driven by the ability of the supply side to produce the required products and services, value for money, affordability and service need. In practice, these will range from the phasing of the solution over time, to the modular, incremental introduction of services.</w:t>
            </w:r>
          </w:p>
        </w:tc>
      </w:tr>
      <w:tr w:rsidR="00FF6E56" w:rsidRPr="00B72F95" w14:paraId="29DDA4A0" w14:textId="77777777" w:rsidTr="007060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Pr>
          <w:p w14:paraId="7BE568F5" w14:textId="77777777" w:rsidR="00FF6E56" w:rsidRPr="00A40BA5" w:rsidRDefault="00FF6E56" w:rsidP="0070603A">
            <w:pPr>
              <w:pStyle w:val="ListParagraph"/>
              <w:numPr>
                <w:ilvl w:val="0"/>
                <w:numId w:val="48"/>
              </w:numPr>
              <w:spacing w:before="100" w:after="100"/>
              <w:ind w:left="426"/>
              <w:rPr>
                <w:rFonts w:ascii="Arial" w:hAnsi="Arial" w:cs="Arial"/>
                <w:sz w:val="20"/>
                <w:szCs w:val="20"/>
              </w:rPr>
            </w:pPr>
            <w:r w:rsidRPr="00A40BA5">
              <w:rPr>
                <w:rFonts w:ascii="Arial" w:hAnsi="Arial" w:cs="Arial"/>
                <w:sz w:val="20"/>
                <w:szCs w:val="20"/>
              </w:rPr>
              <w:t>Funding options</w:t>
            </w:r>
          </w:p>
        </w:tc>
        <w:tc>
          <w:tcPr>
            <w:tcW w:w="0" w:type="auto"/>
          </w:tcPr>
          <w:p w14:paraId="2AF876E4" w14:textId="77777777" w:rsidR="00FF6E56" w:rsidRPr="00A40BA5" w:rsidRDefault="00FF6E56" w:rsidP="0070603A">
            <w:pPr>
              <w:spacing w:before="100" w:after="100"/>
              <w:rPr>
                <w:rFonts w:ascii="Arial" w:hAnsi="Arial" w:cs="Arial"/>
                <w:sz w:val="20"/>
                <w:szCs w:val="20"/>
              </w:rPr>
            </w:pPr>
            <w:r w:rsidRPr="00A40BA5">
              <w:rPr>
                <w:rFonts w:ascii="Arial" w:hAnsi="Arial" w:cs="Arial"/>
                <w:sz w:val="20"/>
                <w:szCs w:val="20"/>
              </w:rPr>
              <w:t>Choices in terms of financing and funding</w:t>
            </w:r>
          </w:p>
          <w:p w14:paraId="18F5D449" w14:textId="77777777" w:rsidR="00FF6E56" w:rsidRPr="00A40BA5" w:rsidRDefault="00FF6E56" w:rsidP="0070603A">
            <w:pPr>
              <w:spacing w:before="100" w:after="100"/>
              <w:rPr>
                <w:rFonts w:ascii="Arial" w:hAnsi="Arial" w:cs="Arial"/>
                <w:sz w:val="20"/>
                <w:szCs w:val="20"/>
              </w:rPr>
            </w:pPr>
            <w:r w:rsidRPr="00A40BA5">
              <w:rPr>
                <w:rFonts w:ascii="Arial" w:hAnsi="Arial" w:cs="Arial"/>
                <w:sz w:val="20"/>
                <w:szCs w:val="20"/>
              </w:rPr>
              <w:t xml:space="preserve">The choices for financing the scheme (public versus private) and funding (central versus local) will be driven by the availability of capital and revenue, potential value for money, and the effectiveness or relevance/appropriateness of funding sources. </w:t>
            </w:r>
          </w:p>
        </w:tc>
      </w:tr>
    </w:tbl>
    <w:p w14:paraId="37015921" w14:textId="77777777" w:rsidR="00FF6E56" w:rsidRPr="00587DF1" w:rsidRDefault="00FF6E56" w:rsidP="00FF6E56">
      <w:pPr>
        <w:pBdr>
          <w:top w:val="nil"/>
          <w:left w:val="nil"/>
          <w:bottom w:val="nil"/>
          <w:right w:val="nil"/>
          <w:between w:val="nil"/>
        </w:pBdr>
        <w:tabs>
          <w:tab w:val="left" w:pos="567"/>
        </w:tabs>
        <w:rPr>
          <w:rFonts w:ascii="Arial" w:eastAsia="Arial" w:hAnsi="Arial" w:cs="Arial"/>
          <w:bCs/>
          <w:color w:val="000000"/>
          <w:highlight w:val="yellow"/>
        </w:rPr>
      </w:pPr>
    </w:p>
    <w:p w14:paraId="49C51A02" w14:textId="34232770" w:rsidR="00FF6E56" w:rsidRPr="00A40BA5" w:rsidRDefault="00FF6E56" w:rsidP="00FF6E56">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 xml:space="preserve">A binary pass/fail assessment of the options in each dimension was made against the CSFs. </w:t>
      </w:r>
      <w:r>
        <w:rPr>
          <w:rFonts w:ascii="Arial" w:eastAsia="Arial" w:hAnsi="Arial" w:cs="Arial"/>
          <w:bCs/>
          <w:color w:val="000000"/>
        </w:rPr>
        <w:t>O</w:t>
      </w:r>
      <w:r w:rsidRPr="00587DF1">
        <w:rPr>
          <w:rFonts w:ascii="Arial" w:eastAsia="Arial" w:hAnsi="Arial" w:cs="Arial"/>
          <w:bCs/>
          <w:color w:val="000000"/>
        </w:rPr>
        <w:t xml:space="preserve">ptions </w:t>
      </w:r>
      <w:r>
        <w:rPr>
          <w:rFonts w:ascii="Arial" w:eastAsia="Arial" w:hAnsi="Arial" w:cs="Arial"/>
          <w:bCs/>
          <w:color w:val="000000"/>
        </w:rPr>
        <w:t xml:space="preserve">were either </w:t>
      </w:r>
      <w:r w:rsidRPr="00587DF1">
        <w:rPr>
          <w:rFonts w:ascii="Arial" w:eastAsia="Arial" w:hAnsi="Arial" w:cs="Arial"/>
          <w:bCs/>
          <w:color w:val="000000"/>
        </w:rPr>
        <w:t>discounted, shortlist</w:t>
      </w:r>
      <w:r>
        <w:rPr>
          <w:rFonts w:ascii="Arial" w:eastAsia="Arial" w:hAnsi="Arial" w:cs="Arial"/>
          <w:bCs/>
          <w:color w:val="000000"/>
        </w:rPr>
        <w:t>ed</w:t>
      </w:r>
      <w:r w:rsidRPr="00587DF1">
        <w:rPr>
          <w:rFonts w:ascii="Arial" w:eastAsia="Arial" w:hAnsi="Arial" w:cs="Arial"/>
          <w:bCs/>
          <w:color w:val="000000"/>
        </w:rPr>
        <w:t xml:space="preserve"> or identified as a preferred </w:t>
      </w:r>
      <w:r w:rsidRPr="00A40BA5">
        <w:rPr>
          <w:rFonts w:ascii="Arial" w:eastAsia="Arial" w:hAnsi="Arial" w:cs="Arial"/>
          <w:bCs/>
          <w:color w:val="000000"/>
        </w:rPr>
        <w:t xml:space="preserve">choice. </w:t>
      </w:r>
      <w:r w:rsidRPr="00A40BA5">
        <w:rPr>
          <w:rFonts w:ascii="Arial" w:eastAsia="Arial" w:hAnsi="Arial" w:cs="Arial"/>
          <w:bCs/>
          <w:color w:val="000000"/>
        </w:rPr>
        <w:fldChar w:fldCharType="begin"/>
      </w:r>
      <w:r w:rsidRPr="00A40BA5">
        <w:rPr>
          <w:rFonts w:ascii="Arial" w:eastAsia="Arial" w:hAnsi="Arial" w:cs="Arial"/>
          <w:bCs/>
          <w:color w:val="000000"/>
        </w:rPr>
        <w:instrText xml:space="preserve"> REF _Ref30420495 \h </w:instrText>
      </w:r>
      <w:r>
        <w:rPr>
          <w:rFonts w:ascii="Arial" w:eastAsia="Arial" w:hAnsi="Arial" w:cs="Arial"/>
          <w:bCs/>
          <w:color w:val="000000"/>
        </w:rPr>
        <w:instrText xml:space="preserve"> \* MERGEFORMAT </w:instrText>
      </w:r>
      <w:r w:rsidRPr="00A40BA5">
        <w:rPr>
          <w:rFonts w:ascii="Arial" w:eastAsia="Arial" w:hAnsi="Arial" w:cs="Arial"/>
          <w:bCs/>
          <w:color w:val="000000"/>
        </w:rPr>
      </w:r>
      <w:r w:rsidRPr="00A40BA5">
        <w:rPr>
          <w:rFonts w:ascii="Arial" w:eastAsia="Arial" w:hAnsi="Arial" w:cs="Arial"/>
          <w:bCs/>
          <w:color w:val="000000"/>
        </w:rPr>
        <w:fldChar w:fldCharType="separate"/>
      </w:r>
      <w:r w:rsidR="00A936CD" w:rsidRPr="00A936CD">
        <w:rPr>
          <w:rFonts w:ascii="Arial" w:hAnsi="Arial" w:cs="Arial"/>
        </w:rPr>
        <w:t xml:space="preserve">Table </w:t>
      </w:r>
      <w:r w:rsidR="00A936CD" w:rsidRPr="00A936CD">
        <w:rPr>
          <w:rFonts w:ascii="Arial" w:hAnsi="Arial" w:cs="Arial"/>
          <w:noProof/>
        </w:rPr>
        <w:t>16</w:t>
      </w:r>
      <w:r w:rsidRPr="00A40BA5">
        <w:rPr>
          <w:rFonts w:ascii="Arial" w:eastAsia="Arial" w:hAnsi="Arial" w:cs="Arial"/>
          <w:bCs/>
          <w:color w:val="000000"/>
        </w:rPr>
        <w:fldChar w:fldCharType="end"/>
      </w:r>
      <w:r w:rsidRPr="00A40BA5">
        <w:rPr>
          <w:rFonts w:ascii="Arial" w:eastAsia="Arial" w:hAnsi="Arial" w:cs="Arial"/>
          <w:bCs/>
          <w:color w:val="000000"/>
        </w:rPr>
        <w:t xml:space="preserve"> shows which CSFs were used to assess which dimension of the options framework.</w:t>
      </w:r>
    </w:p>
    <w:p w14:paraId="2983A275" w14:textId="23A6376C" w:rsidR="00FF6E56" w:rsidRPr="00A40BA5" w:rsidRDefault="00FF6E56" w:rsidP="00FF6E56">
      <w:pPr>
        <w:pStyle w:val="Caption"/>
        <w:rPr>
          <w:b w:val="0"/>
          <w:bCs w:val="0"/>
        </w:rPr>
      </w:pPr>
      <w:bookmarkStart w:id="186" w:name="_Ref30420495"/>
      <w:r>
        <w:t xml:space="preserve">Table </w:t>
      </w:r>
      <w:r>
        <w:fldChar w:fldCharType="begin"/>
      </w:r>
      <w:r>
        <w:instrText xml:space="preserve"> SEQ Table \* ARABIC </w:instrText>
      </w:r>
      <w:r>
        <w:fldChar w:fldCharType="separate"/>
      </w:r>
      <w:r w:rsidR="00A936CD">
        <w:rPr>
          <w:noProof/>
        </w:rPr>
        <w:t>16</w:t>
      </w:r>
      <w:r>
        <w:fldChar w:fldCharType="end"/>
      </w:r>
      <w:bookmarkEnd w:id="186"/>
      <w:r>
        <w:t xml:space="preserve">: </w:t>
      </w:r>
      <w:r w:rsidRPr="00A40BA5">
        <w:rPr>
          <w:b w:val="0"/>
          <w:bCs w:val="0"/>
        </w:rPr>
        <w:t>How the CSFs were used to assess the dimensions of the options framework</w:t>
      </w:r>
    </w:p>
    <w:tbl>
      <w:tblPr>
        <w:tblW w:w="9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4796"/>
        <w:gridCol w:w="377"/>
        <w:gridCol w:w="377"/>
        <w:gridCol w:w="606"/>
        <w:gridCol w:w="377"/>
        <w:gridCol w:w="377"/>
      </w:tblGrid>
      <w:tr w:rsidR="00FF6E56" w:rsidRPr="00A40BA5" w14:paraId="3BD78CEE" w14:textId="77777777" w:rsidTr="0070603A">
        <w:trPr>
          <w:cantSplit/>
          <w:trHeight w:val="1531"/>
          <w:tblHeader/>
        </w:trPr>
        <w:tc>
          <w:tcPr>
            <w:tcW w:w="0" w:type="auto"/>
            <w:shd w:val="clear" w:color="auto" w:fill="4F81BD"/>
          </w:tcPr>
          <w:p w14:paraId="39FC3347" w14:textId="77777777" w:rsidR="00FF6E56" w:rsidRPr="00A40BA5" w:rsidRDefault="00FF6E56" w:rsidP="0070603A">
            <w:pPr>
              <w:spacing w:before="100" w:after="0"/>
              <w:rPr>
                <w:rFonts w:ascii="Arial" w:hAnsi="Arial" w:cs="Arial"/>
                <w:b/>
                <w:color w:val="FFFFFF" w:themeColor="background1"/>
                <w:sz w:val="18"/>
                <w:szCs w:val="18"/>
              </w:rPr>
            </w:pPr>
            <w:r w:rsidRPr="00A40BA5">
              <w:rPr>
                <w:rFonts w:ascii="Arial" w:hAnsi="Arial" w:cs="Arial"/>
                <w:b/>
                <w:color w:val="FFFFFF" w:themeColor="background1"/>
                <w:sz w:val="18"/>
                <w:szCs w:val="18"/>
              </w:rPr>
              <w:t>HMT CSF category</w:t>
            </w:r>
          </w:p>
        </w:tc>
        <w:tc>
          <w:tcPr>
            <w:tcW w:w="0" w:type="auto"/>
            <w:shd w:val="clear" w:color="auto" w:fill="4F81BD"/>
          </w:tcPr>
          <w:p w14:paraId="1B47FD4B" w14:textId="77777777" w:rsidR="00FF6E56" w:rsidRPr="00A40BA5" w:rsidRDefault="00FF6E56" w:rsidP="0070603A">
            <w:pPr>
              <w:spacing w:before="100" w:after="0"/>
              <w:rPr>
                <w:rFonts w:ascii="Arial" w:hAnsi="Arial" w:cs="Arial"/>
                <w:b/>
                <w:color w:val="FFFFFF" w:themeColor="background1"/>
                <w:sz w:val="18"/>
                <w:szCs w:val="18"/>
              </w:rPr>
            </w:pPr>
            <w:r w:rsidRPr="00A40BA5">
              <w:rPr>
                <w:rFonts w:ascii="Arial" w:hAnsi="Arial" w:cs="Arial"/>
                <w:b/>
                <w:color w:val="FFFFFF" w:themeColor="background1"/>
                <w:sz w:val="18"/>
                <w:szCs w:val="18"/>
              </w:rPr>
              <w:t>CSF</w:t>
            </w:r>
          </w:p>
        </w:tc>
        <w:tc>
          <w:tcPr>
            <w:tcW w:w="0" w:type="auto"/>
            <w:shd w:val="clear" w:color="auto" w:fill="4F81BD"/>
            <w:tcMar>
              <w:left w:w="0" w:type="dxa"/>
              <w:right w:w="0" w:type="dxa"/>
            </w:tcMar>
            <w:textDirection w:val="btLr"/>
            <w:vAlign w:val="center"/>
          </w:tcPr>
          <w:p w14:paraId="33CCD933" w14:textId="77777777" w:rsidR="00FF6E56" w:rsidRPr="00A40BA5" w:rsidRDefault="00FF6E56" w:rsidP="0070603A">
            <w:pPr>
              <w:spacing w:after="0"/>
              <w:ind w:left="57" w:right="57"/>
              <w:rPr>
                <w:rFonts w:ascii="Arial" w:hAnsi="Arial" w:cs="Arial"/>
                <w:b/>
                <w:color w:val="FFFFFF" w:themeColor="background1"/>
                <w:sz w:val="18"/>
                <w:szCs w:val="18"/>
              </w:rPr>
            </w:pPr>
            <w:r w:rsidRPr="00A40BA5">
              <w:rPr>
                <w:rFonts w:ascii="Arial" w:hAnsi="Arial" w:cs="Arial"/>
                <w:b/>
                <w:color w:val="FFFFFF" w:themeColor="background1"/>
                <w:sz w:val="18"/>
                <w:szCs w:val="18"/>
              </w:rPr>
              <w:t>Scope</w:t>
            </w:r>
          </w:p>
        </w:tc>
        <w:tc>
          <w:tcPr>
            <w:tcW w:w="0" w:type="auto"/>
            <w:shd w:val="clear" w:color="auto" w:fill="4F81BD"/>
            <w:tcMar>
              <w:left w:w="0" w:type="dxa"/>
              <w:right w:w="0" w:type="dxa"/>
            </w:tcMar>
            <w:textDirection w:val="btLr"/>
            <w:vAlign w:val="center"/>
          </w:tcPr>
          <w:p w14:paraId="54B540C9" w14:textId="77777777" w:rsidR="00FF6E56" w:rsidRPr="00A40BA5" w:rsidRDefault="00FF6E56" w:rsidP="0070603A">
            <w:pPr>
              <w:spacing w:after="0"/>
              <w:ind w:left="57" w:right="57"/>
              <w:rPr>
                <w:rFonts w:ascii="Arial" w:hAnsi="Arial" w:cs="Arial"/>
                <w:b/>
                <w:color w:val="FFFFFF" w:themeColor="background1"/>
                <w:sz w:val="18"/>
                <w:szCs w:val="18"/>
              </w:rPr>
            </w:pPr>
            <w:r w:rsidRPr="00A40BA5">
              <w:rPr>
                <w:rFonts w:ascii="Arial" w:hAnsi="Arial" w:cs="Arial"/>
                <w:b/>
                <w:color w:val="FFFFFF" w:themeColor="background1"/>
                <w:sz w:val="18"/>
                <w:szCs w:val="18"/>
              </w:rPr>
              <w:t>Service solution</w:t>
            </w:r>
          </w:p>
        </w:tc>
        <w:tc>
          <w:tcPr>
            <w:tcW w:w="606" w:type="dxa"/>
            <w:shd w:val="clear" w:color="auto" w:fill="4F81BD"/>
            <w:tcMar>
              <w:left w:w="0" w:type="dxa"/>
              <w:right w:w="0" w:type="dxa"/>
            </w:tcMar>
            <w:textDirection w:val="btLr"/>
            <w:vAlign w:val="center"/>
          </w:tcPr>
          <w:p w14:paraId="48832EE5" w14:textId="77777777" w:rsidR="00FF6E56" w:rsidRPr="00A40BA5" w:rsidRDefault="00FF6E56" w:rsidP="0070603A">
            <w:pPr>
              <w:spacing w:after="0"/>
              <w:ind w:left="57" w:right="57"/>
              <w:rPr>
                <w:rFonts w:ascii="Arial" w:hAnsi="Arial" w:cs="Arial"/>
                <w:b/>
                <w:color w:val="FFFFFF" w:themeColor="background1"/>
                <w:sz w:val="18"/>
                <w:szCs w:val="18"/>
              </w:rPr>
            </w:pPr>
            <w:r w:rsidRPr="00A40BA5">
              <w:rPr>
                <w:rFonts w:ascii="Arial" w:hAnsi="Arial" w:cs="Arial"/>
                <w:b/>
                <w:color w:val="FFFFFF" w:themeColor="background1"/>
                <w:sz w:val="18"/>
                <w:szCs w:val="18"/>
              </w:rPr>
              <w:t>Service delivery</w:t>
            </w:r>
          </w:p>
        </w:tc>
        <w:tc>
          <w:tcPr>
            <w:tcW w:w="0" w:type="auto"/>
            <w:shd w:val="clear" w:color="auto" w:fill="4F81BD"/>
            <w:tcMar>
              <w:left w:w="0" w:type="dxa"/>
              <w:right w:w="0" w:type="dxa"/>
            </w:tcMar>
            <w:textDirection w:val="btLr"/>
            <w:vAlign w:val="center"/>
          </w:tcPr>
          <w:p w14:paraId="6BAAD2CB" w14:textId="77777777" w:rsidR="00FF6E56" w:rsidRPr="00A40BA5" w:rsidRDefault="00FF6E56" w:rsidP="0070603A">
            <w:pPr>
              <w:spacing w:after="0"/>
              <w:ind w:left="57" w:right="57"/>
              <w:rPr>
                <w:rFonts w:ascii="Arial" w:hAnsi="Arial" w:cs="Arial"/>
                <w:b/>
                <w:color w:val="FFFFFF" w:themeColor="background1"/>
                <w:sz w:val="18"/>
                <w:szCs w:val="18"/>
              </w:rPr>
            </w:pPr>
            <w:r w:rsidRPr="00A40BA5">
              <w:rPr>
                <w:rFonts w:ascii="Arial" w:hAnsi="Arial" w:cs="Arial"/>
                <w:b/>
                <w:color w:val="FFFFFF" w:themeColor="background1"/>
                <w:sz w:val="18"/>
                <w:szCs w:val="18"/>
              </w:rPr>
              <w:t>Implementation</w:t>
            </w:r>
          </w:p>
        </w:tc>
        <w:tc>
          <w:tcPr>
            <w:tcW w:w="0" w:type="auto"/>
            <w:shd w:val="clear" w:color="auto" w:fill="4F81BD"/>
            <w:tcMar>
              <w:left w:w="0" w:type="dxa"/>
              <w:right w:w="0" w:type="dxa"/>
            </w:tcMar>
            <w:textDirection w:val="btLr"/>
            <w:vAlign w:val="center"/>
          </w:tcPr>
          <w:p w14:paraId="13659A27" w14:textId="77777777" w:rsidR="00FF6E56" w:rsidRPr="00A40BA5" w:rsidRDefault="00FF6E56" w:rsidP="0070603A">
            <w:pPr>
              <w:spacing w:after="0"/>
              <w:ind w:left="57" w:right="57"/>
              <w:rPr>
                <w:rFonts w:ascii="Arial" w:hAnsi="Arial" w:cs="Arial"/>
                <w:b/>
                <w:color w:val="FFFFFF" w:themeColor="background1"/>
                <w:sz w:val="18"/>
                <w:szCs w:val="18"/>
              </w:rPr>
            </w:pPr>
            <w:r w:rsidRPr="00A40BA5">
              <w:rPr>
                <w:rFonts w:ascii="Arial" w:hAnsi="Arial" w:cs="Arial"/>
                <w:b/>
                <w:color w:val="FFFFFF" w:themeColor="background1"/>
                <w:sz w:val="18"/>
                <w:szCs w:val="18"/>
              </w:rPr>
              <w:t>Funding</w:t>
            </w:r>
          </w:p>
        </w:tc>
      </w:tr>
      <w:tr w:rsidR="00FF6E56" w:rsidRPr="00B72F95" w14:paraId="5284FF45" w14:textId="77777777" w:rsidTr="0070603A">
        <w:tc>
          <w:tcPr>
            <w:tcW w:w="0" w:type="auto"/>
            <w:vMerge w:val="restart"/>
            <w:vAlign w:val="center"/>
          </w:tcPr>
          <w:p w14:paraId="57465A3B" w14:textId="77777777" w:rsidR="00FF6E56" w:rsidRPr="00A40BA5" w:rsidRDefault="00FF6E56" w:rsidP="0070603A">
            <w:pPr>
              <w:spacing w:beforeLines="40" w:before="96" w:afterLines="40" w:after="96"/>
              <w:contextualSpacing/>
              <w:rPr>
                <w:rFonts w:ascii="Arial" w:hAnsi="Arial" w:cs="Arial"/>
                <w:sz w:val="18"/>
                <w:szCs w:val="18"/>
              </w:rPr>
            </w:pPr>
            <w:r w:rsidRPr="00A40BA5">
              <w:rPr>
                <w:rFonts w:ascii="Arial" w:hAnsi="Arial" w:cs="Arial"/>
                <w:sz w:val="18"/>
                <w:szCs w:val="18"/>
              </w:rPr>
              <w:t>Strategic fit and business needs</w:t>
            </w:r>
          </w:p>
        </w:tc>
        <w:tc>
          <w:tcPr>
            <w:tcW w:w="0" w:type="auto"/>
          </w:tcPr>
          <w:p w14:paraId="4100661F" w14:textId="77777777" w:rsidR="00FF6E56" w:rsidRPr="00B72F95" w:rsidRDefault="00FF6E56" w:rsidP="0070603A">
            <w:pPr>
              <w:tabs>
                <w:tab w:val="left" w:pos="284"/>
              </w:tabs>
              <w:spacing w:before="100" w:after="0"/>
              <w:rPr>
                <w:rFonts w:ascii="Arial" w:hAnsi="Arial" w:cs="Arial"/>
                <w:color w:val="293947"/>
                <w:sz w:val="18"/>
                <w:szCs w:val="18"/>
              </w:rPr>
            </w:pPr>
            <w:r w:rsidRPr="00B72F95">
              <w:rPr>
                <w:rFonts w:ascii="Arial" w:hAnsi="Arial" w:cs="Arial"/>
                <w:color w:val="293947"/>
                <w:sz w:val="18"/>
                <w:szCs w:val="18"/>
              </w:rPr>
              <w:t>1.</w:t>
            </w:r>
            <w:r w:rsidRPr="00B72F95">
              <w:rPr>
                <w:rFonts w:ascii="Arial" w:hAnsi="Arial" w:cs="Arial"/>
                <w:color w:val="293947"/>
                <w:sz w:val="18"/>
                <w:szCs w:val="18"/>
              </w:rPr>
              <w:tab/>
              <w:t>Strategic fit</w:t>
            </w:r>
          </w:p>
        </w:tc>
        <w:tc>
          <w:tcPr>
            <w:tcW w:w="0" w:type="auto"/>
          </w:tcPr>
          <w:p w14:paraId="475A8130" w14:textId="77777777" w:rsidR="00FF6E56" w:rsidRPr="00B72F95" w:rsidRDefault="00FF6E56" w:rsidP="0070603A">
            <w:pPr>
              <w:tabs>
                <w:tab w:val="left" w:pos="284"/>
              </w:tabs>
              <w:spacing w:before="100" w:after="0"/>
              <w:jc w:val="center"/>
              <w:rPr>
                <w:rFonts w:ascii="Arial" w:hAnsi="Arial" w:cs="Arial"/>
                <w:color w:val="293947"/>
                <w:sz w:val="18"/>
                <w:szCs w:val="18"/>
              </w:rPr>
            </w:pPr>
            <w:r w:rsidRPr="00B72F95">
              <w:rPr>
                <w:rFonts w:ascii="Arial" w:hAnsi="Arial" w:cs="Arial"/>
                <w:color w:val="293947"/>
                <w:sz w:val="18"/>
                <w:szCs w:val="18"/>
              </w:rPr>
              <w:sym w:font="Wingdings 2" w:char="F098"/>
            </w:r>
          </w:p>
        </w:tc>
        <w:tc>
          <w:tcPr>
            <w:tcW w:w="0" w:type="auto"/>
          </w:tcPr>
          <w:p w14:paraId="761AE4AD" w14:textId="77777777" w:rsidR="00FF6E56" w:rsidRPr="00B72F95" w:rsidRDefault="00FF6E56" w:rsidP="0070603A">
            <w:pPr>
              <w:tabs>
                <w:tab w:val="left" w:pos="284"/>
              </w:tabs>
              <w:spacing w:before="100" w:after="0"/>
              <w:jc w:val="center"/>
              <w:rPr>
                <w:rFonts w:ascii="Arial" w:hAnsi="Arial" w:cs="Arial"/>
                <w:color w:val="293947"/>
                <w:sz w:val="18"/>
                <w:szCs w:val="18"/>
              </w:rPr>
            </w:pPr>
            <w:r w:rsidRPr="00B72F95">
              <w:rPr>
                <w:rFonts w:ascii="Arial" w:hAnsi="Arial" w:cs="Arial"/>
                <w:color w:val="293947"/>
                <w:sz w:val="18"/>
                <w:szCs w:val="18"/>
              </w:rPr>
              <w:sym w:font="Wingdings 2" w:char="F098"/>
            </w:r>
          </w:p>
        </w:tc>
        <w:tc>
          <w:tcPr>
            <w:tcW w:w="606" w:type="dxa"/>
            <w:vMerge w:val="restart"/>
            <w:tcMar>
              <w:left w:w="0" w:type="dxa"/>
              <w:right w:w="0" w:type="dxa"/>
            </w:tcMar>
            <w:textDirection w:val="btLr"/>
            <w:vAlign w:val="center"/>
          </w:tcPr>
          <w:p w14:paraId="00C3C3AD" w14:textId="77777777" w:rsidR="00FF6E56" w:rsidRPr="00B72F95" w:rsidRDefault="00FF6E56" w:rsidP="0070603A">
            <w:pPr>
              <w:tabs>
                <w:tab w:val="left" w:pos="284"/>
              </w:tabs>
              <w:spacing w:after="0"/>
              <w:ind w:left="57" w:right="57"/>
              <w:jc w:val="center"/>
              <w:rPr>
                <w:rFonts w:ascii="Arial" w:hAnsi="Arial" w:cs="Arial"/>
                <w:i/>
                <w:color w:val="293947"/>
                <w:sz w:val="18"/>
                <w:szCs w:val="18"/>
              </w:rPr>
            </w:pPr>
            <w:r w:rsidRPr="00B72F95">
              <w:rPr>
                <w:rFonts w:ascii="Arial" w:hAnsi="Arial" w:cs="Arial"/>
                <w:i/>
                <w:color w:val="293947"/>
                <w:sz w:val="18"/>
                <w:szCs w:val="18"/>
              </w:rPr>
              <w:t>Unchanged from Land Acquisition Business Case</w:t>
            </w:r>
          </w:p>
        </w:tc>
        <w:tc>
          <w:tcPr>
            <w:tcW w:w="0" w:type="auto"/>
          </w:tcPr>
          <w:p w14:paraId="71367D04" w14:textId="77777777" w:rsidR="00FF6E56" w:rsidRPr="00B72F95" w:rsidRDefault="00FF6E56" w:rsidP="0070603A">
            <w:pPr>
              <w:tabs>
                <w:tab w:val="left" w:pos="284"/>
              </w:tabs>
              <w:spacing w:before="100" w:after="0"/>
              <w:jc w:val="center"/>
              <w:rPr>
                <w:rFonts w:ascii="Arial" w:hAnsi="Arial" w:cs="Arial"/>
                <w:color w:val="293947"/>
                <w:sz w:val="18"/>
                <w:szCs w:val="18"/>
              </w:rPr>
            </w:pPr>
          </w:p>
        </w:tc>
        <w:tc>
          <w:tcPr>
            <w:tcW w:w="0" w:type="auto"/>
          </w:tcPr>
          <w:p w14:paraId="5266F2FF" w14:textId="77777777" w:rsidR="00FF6E56" w:rsidRPr="00B72F95" w:rsidRDefault="00FF6E56" w:rsidP="0070603A">
            <w:pPr>
              <w:tabs>
                <w:tab w:val="left" w:pos="284"/>
              </w:tabs>
              <w:spacing w:before="100" w:after="0"/>
              <w:jc w:val="center"/>
              <w:rPr>
                <w:rFonts w:ascii="Arial" w:hAnsi="Arial" w:cs="Arial"/>
                <w:color w:val="293947"/>
                <w:sz w:val="18"/>
                <w:szCs w:val="18"/>
              </w:rPr>
            </w:pPr>
          </w:p>
        </w:tc>
      </w:tr>
      <w:tr w:rsidR="00FF6E56" w:rsidRPr="00B72F95" w14:paraId="78A6AE35" w14:textId="77777777" w:rsidTr="0070603A">
        <w:tc>
          <w:tcPr>
            <w:tcW w:w="0" w:type="auto"/>
            <w:vMerge/>
            <w:textDirection w:val="btLr"/>
            <w:vAlign w:val="center"/>
          </w:tcPr>
          <w:p w14:paraId="5341E3B7" w14:textId="77777777" w:rsidR="00FF6E56" w:rsidRPr="00A40BA5" w:rsidRDefault="00FF6E56" w:rsidP="0070603A">
            <w:pPr>
              <w:spacing w:beforeLines="40" w:before="96" w:afterLines="40" w:after="96"/>
              <w:ind w:left="113" w:right="113"/>
              <w:contextualSpacing/>
              <w:rPr>
                <w:rFonts w:ascii="Arial" w:hAnsi="Arial" w:cs="Arial"/>
                <w:sz w:val="18"/>
                <w:szCs w:val="18"/>
              </w:rPr>
            </w:pPr>
          </w:p>
        </w:tc>
        <w:tc>
          <w:tcPr>
            <w:tcW w:w="0" w:type="auto"/>
          </w:tcPr>
          <w:p w14:paraId="21C9C1AB" w14:textId="77777777" w:rsidR="00FF6E56" w:rsidRPr="00B72F95" w:rsidRDefault="00FF6E56" w:rsidP="0070603A">
            <w:pPr>
              <w:tabs>
                <w:tab w:val="left" w:pos="284"/>
              </w:tabs>
              <w:spacing w:before="100" w:after="0"/>
              <w:rPr>
                <w:rFonts w:ascii="Arial" w:hAnsi="Arial" w:cs="Arial"/>
                <w:color w:val="293947"/>
                <w:sz w:val="18"/>
                <w:szCs w:val="18"/>
              </w:rPr>
            </w:pPr>
            <w:r w:rsidRPr="00B72F95">
              <w:rPr>
                <w:rFonts w:ascii="Arial" w:hAnsi="Arial" w:cs="Arial"/>
                <w:color w:val="293947"/>
                <w:sz w:val="18"/>
                <w:szCs w:val="18"/>
              </w:rPr>
              <w:t>2.</w:t>
            </w:r>
            <w:r w:rsidRPr="00B72F95">
              <w:rPr>
                <w:rFonts w:ascii="Arial" w:hAnsi="Arial" w:cs="Arial"/>
                <w:color w:val="293947"/>
                <w:sz w:val="18"/>
                <w:szCs w:val="18"/>
              </w:rPr>
              <w:tab/>
              <w:t>Creating the best possible patient experience</w:t>
            </w:r>
          </w:p>
        </w:tc>
        <w:tc>
          <w:tcPr>
            <w:tcW w:w="0" w:type="auto"/>
          </w:tcPr>
          <w:p w14:paraId="54177CF6" w14:textId="77777777" w:rsidR="00FF6E56" w:rsidRPr="00B72F95" w:rsidRDefault="00FF6E56" w:rsidP="0070603A">
            <w:pPr>
              <w:tabs>
                <w:tab w:val="left" w:pos="284"/>
              </w:tabs>
              <w:spacing w:before="100" w:after="0"/>
              <w:jc w:val="center"/>
              <w:rPr>
                <w:rFonts w:ascii="Arial" w:hAnsi="Arial" w:cs="Arial"/>
                <w:color w:val="293947"/>
                <w:sz w:val="18"/>
                <w:szCs w:val="18"/>
              </w:rPr>
            </w:pPr>
            <w:r w:rsidRPr="00B72F95">
              <w:rPr>
                <w:rFonts w:ascii="Arial" w:hAnsi="Arial" w:cs="Arial"/>
                <w:color w:val="293947"/>
                <w:sz w:val="18"/>
                <w:szCs w:val="18"/>
              </w:rPr>
              <w:sym w:font="Wingdings 2" w:char="F098"/>
            </w:r>
          </w:p>
        </w:tc>
        <w:tc>
          <w:tcPr>
            <w:tcW w:w="0" w:type="auto"/>
          </w:tcPr>
          <w:p w14:paraId="2421B9EB" w14:textId="77777777" w:rsidR="00FF6E56" w:rsidRPr="00B72F95" w:rsidRDefault="00FF6E56" w:rsidP="0070603A">
            <w:pPr>
              <w:tabs>
                <w:tab w:val="left" w:pos="284"/>
              </w:tabs>
              <w:spacing w:before="100" w:after="0"/>
              <w:jc w:val="center"/>
              <w:rPr>
                <w:rFonts w:ascii="Arial" w:hAnsi="Arial" w:cs="Arial"/>
                <w:color w:val="293947"/>
                <w:sz w:val="18"/>
                <w:szCs w:val="18"/>
              </w:rPr>
            </w:pPr>
            <w:r w:rsidRPr="00B72F95">
              <w:rPr>
                <w:rFonts w:ascii="Arial" w:hAnsi="Arial" w:cs="Arial"/>
                <w:color w:val="293947"/>
                <w:sz w:val="18"/>
                <w:szCs w:val="18"/>
              </w:rPr>
              <w:sym w:font="Wingdings 2" w:char="F098"/>
            </w:r>
          </w:p>
        </w:tc>
        <w:tc>
          <w:tcPr>
            <w:tcW w:w="606" w:type="dxa"/>
            <w:vMerge/>
          </w:tcPr>
          <w:p w14:paraId="3CE629F6" w14:textId="77777777" w:rsidR="00FF6E56" w:rsidRPr="00B72F95" w:rsidRDefault="00FF6E56" w:rsidP="0070603A">
            <w:pPr>
              <w:tabs>
                <w:tab w:val="left" w:pos="284"/>
              </w:tabs>
              <w:spacing w:before="100" w:after="0"/>
              <w:jc w:val="center"/>
              <w:rPr>
                <w:rFonts w:ascii="Arial" w:hAnsi="Arial" w:cs="Arial"/>
                <w:color w:val="293947"/>
                <w:sz w:val="18"/>
                <w:szCs w:val="18"/>
              </w:rPr>
            </w:pPr>
          </w:p>
        </w:tc>
        <w:tc>
          <w:tcPr>
            <w:tcW w:w="0" w:type="auto"/>
          </w:tcPr>
          <w:p w14:paraId="64E4A80B" w14:textId="77777777" w:rsidR="00FF6E56" w:rsidRPr="00B72F95" w:rsidRDefault="00FF6E56" w:rsidP="0070603A">
            <w:pPr>
              <w:tabs>
                <w:tab w:val="left" w:pos="284"/>
              </w:tabs>
              <w:spacing w:before="100" w:after="0"/>
              <w:jc w:val="center"/>
              <w:rPr>
                <w:rFonts w:ascii="Arial" w:hAnsi="Arial" w:cs="Arial"/>
                <w:color w:val="293947"/>
                <w:sz w:val="18"/>
                <w:szCs w:val="18"/>
              </w:rPr>
            </w:pPr>
          </w:p>
        </w:tc>
        <w:tc>
          <w:tcPr>
            <w:tcW w:w="0" w:type="auto"/>
          </w:tcPr>
          <w:p w14:paraId="330F9A7E" w14:textId="77777777" w:rsidR="00FF6E56" w:rsidRPr="00B72F95" w:rsidRDefault="00FF6E56" w:rsidP="0070603A">
            <w:pPr>
              <w:tabs>
                <w:tab w:val="left" w:pos="284"/>
              </w:tabs>
              <w:spacing w:before="100" w:after="0"/>
              <w:jc w:val="center"/>
              <w:rPr>
                <w:rFonts w:ascii="Arial" w:hAnsi="Arial" w:cs="Arial"/>
                <w:color w:val="293947"/>
                <w:sz w:val="18"/>
                <w:szCs w:val="18"/>
              </w:rPr>
            </w:pPr>
          </w:p>
        </w:tc>
      </w:tr>
      <w:tr w:rsidR="00FF6E56" w:rsidRPr="00B72F95" w14:paraId="7A92D4F2" w14:textId="77777777" w:rsidTr="0070603A">
        <w:tc>
          <w:tcPr>
            <w:tcW w:w="0" w:type="auto"/>
            <w:vMerge/>
            <w:textDirection w:val="btLr"/>
            <w:vAlign w:val="center"/>
          </w:tcPr>
          <w:p w14:paraId="2D7630AD" w14:textId="77777777" w:rsidR="00FF6E56" w:rsidRPr="00A40BA5" w:rsidRDefault="00FF6E56" w:rsidP="0070603A">
            <w:pPr>
              <w:spacing w:beforeLines="40" w:before="96" w:afterLines="40" w:after="96"/>
              <w:ind w:left="113" w:right="113"/>
              <w:contextualSpacing/>
              <w:rPr>
                <w:rFonts w:ascii="Arial" w:hAnsi="Arial" w:cs="Arial"/>
                <w:sz w:val="18"/>
                <w:szCs w:val="18"/>
              </w:rPr>
            </w:pPr>
          </w:p>
        </w:tc>
        <w:tc>
          <w:tcPr>
            <w:tcW w:w="0" w:type="auto"/>
          </w:tcPr>
          <w:p w14:paraId="2A36156C" w14:textId="77777777" w:rsidR="00FF6E56" w:rsidRPr="00B72F95" w:rsidRDefault="00FF6E56" w:rsidP="0070603A">
            <w:pPr>
              <w:tabs>
                <w:tab w:val="left" w:pos="284"/>
              </w:tabs>
              <w:spacing w:before="100" w:after="0"/>
              <w:rPr>
                <w:rFonts w:ascii="Arial" w:hAnsi="Arial" w:cs="Arial"/>
                <w:color w:val="293947"/>
                <w:sz w:val="18"/>
                <w:szCs w:val="18"/>
              </w:rPr>
            </w:pPr>
            <w:r w:rsidRPr="00B72F95">
              <w:rPr>
                <w:rFonts w:ascii="Arial" w:hAnsi="Arial" w:cs="Arial"/>
                <w:color w:val="293947"/>
                <w:sz w:val="18"/>
                <w:szCs w:val="18"/>
              </w:rPr>
              <w:t>3.</w:t>
            </w:r>
            <w:r w:rsidRPr="00B72F95">
              <w:rPr>
                <w:rFonts w:ascii="Arial" w:hAnsi="Arial" w:cs="Arial"/>
                <w:color w:val="293947"/>
                <w:sz w:val="18"/>
                <w:szCs w:val="18"/>
              </w:rPr>
              <w:tab/>
              <w:t>Accessibility</w:t>
            </w:r>
          </w:p>
        </w:tc>
        <w:tc>
          <w:tcPr>
            <w:tcW w:w="0" w:type="auto"/>
          </w:tcPr>
          <w:p w14:paraId="77E08907" w14:textId="77777777" w:rsidR="00FF6E56" w:rsidRPr="00B72F95" w:rsidRDefault="00FF6E56" w:rsidP="0070603A">
            <w:pPr>
              <w:tabs>
                <w:tab w:val="left" w:pos="284"/>
              </w:tabs>
              <w:spacing w:before="100" w:after="0"/>
              <w:jc w:val="center"/>
              <w:rPr>
                <w:rFonts w:ascii="Arial" w:hAnsi="Arial" w:cs="Arial"/>
                <w:color w:val="293947"/>
                <w:sz w:val="18"/>
                <w:szCs w:val="18"/>
              </w:rPr>
            </w:pPr>
          </w:p>
        </w:tc>
        <w:tc>
          <w:tcPr>
            <w:tcW w:w="0" w:type="auto"/>
          </w:tcPr>
          <w:p w14:paraId="7BF5C59B" w14:textId="77777777" w:rsidR="00FF6E56" w:rsidRPr="00B72F95" w:rsidRDefault="00FF6E56" w:rsidP="0070603A">
            <w:pPr>
              <w:tabs>
                <w:tab w:val="left" w:pos="284"/>
              </w:tabs>
              <w:spacing w:before="100" w:after="0"/>
              <w:jc w:val="center"/>
              <w:rPr>
                <w:rFonts w:ascii="Arial" w:hAnsi="Arial" w:cs="Arial"/>
                <w:color w:val="293947"/>
                <w:sz w:val="18"/>
                <w:szCs w:val="18"/>
              </w:rPr>
            </w:pPr>
            <w:r w:rsidRPr="00B72F95">
              <w:rPr>
                <w:rFonts w:ascii="Arial" w:hAnsi="Arial" w:cs="Arial"/>
                <w:color w:val="293947"/>
                <w:sz w:val="18"/>
                <w:szCs w:val="18"/>
              </w:rPr>
              <w:sym w:font="Wingdings 2" w:char="F098"/>
            </w:r>
          </w:p>
        </w:tc>
        <w:tc>
          <w:tcPr>
            <w:tcW w:w="606" w:type="dxa"/>
            <w:vMerge/>
          </w:tcPr>
          <w:p w14:paraId="1EAAB316" w14:textId="77777777" w:rsidR="00FF6E56" w:rsidRPr="00B72F95" w:rsidRDefault="00FF6E56" w:rsidP="0070603A">
            <w:pPr>
              <w:tabs>
                <w:tab w:val="left" w:pos="284"/>
              </w:tabs>
              <w:spacing w:before="100" w:after="0"/>
              <w:jc w:val="center"/>
              <w:rPr>
                <w:rFonts w:ascii="Arial" w:hAnsi="Arial" w:cs="Arial"/>
                <w:color w:val="293947"/>
                <w:sz w:val="18"/>
                <w:szCs w:val="18"/>
              </w:rPr>
            </w:pPr>
          </w:p>
        </w:tc>
        <w:tc>
          <w:tcPr>
            <w:tcW w:w="0" w:type="auto"/>
          </w:tcPr>
          <w:p w14:paraId="15A51C80" w14:textId="77777777" w:rsidR="00FF6E56" w:rsidRPr="00B72F95" w:rsidRDefault="00FF6E56" w:rsidP="0070603A">
            <w:pPr>
              <w:tabs>
                <w:tab w:val="left" w:pos="284"/>
              </w:tabs>
              <w:spacing w:before="100" w:after="0"/>
              <w:jc w:val="center"/>
              <w:rPr>
                <w:rFonts w:ascii="Arial" w:hAnsi="Arial" w:cs="Arial"/>
                <w:color w:val="293947"/>
                <w:sz w:val="18"/>
                <w:szCs w:val="18"/>
              </w:rPr>
            </w:pPr>
          </w:p>
        </w:tc>
        <w:tc>
          <w:tcPr>
            <w:tcW w:w="0" w:type="auto"/>
          </w:tcPr>
          <w:p w14:paraId="7A43153E" w14:textId="77777777" w:rsidR="00FF6E56" w:rsidRPr="00B72F95" w:rsidRDefault="00FF6E56" w:rsidP="0070603A">
            <w:pPr>
              <w:tabs>
                <w:tab w:val="left" w:pos="284"/>
              </w:tabs>
              <w:spacing w:before="100" w:after="0"/>
              <w:jc w:val="center"/>
              <w:rPr>
                <w:rFonts w:ascii="Arial" w:hAnsi="Arial" w:cs="Arial"/>
                <w:color w:val="293947"/>
                <w:sz w:val="18"/>
                <w:szCs w:val="18"/>
              </w:rPr>
            </w:pPr>
          </w:p>
        </w:tc>
      </w:tr>
      <w:tr w:rsidR="00FF6E56" w:rsidRPr="00B72F95" w14:paraId="1539C1D9" w14:textId="77777777" w:rsidTr="0070603A">
        <w:tc>
          <w:tcPr>
            <w:tcW w:w="0" w:type="auto"/>
            <w:vMerge/>
            <w:textDirection w:val="btLr"/>
            <w:vAlign w:val="center"/>
          </w:tcPr>
          <w:p w14:paraId="6E0037A1" w14:textId="77777777" w:rsidR="00FF6E56" w:rsidRPr="00A40BA5" w:rsidRDefault="00FF6E56" w:rsidP="0070603A">
            <w:pPr>
              <w:spacing w:beforeLines="40" w:before="96" w:afterLines="40" w:after="96"/>
              <w:ind w:left="113" w:right="113"/>
              <w:contextualSpacing/>
              <w:rPr>
                <w:rFonts w:ascii="Arial" w:hAnsi="Arial" w:cs="Arial"/>
                <w:sz w:val="18"/>
                <w:szCs w:val="18"/>
              </w:rPr>
            </w:pPr>
          </w:p>
        </w:tc>
        <w:tc>
          <w:tcPr>
            <w:tcW w:w="0" w:type="auto"/>
          </w:tcPr>
          <w:p w14:paraId="19631519" w14:textId="77777777" w:rsidR="00FF6E56" w:rsidRPr="00B72F95" w:rsidRDefault="00FF6E56" w:rsidP="0070603A">
            <w:pPr>
              <w:tabs>
                <w:tab w:val="left" w:pos="284"/>
              </w:tabs>
              <w:spacing w:before="100" w:after="0"/>
              <w:rPr>
                <w:rFonts w:ascii="Arial" w:hAnsi="Arial" w:cs="Arial"/>
                <w:color w:val="293947"/>
                <w:sz w:val="18"/>
                <w:szCs w:val="18"/>
              </w:rPr>
            </w:pPr>
            <w:r w:rsidRPr="00B72F95">
              <w:rPr>
                <w:rFonts w:ascii="Arial" w:hAnsi="Arial" w:cs="Arial"/>
                <w:color w:val="293947"/>
                <w:sz w:val="18"/>
                <w:szCs w:val="18"/>
              </w:rPr>
              <w:t>4.</w:t>
            </w:r>
            <w:r w:rsidRPr="00B72F95">
              <w:rPr>
                <w:rFonts w:ascii="Arial" w:hAnsi="Arial" w:cs="Arial"/>
                <w:color w:val="293947"/>
                <w:sz w:val="18"/>
                <w:szCs w:val="18"/>
              </w:rPr>
              <w:tab/>
              <w:t>Inventing and innovating together to be at the leading edge</w:t>
            </w:r>
          </w:p>
        </w:tc>
        <w:tc>
          <w:tcPr>
            <w:tcW w:w="0" w:type="auto"/>
          </w:tcPr>
          <w:p w14:paraId="092D326F" w14:textId="77777777" w:rsidR="00FF6E56" w:rsidRPr="00B72F95" w:rsidRDefault="00FF6E56" w:rsidP="0070603A">
            <w:pPr>
              <w:tabs>
                <w:tab w:val="left" w:pos="284"/>
              </w:tabs>
              <w:spacing w:before="100" w:after="0"/>
              <w:jc w:val="center"/>
              <w:rPr>
                <w:rFonts w:ascii="Arial" w:hAnsi="Arial" w:cs="Arial"/>
                <w:color w:val="293947"/>
                <w:sz w:val="18"/>
                <w:szCs w:val="18"/>
              </w:rPr>
            </w:pPr>
            <w:r w:rsidRPr="00B72F95">
              <w:rPr>
                <w:rFonts w:ascii="Arial" w:hAnsi="Arial" w:cs="Arial"/>
                <w:color w:val="293947"/>
                <w:sz w:val="18"/>
                <w:szCs w:val="18"/>
              </w:rPr>
              <w:sym w:font="Wingdings 2" w:char="F098"/>
            </w:r>
          </w:p>
        </w:tc>
        <w:tc>
          <w:tcPr>
            <w:tcW w:w="0" w:type="auto"/>
          </w:tcPr>
          <w:p w14:paraId="25F47157" w14:textId="77777777" w:rsidR="00FF6E56" w:rsidRPr="00B72F95" w:rsidRDefault="00FF6E56" w:rsidP="0070603A">
            <w:pPr>
              <w:tabs>
                <w:tab w:val="left" w:pos="284"/>
              </w:tabs>
              <w:spacing w:before="100" w:after="0"/>
              <w:jc w:val="center"/>
              <w:rPr>
                <w:rFonts w:ascii="Arial" w:hAnsi="Arial" w:cs="Arial"/>
                <w:color w:val="293947"/>
                <w:sz w:val="18"/>
                <w:szCs w:val="18"/>
              </w:rPr>
            </w:pPr>
            <w:r w:rsidRPr="00B72F95">
              <w:rPr>
                <w:rFonts w:ascii="Arial" w:hAnsi="Arial" w:cs="Arial"/>
                <w:color w:val="293947"/>
                <w:sz w:val="18"/>
                <w:szCs w:val="18"/>
              </w:rPr>
              <w:sym w:font="Wingdings 2" w:char="F098"/>
            </w:r>
          </w:p>
        </w:tc>
        <w:tc>
          <w:tcPr>
            <w:tcW w:w="606" w:type="dxa"/>
            <w:vMerge/>
          </w:tcPr>
          <w:p w14:paraId="2DACE61B" w14:textId="77777777" w:rsidR="00FF6E56" w:rsidRPr="00B72F95" w:rsidRDefault="00FF6E56" w:rsidP="0070603A">
            <w:pPr>
              <w:tabs>
                <w:tab w:val="left" w:pos="284"/>
              </w:tabs>
              <w:spacing w:before="100" w:after="0"/>
              <w:jc w:val="center"/>
              <w:rPr>
                <w:rFonts w:ascii="Arial" w:hAnsi="Arial" w:cs="Arial"/>
                <w:color w:val="293947"/>
                <w:sz w:val="18"/>
                <w:szCs w:val="18"/>
              </w:rPr>
            </w:pPr>
          </w:p>
        </w:tc>
        <w:tc>
          <w:tcPr>
            <w:tcW w:w="0" w:type="auto"/>
          </w:tcPr>
          <w:p w14:paraId="5D0468EE" w14:textId="77777777" w:rsidR="00FF6E56" w:rsidRPr="00B72F95" w:rsidRDefault="00FF6E56" w:rsidP="0070603A">
            <w:pPr>
              <w:tabs>
                <w:tab w:val="left" w:pos="284"/>
              </w:tabs>
              <w:spacing w:before="100" w:after="0"/>
              <w:jc w:val="center"/>
              <w:rPr>
                <w:rFonts w:ascii="Arial" w:hAnsi="Arial" w:cs="Arial"/>
                <w:color w:val="293947"/>
                <w:sz w:val="18"/>
                <w:szCs w:val="18"/>
              </w:rPr>
            </w:pPr>
          </w:p>
        </w:tc>
        <w:tc>
          <w:tcPr>
            <w:tcW w:w="0" w:type="auto"/>
          </w:tcPr>
          <w:p w14:paraId="0D3A6B79" w14:textId="77777777" w:rsidR="00FF6E56" w:rsidRPr="00B72F95" w:rsidRDefault="00FF6E56" w:rsidP="0070603A">
            <w:pPr>
              <w:tabs>
                <w:tab w:val="left" w:pos="284"/>
              </w:tabs>
              <w:spacing w:before="100" w:after="0"/>
              <w:jc w:val="center"/>
              <w:rPr>
                <w:rFonts w:ascii="Arial" w:hAnsi="Arial" w:cs="Arial"/>
                <w:color w:val="293947"/>
                <w:sz w:val="18"/>
                <w:szCs w:val="18"/>
              </w:rPr>
            </w:pPr>
          </w:p>
        </w:tc>
      </w:tr>
      <w:tr w:rsidR="00FF6E56" w:rsidRPr="00B72F95" w14:paraId="0F4C3F33" w14:textId="77777777" w:rsidTr="0070603A">
        <w:tc>
          <w:tcPr>
            <w:tcW w:w="0" w:type="auto"/>
            <w:vMerge/>
            <w:textDirection w:val="btLr"/>
            <w:vAlign w:val="center"/>
          </w:tcPr>
          <w:p w14:paraId="63CE60D8" w14:textId="77777777" w:rsidR="00FF6E56" w:rsidRPr="00A40BA5" w:rsidRDefault="00FF6E56" w:rsidP="0070603A">
            <w:pPr>
              <w:spacing w:beforeLines="40" w:before="96" w:afterLines="40" w:after="96"/>
              <w:ind w:left="113" w:right="113"/>
              <w:contextualSpacing/>
              <w:rPr>
                <w:rFonts w:ascii="Arial" w:hAnsi="Arial" w:cs="Arial"/>
                <w:sz w:val="18"/>
                <w:szCs w:val="18"/>
              </w:rPr>
            </w:pPr>
          </w:p>
        </w:tc>
        <w:tc>
          <w:tcPr>
            <w:tcW w:w="0" w:type="auto"/>
          </w:tcPr>
          <w:p w14:paraId="7F663574" w14:textId="77777777" w:rsidR="00FF6E56" w:rsidRPr="00B72F95" w:rsidRDefault="00FF6E56" w:rsidP="0070603A">
            <w:pPr>
              <w:tabs>
                <w:tab w:val="left" w:pos="284"/>
              </w:tabs>
              <w:spacing w:before="100" w:after="0"/>
              <w:rPr>
                <w:rFonts w:ascii="Arial" w:hAnsi="Arial" w:cs="Arial"/>
                <w:color w:val="293947"/>
                <w:sz w:val="18"/>
                <w:szCs w:val="18"/>
              </w:rPr>
            </w:pPr>
            <w:r w:rsidRPr="00B72F95">
              <w:rPr>
                <w:rFonts w:ascii="Arial" w:hAnsi="Arial" w:cs="Arial"/>
                <w:color w:val="293947"/>
                <w:sz w:val="18"/>
                <w:szCs w:val="18"/>
              </w:rPr>
              <w:t>5.</w:t>
            </w:r>
            <w:r w:rsidRPr="00B72F95">
              <w:rPr>
                <w:rFonts w:ascii="Arial" w:hAnsi="Arial" w:cs="Arial"/>
                <w:color w:val="293947"/>
                <w:sz w:val="18"/>
                <w:szCs w:val="18"/>
              </w:rPr>
              <w:tab/>
              <w:t>Educating people to be the very best</w:t>
            </w:r>
          </w:p>
        </w:tc>
        <w:tc>
          <w:tcPr>
            <w:tcW w:w="0" w:type="auto"/>
          </w:tcPr>
          <w:p w14:paraId="0F1D8E11" w14:textId="77777777" w:rsidR="00FF6E56" w:rsidRPr="00B72F95" w:rsidRDefault="00FF6E56" w:rsidP="0070603A">
            <w:pPr>
              <w:tabs>
                <w:tab w:val="left" w:pos="284"/>
              </w:tabs>
              <w:spacing w:before="100" w:after="0"/>
              <w:jc w:val="center"/>
              <w:rPr>
                <w:rFonts w:ascii="Arial" w:hAnsi="Arial" w:cs="Arial"/>
                <w:color w:val="293947"/>
                <w:sz w:val="18"/>
                <w:szCs w:val="18"/>
              </w:rPr>
            </w:pPr>
          </w:p>
        </w:tc>
        <w:tc>
          <w:tcPr>
            <w:tcW w:w="0" w:type="auto"/>
          </w:tcPr>
          <w:p w14:paraId="7BDFDD71" w14:textId="77777777" w:rsidR="00FF6E56" w:rsidRPr="00B72F95" w:rsidRDefault="00FF6E56" w:rsidP="0070603A">
            <w:pPr>
              <w:tabs>
                <w:tab w:val="left" w:pos="284"/>
              </w:tabs>
              <w:spacing w:before="100" w:after="0"/>
              <w:jc w:val="center"/>
              <w:rPr>
                <w:rFonts w:ascii="Arial" w:hAnsi="Arial" w:cs="Arial"/>
                <w:color w:val="293947"/>
                <w:sz w:val="18"/>
                <w:szCs w:val="18"/>
              </w:rPr>
            </w:pPr>
            <w:r w:rsidRPr="00B72F95">
              <w:rPr>
                <w:rFonts w:ascii="Arial" w:hAnsi="Arial" w:cs="Arial"/>
                <w:color w:val="293947"/>
                <w:sz w:val="18"/>
                <w:szCs w:val="18"/>
              </w:rPr>
              <w:sym w:font="Wingdings 2" w:char="F098"/>
            </w:r>
          </w:p>
        </w:tc>
        <w:tc>
          <w:tcPr>
            <w:tcW w:w="606" w:type="dxa"/>
            <w:vMerge/>
          </w:tcPr>
          <w:p w14:paraId="563F2BE4" w14:textId="77777777" w:rsidR="00FF6E56" w:rsidRPr="00B72F95" w:rsidRDefault="00FF6E56" w:rsidP="0070603A">
            <w:pPr>
              <w:tabs>
                <w:tab w:val="left" w:pos="284"/>
              </w:tabs>
              <w:spacing w:before="100" w:after="0"/>
              <w:jc w:val="center"/>
              <w:rPr>
                <w:rFonts w:ascii="Arial" w:hAnsi="Arial" w:cs="Arial"/>
                <w:color w:val="293947"/>
                <w:sz w:val="18"/>
                <w:szCs w:val="18"/>
              </w:rPr>
            </w:pPr>
          </w:p>
        </w:tc>
        <w:tc>
          <w:tcPr>
            <w:tcW w:w="0" w:type="auto"/>
          </w:tcPr>
          <w:p w14:paraId="50839CC6" w14:textId="77777777" w:rsidR="00FF6E56" w:rsidRPr="00B72F95" w:rsidRDefault="00FF6E56" w:rsidP="0070603A">
            <w:pPr>
              <w:tabs>
                <w:tab w:val="left" w:pos="284"/>
              </w:tabs>
              <w:spacing w:before="100" w:after="0"/>
              <w:jc w:val="center"/>
              <w:rPr>
                <w:rFonts w:ascii="Arial" w:hAnsi="Arial" w:cs="Arial"/>
                <w:color w:val="293947"/>
                <w:sz w:val="18"/>
                <w:szCs w:val="18"/>
              </w:rPr>
            </w:pPr>
          </w:p>
        </w:tc>
        <w:tc>
          <w:tcPr>
            <w:tcW w:w="0" w:type="auto"/>
          </w:tcPr>
          <w:p w14:paraId="642234B0" w14:textId="77777777" w:rsidR="00FF6E56" w:rsidRPr="00B72F95" w:rsidRDefault="00FF6E56" w:rsidP="0070603A">
            <w:pPr>
              <w:tabs>
                <w:tab w:val="left" w:pos="284"/>
              </w:tabs>
              <w:spacing w:before="100" w:after="0"/>
              <w:jc w:val="center"/>
              <w:rPr>
                <w:rFonts w:ascii="Arial" w:hAnsi="Arial" w:cs="Arial"/>
                <w:color w:val="293947"/>
                <w:sz w:val="18"/>
                <w:szCs w:val="18"/>
              </w:rPr>
            </w:pPr>
          </w:p>
        </w:tc>
      </w:tr>
      <w:tr w:rsidR="00FF6E56" w:rsidRPr="00B72F95" w14:paraId="73770350" w14:textId="77777777" w:rsidTr="0070603A">
        <w:tc>
          <w:tcPr>
            <w:tcW w:w="0" w:type="auto"/>
            <w:vMerge/>
            <w:textDirection w:val="btLr"/>
            <w:vAlign w:val="center"/>
          </w:tcPr>
          <w:p w14:paraId="7B213348" w14:textId="77777777" w:rsidR="00FF6E56" w:rsidRPr="00A40BA5" w:rsidRDefault="00FF6E56" w:rsidP="0070603A">
            <w:pPr>
              <w:spacing w:beforeLines="40" w:before="96" w:afterLines="40" w:after="96"/>
              <w:ind w:left="113" w:right="113"/>
              <w:contextualSpacing/>
              <w:rPr>
                <w:rFonts w:ascii="Arial" w:hAnsi="Arial" w:cs="Arial"/>
                <w:sz w:val="18"/>
                <w:szCs w:val="18"/>
              </w:rPr>
            </w:pPr>
          </w:p>
        </w:tc>
        <w:tc>
          <w:tcPr>
            <w:tcW w:w="0" w:type="auto"/>
          </w:tcPr>
          <w:p w14:paraId="43B9545B" w14:textId="77777777" w:rsidR="00FF6E56" w:rsidRPr="00B72F95" w:rsidRDefault="00FF6E56" w:rsidP="0070603A">
            <w:pPr>
              <w:tabs>
                <w:tab w:val="left" w:pos="284"/>
              </w:tabs>
              <w:spacing w:before="100" w:after="0"/>
              <w:rPr>
                <w:rFonts w:ascii="Arial" w:hAnsi="Arial" w:cs="Arial"/>
                <w:color w:val="293947"/>
                <w:sz w:val="18"/>
                <w:szCs w:val="18"/>
              </w:rPr>
            </w:pPr>
            <w:r w:rsidRPr="00B72F95">
              <w:rPr>
                <w:rFonts w:ascii="Arial" w:hAnsi="Arial" w:cs="Arial"/>
                <w:color w:val="293947"/>
                <w:sz w:val="18"/>
                <w:szCs w:val="18"/>
              </w:rPr>
              <w:t>6.</w:t>
            </w:r>
            <w:r w:rsidRPr="00B72F95">
              <w:rPr>
                <w:rFonts w:ascii="Arial" w:hAnsi="Arial" w:cs="Arial"/>
                <w:color w:val="293947"/>
                <w:sz w:val="18"/>
                <w:szCs w:val="18"/>
              </w:rPr>
              <w:tab/>
              <w:t>Improving the experience for staff and students</w:t>
            </w:r>
          </w:p>
        </w:tc>
        <w:tc>
          <w:tcPr>
            <w:tcW w:w="0" w:type="auto"/>
          </w:tcPr>
          <w:p w14:paraId="37E602FF" w14:textId="77777777" w:rsidR="00FF6E56" w:rsidRPr="00B72F95" w:rsidRDefault="00FF6E56" w:rsidP="0070603A">
            <w:pPr>
              <w:tabs>
                <w:tab w:val="left" w:pos="284"/>
              </w:tabs>
              <w:spacing w:before="100" w:after="0"/>
              <w:jc w:val="center"/>
              <w:rPr>
                <w:rFonts w:ascii="Arial" w:hAnsi="Arial" w:cs="Arial"/>
                <w:color w:val="293947"/>
                <w:sz w:val="18"/>
                <w:szCs w:val="18"/>
              </w:rPr>
            </w:pPr>
            <w:r w:rsidRPr="00B72F95">
              <w:rPr>
                <w:rFonts w:ascii="Arial" w:hAnsi="Arial" w:cs="Arial"/>
                <w:color w:val="293947"/>
                <w:sz w:val="18"/>
                <w:szCs w:val="18"/>
              </w:rPr>
              <w:sym w:font="Wingdings 2" w:char="F098"/>
            </w:r>
          </w:p>
        </w:tc>
        <w:tc>
          <w:tcPr>
            <w:tcW w:w="0" w:type="auto"/>
          </w:tcPr>
          <w:p w14:paraId="0E0DC59C" w14:textId="77777777" w:rsidR="00FF6E56" w:rsidRPr="00B72F95" w:rsidRDefault="00FF6E56" w:rsidP="0070603A">
            <w:pPr>
              <w:tabs>
                <w:tab w:val="left" w:pos="284"/>
              </w:tabs>
              <w:spacing w:before="100" w:after="0"/>
              <w:jc w:val="center"/>
              <w:rPr>
                <w:rFonts w:ascii="Arial" w:hAnsi="Arial" w:cs="Arial"/>
                <w:color w:val="293947"/>
                <w:sz w:val="18"/>
                <w:szCs w:val="18"/>
              </w:rPr>
            </w:pPr>
            <w:r w:rsidRPr="00B72F95">
              <w:rPr>
                <w:rFonts w:ascii="Arial" w:hAnsi="Arial" w:cs="Arial"/>
                <w:color w:val="293947"/>
                <w:sz w:val="18"/>
                <w:szCs w:val="18"/>
              </w:rPr>
              <w:sym w:font="Wingdings 2" w:char="F098"/>
            </w:r>
          </w:p>
        </w:tc>
        <w:tc>
          <w:tcPr>
            <w:tcW w:w="606" w:type="dxa"/>
            <w:vMerge/>
          </w:tcPr>
          <w:p w14:paraId="4162A466" w14:textId="77777777" w:rsidR="00FF6E56" w:rsidRPr="00B72F95" w:rsidRDefault="00FF6E56" w:rsidP="0070603A">
            <w:pPr>
              <w:tabs>
                <w:tab w:val="left" w:pos="284"/>
              </w:tabs>
              <w:spacing w:before="100" w:after="0"/>
              <w:jc w:val="center"/>
              <w:rPr>
                <w:rFonts w:ascii="Arial" w:hAnsi="Arial" w:cs="Arial"/>
                <w:color w:val="293947"/>
                <w:sz w:val="18"/>
                <w:szCs w:val="18"/>
              </w:rPr>
            </w:pPr>
          </w:p>
        </w:tc>
        <w:tc>
          <w:tcPr>
            <w:tcW w:w="0" w:type="auto"/>
          </w:tcPr>
          <w:p w14:paraId="0049B5C6" w14:textId="77777777" w:rsidR="00FF6E56" w:rsidRPr="00B72F95" w:rsidRDefault="00FF6E56" w:rsidP="0070603A">
            <w:pPr>
              <w:tabs>
                <w:tab w:val="left" w:pos="284"/>
              </w:tabs>
              <w:spacing w:before="100" w:after="0"/>
              <w:jc w:val="center"/>
              <w:rPr>
                <w:rFonts w:ascii="Arial" w:hAnsi="Arial" w:cs="Arial"/>
                <w:color w:val="293947"/>
                <w:sz w:val="18"/>
                <w:szCs w:val="18"/>
              </w:rPr>
            </w:pPr>
          </w:p>
        </w:tc>
        <w:tc>
          <w:tcPr>
            <w:tcW w:w="0" w:type="auto"/>
          </w:tcPr>
          <w:p w14:paraId="26CF22CE" w14:textId="77777777" w:rsidR="00FF6E56" w:rsidRPr="00B72F95" w:rsidRDefault="00FF6E56" w:rsidP="0070603A">
            <w:pPr>
              <w:tabs>
                <w:tab w:val="left" w:pos="284"/>
              </w:tabs>
              <w:spacing w:before="100" w:after="0"/>
              <w:jc w:val="center"/>
              <w:rPr>
                <w:rFonts w:ascii="Arial" w:hAnsi="Arial" w:cs="Arial"/>
                <w:color w:val="293947"/>
                <w:sz w:val="18"/>
                <w:szCs w:val="18"/>
              </w:rPr>
            </w:pPr>
          </w:p>
        </w:tc>
      </w:tr>
      <w:tr w:rsidR="00FF6E56" w:rsidRPr="00B72F95" w14:paraId="3946E810" w14:textId="77777777" w:rsidTr="0070603A">
        <w:tc>
          <w:tcPr>
            <w:tcW w:w="0" w:type="auto"/>
            <w:vMerge w:val="restart"/>
            <w:vAlign w:val="center"/>
          </w:tcPr>
          <w:p w14:paraId="37C7116B" w14:textId="77777777" w:rsidR="00FF6E56" w:rsidRPr="00A40BA5" w:rsidRDefault="00FF6E56" w:rsidP="0070603A">
            <w:pPr>
              <w:spacing w:beforeLines="40" w:before="96" w:afterLines="40" w:after="96"/>
              <w:contextualSpacing/>
              <w:rPr>
                <w:rFonts w:ascii="Arial" w:hAnsi="Arial" w:cs="Arial"/>
                <w:sz w:val="18"/>
                <w:szCs w:val="18"/>
              </w:rPr>
            </w:pPr>
            <w:r w:rsidRPr="00A40BA5">
              <w:rPr>
                <w:rFonts w:ascii="Arial" w:hAnsi="Arial" w:cs="Arial"/>
                <w:sz w:val="18"/>
                <w:szCs w:val="18"/>
              </w:rPr>
              <w:t>Potential value for money</w:t>
            </w:r>
          </w:p>
        </w:tc>
        <w:tc>
          <w:tcPr>
            <w:tcW w:w="0" w:type="auto"/>
          </w:tcPr>
          <w:p w14:paraId="6AF40B5D" w14:textId="77777777" w:rsidR="00FF6E56" w:rsidRPr="00B72F95" w:rsidRDefault="00FF6E56" w:rsidP="0070603A">
            <w:pPr>
              <w:tabs>
                <w:tab w:val="left" w:pos="284"/>
              </w:tabs>
              <w:spacing w:before="100" w:after="0"/>
              <w:rPr>
                <w:rFonts w:ascii="Arial" w:hAnsi="Arial" w:cs="Arial"/>
                <w:color w:val="293947"/>
                <w:sz w:val="18"/>
                <w:szCs w:val="18"/>
              </w:rPr>
            </w:pPr>
            <w:r w:rsidRPr="00B72F95">
              <w:rPr>
                <w:rFonts w:ascii="Arial" w:hAnsi="Arial" w:cs="Arial"/>
                <w:color w:val="293947"/>
                <w:sz w:val="18"/>
                <w:szCs w:val="18"/>
              </w:rPr>
              <w:t>7.</w:t>
            </w:r>
            <w:r w:rsidRPr="00B72F95">
              <w:rPr>
                <w:rFonts w:ascii="Arial" w:hAnsi="Arial" w:cs="Arial"/>
                <w:color w:val="293947"/>
                <w:sz w:val="18"/>
                <w:szCs w:val="18"/>
              </w:rPr>
              <w:tab/>
              <w:t>Future flexibility</w:t>
            </w:r>
          </w:p>
        </w:tc>
        <w:tc>
          <w:tcPr>
            <w:tcW w:w="0" w:type="auto"/>
          </w:tcPr>
          <w:p w14:paraId="2F64D24B" w14:textId="77777777" w:rsidR="00FF6E56" w:rsidRPr="00B72F95" w:rsidRDefault="00FF6E56" w:rsidP="0070603A">
            <w:pPr>
              <w:tabs>
                <w:tab w:val="left" w:pos="284"/>
              </w:tabs>
              <w:spacing w:before="100" w:after="0"/>
              <w:jc w:val="center"/>
              <w:rPr>
                <w:rFonts w:ascii="Arial" w:hAnsi="Arial" w:cs="Arial"/>
                <w:color w:val="293947"/>
                <w:sz w:val="18"/>
                <w:szCs w:val="18"/>
              </w:rPr>
            </w:pPr>
          </w:p>
        </w:tc>
        <w:tc>
          <w:tcPr>
            <w:tcW w:w="0" w:type="auto"/>
          </w:tcPr>
          <w:p w14:paraId="49E4431D" w14:textId="77777777" w:rsidR="00FF6E56" w:rsidRPr="00B72F95" w:rsidRDefault="00FF6E56" w:rsidP="0070603A">
            <w:pPr>
              <w:tabs>
                <w:tab w:val="left" w:pos="284"/>
              </w:tabs>
              <w:spacing w:before="100" w:after="0"/>
              <w:jc w:val="center"/>
              <w:rPr>
                <w:rFonts w:ascii="Arial" w:hAnsi="Arial" w:cs="Arial"/>
                <w:color w:val="293947"/>
                <w:sz w:val="18"/>
                <w:szCs w:val="18"/>
              </w:rPr>
            </w:pPr>
            <w:r w:rsidRPr="00B72F95">
              <w:rPr>
                <w:rFonts w:ascii="Arial" w:hAnsi="Arial" w:cs="Arial"/>
                <w:color w:val="293947"/>
                <w:sz w:val="18"/>
                <w:szCs w:val="18"/>
              </w:rPr>
              <w:sym w:font="Wingdings 2" w:char="F098"/>
            </w:r>
          </w:p>
        </w:tc>
        <w:tc>
          <w:tcPr>
            <w:tcW w:w="606" w:type="dxa"/>
            <w:vMerge/>
          </w:tcPr>
          <w:p w14:paraId="54EF8E65" w14:textId="77777777" w:rsidR="00FF6E56" w:rsidRPr="00B72F95" w:rsidRDefault="00FF6E56" w:rsidP="0070603A">
            <w:pPr>
              <w:tabs>
                <w:tab w:val="left" w:pos="284"/>
              </w:tabs>
              <w:spacing w:before="100" w:after="0"/>
              <w:jc w:val="center"/>
              <w:rPr>
                <w:rFonts w:ascii="Arial" w:hAnsi="Arial" w:cs="Arial"/>
                <w:color w:val="293947"/>
                <w:sz w:val="18"/>
                <w:szCs w:val="18"/>
              </w:rPr>
            </w:pPr>
          </w:p>
        </w:tc>
        <w:tc>
          <w:tcPr>
            <w:tcW w:w="0" w:type="auto"/>
          </w:tcPr>
          <w:p w14:paraId="053690E3" w14:textId="77777777" w:rsidR="00FF6E56" w:rsidRPr="00B72F95" w:rsidRDefault="00FF6E56" w:rsidP="0070603A">
            <w:pPr>
              <w:tabs>
                <w:tab w:val="left" w:pos="284"/>
              </w:tabs>
              <w:spacing w:before="100" w:after="0"/>
              <w:jc w:val="center"/>
              <w:rPr>
                <w:rFonts w:ascii="Arial" w:hAnsi="Arial" w:cs="Arial"/>
                <w:color w:val="293947"/>
                <w:sz w:val="18"/>
                <w:szCs w:val="18"/>
              </w:rPr>
            </w:pPr>
          </w:p>
        </w:tc>
        <w:tc>
          <w:tcPr>
            <w:tcW w:w="0" w:type="auto"/>
          </w:tcPr>
          <w:p w14:paraId="1960FFED" w14:textId="77777777" w:rsidR="00FF6E56" w:rsidRPr="00B72F95" w:rsidRDefault="00FF6E56" w:rsidP="0070603A">
            <w:pPr>
              <w:tabs>
                <w:tab w:val="left" w:pos="284"/>
              </w:tabs>
              <w:spacing w:before="100" w:after="0"/>
              <w:jc w:val="center"/>
              <w:rPr>
                <w:rFonts w:ascii="Arial" w:hAnsi="Arial" w:cs="Arial"/>
                <w:color w:val="293947"/>
                <w:sz w:val="18"/>
                <w:szCs w:val="18"/>
              </w:rPr>
            </w:pPr>
          </w:p>
        </w:tc>
      </w:tr>
      <w:tr w:rsidR="00FF6E56" w:rsidRPr="00B72F95" w14:paraId="5E1F8347" w14:textId="77777777" w:rsidTr="0070603A">
        <w:tc>
          <w:tcPr>
            <w:tcW w:w="0" w:type="auto"/>
            <w:vMerge/>
            <w:vAlign w:val="center"/>
          </w:tcPr>
          <w:p w14:paraId="704173CB" w14:textId="77777777" w:rsidR="00FF6E56" w:rsidRPr="00A40BA5" w:rsidRDefault="00FF6E56" w:rsidP="0070603A">
            <w:pPr>
              <w:spacing w:beforeLines="40" w:before="96" w:afterLines="40" w:after="96"/>
              <w:contextualSpacing/>
              <w:rPr>
                <w:rFonts w:ascii="Arial" w:hAnsi="Arial" w:cs="Arial"/>
                <w:sz w:val="18"/>
                <w:szCs w:val="18"/>
              </w:rPr>
            </w:pPr>
          </w:p>
        </w:tc>
        <w:tc>
          <w:tcPr>
            <w:tcW w:w="0" w:type="auto"/>
          </w:tcPr>
          <w:p w14:paraId="1A04259D" w14:textId="77777777" w:rsidR="00FF6E56" w:rsidRPr="00B72F95" w:rsidRDefault="00FF6E56" w:rsidP="0070603A">
            <w:pPr>
              <w:tabs>
                <w:tab w:val="left" w:pos="284"/>
              </w:tabs>
              <w:spacing w:before="100" w:after="0"/>
              <w:rPr>
                <w:rFonts w:ascii="Arial" w:hAnsi="Arial" w:cs="Arial"/>
                <w:color w:val="293947"/>
                <w:sz w:val="18"/>
                <w:szCs w:val="18"/>
              </w:rPr>
            </w:pPr>
            <w:r w:rsidRPr="00B72F95">
              <w:rPr>
                <w:rFonts w:ascii="Arial" w:hAnsi="Arial" w:cs="Arial"/>
                <w:color w:val="293947"/>
                <w:sz w:val="18"/>
                <w:szCs w:val="18"/>
              </w:rPr>
              <w:t>8.</w:t>
            </w:r>
            <w:r w:rsidRPr="00B72F95">
              <w:rPr>
                <w:rFonts w:ascii="Arial" w:hAnsi="Arial" w:cs="Arial"/>
                <w:color w:val="293947"/>
                <w:sz w:val="18"/>
                <w:szCs w:val="18"/>
              </w:rPr>
              <w:tab/>
              <w:t>Economy and efficiency</w:t>
            </w:r>
          </w:p>
        </w:tc>
        <w:tc>
          <w:tcPr>
            <w:tcW w:w="0" w:type="auto"/>
          </w:tcPr>
          <w:p w14:paraId="2C23BD0C" w14:textId="77777777" w:rsidR="00FF6E56" w:rsidRPr="00B72F95" w:rsidRDefault="00FF6E56" w:rsidP="0070603A">
            <w:pPr>
              <w:tabs>
                <w:tab w:val="left" w:pos="284"/>
              </w:tabs>
              <w:spacing w:before="100" w:after="0"/>
              <w:jc w:val="center"/>
              <w:rPr>
                <w:rFonts w:ascii="Arial" w:hAnsi="Arial" w:cs="Arial"/>
                <w:color w:val="293947"/>
                <w:sz w:val="18"/>
                <w:szCs w:val="18"/>
              </w:rPr>
            </w:pPr>
            <w:r w:rsidRPr="00B72F95">
              <w:rPr>
                <w:rFonts w:ascii="Arial" w:hAnsi="Arial" w:cs="Arial"/>
                <w:color w:val="293947"/>
                <w:sz w:val="18"/>
                <w:szCs w:val="18"/>
              </w:rPr>
              <w:sym w:font="Wingdings 2" w:char="F098"/>
            </w:r>
          </w:p>
        </w:tc>
        <w:tc>
          <w:tcPr>
            <w:tcW w:w="0" w:type="auto"/>
          </w:tcPr>
          <w:p w14:paraId="721833FF" w14:textId="77777777" w:rsidR="00FF6E56" w:rsidRPr="00B72F95" w:rsidRDefault="00FF6E56" w:rsidP="0070603A">
            <w:pPr>
              <w:tabs>
                <w:tab w:val="left" w:pos="284"/>
              </w:tabs>
              <w:spacing w:before="100" w:after="0"/>
              <w:jc w:val="center"/>
              <w:rPr>
                <w:rFonts w:ascii="Arial" w:hAnsi="Arial" w:cs="Arial"/>
                <w:color w:val="293947"/>
                <w:sz w:val="18"/>
                <w:szCs w:val="18"/>
              </w:rPr>
            </w:pPr>
            <w:r w:rsidRPr="00B72F95">
              <w:rPr>
                <w:rFonts w:ascii="Arial" w:hAnsi="Arial" w:cs="Arial"/>
                <w:color w:val="293947"/>
                <w:sz w:val="18"/>
                <w:szCs w:val="18"/>
              </w:rPr>
              <w:sym w:font="Wingdings 2" w:char="F098"/>
            </w:r>
          </w:p>
        </w:tc>
        <w:tc>
          <w:tcPr>
            <w:tcW w:w="606" w:type="dxa"/>
            <w:vMerge/>
          </w:tcPr>
          <w:p w14:paraId="258FB825" w14:textId="77777777" w:rsidR="00FF6E56" w:rsidRPr="00B72F95" w:rsidRDefault="00FF6E56" w:rsidP="0070603A">
            <w:pPr>
              <w:tabs>
                <w:tab w:val="left" w:pos="284"/>
              </w:tabs>
              <w:spacing w:before="100" w:after="0"/>
              <w:jc w:val="center"/>
              <w:rPr>
                <w:rFonts w:ascii="Arial" w:hAnsi="Arial" w:cs="Arial"/>
                <w:color w:val="293947"/>
                <w:sz w:val="18"/>
                <w:szCs w:val="18"/>
              </w:rPr>
            </w:pPr>
          </w:p>
        </w:tc>
        <w:tc>
          <w:tcPr>
            <w:tcW w:w="0" w:type="auto"/>
          </w:tcPr>
          <w:p w14:paraId="15983CAF" w14:textId="77777777" w:rsidR="00FF6E56" w:rsidRPr="00B72F95" w:rsidRDefault="00FF6E56" w:rsidP="0070603A">
            <w:pPr>
              <w:tabs>
                <w:tab w:val="left" w:pos="284"/>
              </w:tabs>
              <w:spacing w:before="100" w:after="0"/>
              <w:jc w:val="center"/>
              <w:rPr>
                <w:rFonts w:ascii="Arial" w:hAnsi="Arial" w:cs="Arial"/>
                <w:color w:val="293947"/>
                <w:sz w:val="18"/>
                <w:szCs w:val="18"/>
              </w:rPr>
            </w:pPr>
            <w:r w:rsidRPr="00B72F95">
              <w:rPr>
                <w:rFonts w:ascii="Arial" w:hAnsi="Arial" w:cs="Arial"/>
                <w:color w:val="293947"/>
                <w:sz w:val="18"/>
                <w:szCs w:val="18"/>
              </w:rPr>
              <w:sym w:font="Wingdings 2" w:char="F098"/>
            </w:r>
          </w:p>
        </w:tc>
        <w:tc>
          <w:tcPr>
            <w:tcW w:w="0" w:type="auto"/>
          </w:tcPr>
          <w:p w14:paraId="0C5CC5DE" w14:textId="77777777" w:rsidR="00FF6E56" w:rsidRPr="00B72F95" w:rsidRDefault="00FF6E56" w:rsidP="0070603A">
            <w:pPr>
              <w:tabs>
                <w:tab w:val="left" w:pos="284"/>
              </w:tabs>
              <w:spacing w:before="100" w:after="0"/>
              <w:jc w:val="center"/>
              <w:rPr>
                <w:rFonts w:ascii="Arial" w:hAnsi="Arial" w:cs="Arial"/>
                <w:color w:val="293947"/>
                <w:sz w:val="18"/>
                <w:szCs w:val="18"/>
              </w:rPr>
            </w:pPr>
          </w:p>
        </w:tc>
      </w:tr>
      <w:tr w:rsidR="00FF6E56" w:rsidRPr="00B72F95" w14:paraId="23CB403A" w14:textId="77777777" w:rsidTr="0070603A">
        <w:trPr>
          <w:cantSplit/>
        </w:trPr>
        <w:tc>
          <w:tcPr>
            <w:tcW w:w="0" w:type="auto"/>
            <w:vAlign w:val="center"/>
          </w:tcPr>
          <w:p w14:paraId="79FC2C62" w14:textId="77777777" w:rsidR="00FF6E56" w:rsidRPr="00A40BA5" w:rsidRDefault="00FF6E56" w:rsidP="0070603A">
            <w:pPr>
              <w:spacing w:beforeLines="40" w:before="96" w:afterLines="40" w:after="96"/>
              <w:contextualSpacing/>
              <w:rPr>
                <w:rFonts w:ascii="Arial" w:hAnsi="Arial" w:cs="Arial"/>
                <w:sz w:val="18"/>
                <w:szCs w:val="18"/>
              </w:rPr>
            </w:pPr>
            <w:r w:rsidRPr="00A40BA5">
              <w:rPr>
                <w:rFonts w:ascii="Arial" w:hAnsi="Arial" w:cs="Arial"/>
                <w:sz w:val="18"/>
                <w:szCs w:val="18"/>
              </w:rPr>
              <w:t>Potential affordability</w:t>
            </w:r>
          </w:p>
        </w:tc>
        <w:tc>
          <w:tcPr>
            <w:tcW w:w="0" w:type="auto"/>
          </w:tcPr>
          <w:p w14:paraId="5A3F9387" w14:textId="77777777" w:rsidR="00FF6E56" w:rsidRPr="00B72F95" w:rsidRDefault="00FF6E56" w:rsidP="0070603A">
            <w:pPr>
              <w:tabs>
                <w:tab w:val="left" w:pos="284"/>
              </w:tabs>
              <w:spacing w:before="100" w:after="0"/>
              <w:rPr>
                <w:rFonts w:ascii="Arial" w:hAnsi="Arial" w:cs="Arial"/>
                <w:color w:val="293947"/>
                <w:sz w:val="18"/>
                <w:szCs w:val="18"/>
              </w:rPr>
            </w:pPr>
            <w:r w:rsidRPr="00B72F95">
              <w:rPr>
                <w:rFonts w:ascii="Arial" w:hAnsi="Arial" w:cs="Arial"/>
                <w:color w:val="293947"/>
                <w:sz w:val="18"/>
                <w:szCs w:val="18"/>
              </w:rPr>
              <w:t>9.</w:t>
            </w:r>
            <w:r w:rsidRPr="00B72F95">
              <w:rPr>
                <w:rFonts w:ascii="Arial" w:hAnsi="Arial" w:cs="Arial"/>
                <w:color w:val="293947"/>
                <w:sz w:val="18"/>
                <w:szCs w:val="18"/>
              </w:rPr>
              <w:tab/>
              <w:t>Affordability</w:t>
            </w:r>
          </w:p>
        </w:tc>
        <w:tc>
          <w:tcPr>
            <w:tcW w:w="0" w:type="auto"/>
          </w:tcPr>
          <w:p w14:paraId="540B797C" w14:textId="77777777" w:rsidR="00FF6E56" w:rsidRPr="00B72F95" w:rsidRDefault="00FF6E56" w:rsidP="0070603A">
            <w:pPr>
              <w:tabs>
                <w:tab w:val="left" w:pos="284"/>
              </w:tabs>
              <w:spacing w:before="100" w:after="0"/>
              <w:jc w:val="center"/>
              <w:rPr>
                <w:rFonts w:ascii="Arial" w:hAnsi="Arial" w:cs="Arial"/>
                <w:color w:val="293947"/>
                <w:sz w:val="18"/>
                <w:szCs w:val="18"/>
              </w:rPr>
            </w:pPr>
            <w:r w:rsidRPr="00B72F95">
              <w:rPr>
                <w:rFonts w:ascii="Arial" w:hAnsi="Arial" w:cs="Arial"/>
                <w:color w:val="293947"/>
                <w:sz w:val="18"/>
                <w:szCs w:val="18"/>
              </w:rPr>
              <w:sym w:font="Wingdings 2" w:char="F098"/>
            </w:r>
          </w:p>
        </w:tc>
        <w:tc>
          <w:tcPr>
            <w:tcW w:w="0" w:type="auto"/>
          </w:tcPr>
          <w:p w14:paraId="574062E9" w14:textId="77777777" w:rsidR="00FF6E56" w:rsidRPr="00B72F95" w:rsidRDefault="00FF6E56" w:rsidP="0070603A">
            <w:pPr>
              <w:tabs>
                <w:tab w:val="left" w:pos="284"/>
              </w:tabs>
              <w:spacing w:before="100" w:after="0"/>
              <w:jc w:val="center"/>
              <w:rPr>
                <w:rFonts w:ascii="Arial" w:hAnsi="Arial" w:cs="Arial"/>
                <w:color w:val="293947"/>
                <w:sz w:val="18"/>
                <w:szCs w:val="18"/>
              </w:rPr>
            </w:pPr>
            <w:r w:rsidRPr="00B72F95">
              <w:rPr>
                <w:rFonts w:ascii="Arial" w:hAnsi="Arial" w:cs="Arial"/>
                <w:color w:val="293947"/>
                <w:sz w:val="18"/>
                <w:szCs w:val="18"/>
              </w:rPr>
              <w:sym w:font="Wingdings 2" w:char="F098"/>
            </w:r>
          </w:p>
        </w:tc>
        <w:tc>
          <w:tcPr>
            <w:tcW w:w="606" w:type="dxa"/>
            <w:vMerge/>
          </w:tcPr>
          <w:p w14:paraId="5C1F6ED1" w14:textId="77777777" w:rsidR="00FF6E56" w:rsidRPr="00B72F95" w:rsidRDefault="00FF6E56" w:rsidP="0070603A">
            <w:pPr>
              <w:tabs>
                <w:tab w:val="left" w:pos="284"/>
              </w:tabs>
              <w:spacing w:before="100" w:after="0"/>
              <w:jc w:val="center"/>
              <w:rPr>
                <w:rFonts w:ascii="Arial" w:hAnsi="Arial" w:cs="Arial"/>
                <w:color w:val="293947"/>
                <w:sz w:val="18"/>
                <w:szCs w:val="18"/>
              </w:rPr>
            </w:pPr>
          </w:p>
        </w:tc>
        <w:tc>
          <w:tcPr>
            <w:tcW w:w="0" w:type="auto"/>
          </w:tcPr>
          <w:p w14:paraId="3CEB3087" w14:textId="77777777" w:rsidR="00FF6E56" w:rsidRPr="00B72F95" w:rsidRDefault="00FF6E56" w:rsidP="0070603A">
            <w:pPr>
              <w:tabs>
                <w:tab w:val="left" w:pos="284"/>
              </w:tabs>
              <w:spacing w:before="100" w:after="0"/>
              <w:jc w:val="center"/>
              <w:rPr>
                <w:rFonts w:ascii="Arial" w:hAnsi="Arial" w:cs="Arial"/>
                <w:color w:val="293947"/>
                <w:sz w:val="18"/>
                <w:szCs w:val="18"/>
              </w:rPr>
            </w:pPr>
            <w:r w:rsidRPr="00B72F95">
              <w:rPr>
                <w:rFonts w:ascii="Arial" w:hAnsi="Arial" w:cs="Arial"/>
                <w:color w:val="293947"/>
                <w:sz w:val="18"/>
                <w:szCs w:val="18"/>
              </w:rPr>
              <w:sym w:font="Wingdings 2" w:char="F098"/>
            </w:r>
          </w:p>
        </w:tc>
        <w:tc>
          <w:tcPr>
            <w:tcW w:w="0" w:type="auto"/>
          </w:tcPr>
          <w:p w14:paraId="25B17466" w14:textId="77777777" w:rsidR="00FF6E56" w:rsidRPr="00B72F95" w:rsidRDefault="00FF6E56" w:rsidP="0070603A">
            <w:pPr>
              <w:tabs>
                <w:tab w:val="left" w:pos="284"/>
              </w:tabs>
              <w:spacing w:before="100" w:after="0"/>
              <w:jc w:val="center"/>
              <w:rPr>
                <w:rFonts w:ascii="Arial" w:hAnsi="Arial" w:cs="Arial"/>
                <w:color w:val="293947"/>
                <w:sz w:val="18"/>
                <w:szCs w:val="18"/>
              </w:rPr>
            </w:pPr>
            <w:r w:rsidRPr="00B72F95">
              <w:rPr>
                <w:rFonts w:ascii="Arial" w:hAnsi="Arial" w:cs="Arial"/>
                <w:color w:val="293947"/>
                <w:sz w:val="18"/>
                <w:szCs w:val="18"/>
              </w:rPr>
              <w:sym w:font="Wingdings 2" w:char="F098"/>
            </w:r>
          </w:p>
        </w:tc>
      </w:tr>
      <w:tr w:rsidR="00FF6E56" w:rsidRPr="00B72F95" w14:paraId="5D04AE70" w14:textId="77777777" w:rsidTr="0070603A">
        <w:trPr>
          <w:cantSplit/>
        </w:trPr>
        <w:tc>
          <w:tcPr>
            <w:tcW w:w="0" w:type="auto"/>
            <w:vAlign w:val="center"/>
          </w:tcPr>
          <w:p w14:paraId="476BBC60" w14:textId="77777777" w:rsidR="00FF6E56" w:rsidRPr="00A40BA5" w:rsidRDefault="00FF6E56" w:rsidP="0070603A">
            <w:pPr>
              <w:spacing w:beforeLines="40" w:before="96" w:afterLines="40" w:after="96"/>
              <w:contextualSpacing/>
              <w:rPr>
                <w:rFonts w:ascii="Arial" w:hAnsi="Arial" w:cs="Arial"/>
                <w:sz w:val="18"/>
                <w:szCs w:val="18"/>
              </w:rPr>
            </w:pPr>
            <w:r w:rsidRPr="00A40BA5">
              <w:rPr>
                <w:rFonts w:ascii="Arial" w:hAnsi="Arial" w:cs="Arial"/>
                <w:sz w:val="18"/>
                <w:szCs w:val="18"/>
              </w:rPr>
              <w:t>Potential achievability</w:t>
            </w:r>
          </w:p>
        </w:tc>
        <w:tc>
          <w:tcPr>
            <w:tcW w:w="0" w:type="auto"/>
          </w:tcPr>
          <w:p w14:paraId="0B267769" w14:textId="77777777" w:rsidR="00FF6E56" w:rsidRPr="00B72F95" w:rsidRDefault="00FF6E56" w:rsidP="0070603A">
            <w:pPr>
              <w:tabs>
                <w:tab w:val="left" w:pos="284"/>
              </w:tabs>
              <w:spacing w:before="100" w:after="0"/>
              <w:rPr>
                <w:rFonts w:ascii="Arial" w:hAnsi="Arial" w:cs="Arial"/>
                <w:color w:val="293947"/>
                <w:sz w:val="18"/>
                <w:szCs w:val="18"/>
              </w:rPr>
            </w:pPr>
            <w:r w:rsidRPr="00B72F95">
              <w:rPr>
                <w:rFonts w:ascii="Arial" w:hAnsi="Arial" w:cs="Arial"/>
                <w:color w:val="293947"/>
                <w:sz w:val="18"/>
                <w:szCs w:val="18"/>
              </w:rPr>
              <w:t>10.</w:t>
            </w:r>
            <w:r w:rsidRPr="00B72F95">
              <w:rPr>
                <w:rFonts w:ascii="Arial" w:hAnsi="Arial" w:cs="Arial"/>
                <w:color w:val="293947"/>
                <w:sz w:val="18"/>
                <w:szCs w:val="18"/>
              </w:rPr>
              <w:tab/>
              <w:t>Deliverability</w:t>
            </w:r>
          </w:p>
        </w:tc>
        <w:tc>
          <w:tcPr>
            <w:tcW w:w="0" w:type="auto"/>
          </w:tcPr>
          <w:p w14:paraId="5DBFA406" w14:textId="77777777" w:rsidR="00FF6E56" w:rsidRPr="00B72F95" w:rsidRDefault="00FF6E56" w:rsidP="0070603A">
            <w:pPr>
              <w:tabs>
                <w:tab w:val="left" w:pos="284"/>
              </w:tabs>
              <w:spacing w:before="100" w:after="0"/>
              <w:jc w:val="center"/>
              <w:rPr>
                <w:rFonts w:ascii="Arial" w:hAnsi="Arial" w:cs="Arial"/>
                <w:color w:val="293947"/>
                <w:sz w:val="18"/>
                <w:szCs w:val="18"/>
              </w:rPr>
            </w:pPr>
            <w:r w:rsidRPr="00B72F95">
              <w:rPr>
                <w:rFonts w:ascii="Arial" w:hAnsi="Arial" w:cs="Arial"/>
                <w:color w:val="293947"/>
                <w:sz w:val="18"/>
                <w:szCs w:val="18"/>
              </w:rPr>
              <w:sym w:font="Wingdings 2" w:char="F098"/>
            </w:r>
          </w:p>
        </w:tc>
        <w:tc>
          <w:tcPr>
            <w:tcW w:w="0" w:type="auto"/>
          </w:tcPr>
          <w:p w14:paraId="1C0472D1" w14:textId="77777777" w:rsidR="00FF6E56" w:rsidRPr="00B72F95" w:rsidRDefault="00FF6E56" w:rsidP="0070603A">
            <w:pPr>
              <w:tabs>
                <w:tab w:val="left" w:pos="284"/>
              </w:tabs>
              <w:spacing w:before="100" w:after="0"/>
              <w:jc w:val="center"/>
              <w:rPr>
                <w:rFonts w:ascii="Arial" w:hAnsi="Arial" w:cs="Arial"/>
                <w:color w:val="293947"/>
                <w:sz w:val="18"/>
                <w:szCs w:val="18"/>
              </w:rPr>
            </w:pPr>
            <w:r w:rsidRPr="00B72F95">
              <w:rPr>
                <w:rFonts w:ascii="Arial" w:hAnsi="Arial" w:cs="Arial"/>
                <w:color w:val="293947"/>
                <w:sz w:val="18"/>
                <w:szCs w:val="18"/>
              </w:rPr>
              <w:sym w:font="Wingdings 2" w:char="F098"/>
            </w:r>
          </w:p>
        </w:tc>
        <w:tc>
          <w:tcPr>
            <w:tcW w:w="606" w:type="dxa"/>
            <w:vMerge/>
          </w:tcPr>
          <w:p w14:paraId="71B58055" w14:textId="77777777" w:rsidR="00FF6E56" w:rsidRPr="00B72F95" w:rsidRDefault="00FF6E56" w:rsidP="0070603A">
            <w:pPr>
              <w:tabs>
                <w:tab w:val="left" w:pos="284"/>
              </w:tabs>
              <w:spacing w:before="100" w:after="0"/>
              <w:jc w:val="center"/>
              <w:rPr>
                <w:rFonts w:ascii="Arial" w:hAnsi="Arial" w:cs="Arial"/>
                <w:color w:val="293947"/>
                <w:sz w:val="18"/>
                <w:szCs w:val="18"/>
              </w:rPr>
            </w:pPr>
          </w:p>
        </w:tc>
        <w:tc>
          <w:tcPr>
            <w:tcW w:w="0" w:type="auto"/>
          </w:tcPr>
          <w:p w14:paraId="5B0936DC" w14:textId="77777777" w:rsidR="00FF6E56" w:rsidRPr="00B72F95" w:rsidRDefault="00FF6E56" w:rsidP="0070603A">
            <w:pPr>
              <w:tabs>
                <w:tab w:val="left" w:pos="284"/>
              </w:tabs>
              <w:spacing w:before="100" w:after="0"/>
              <w:jc w:val="center"/>
              <w:rPr>
                <w:rFonts w:ascii="Arial" w:hAnsi="Arial" w:cs="Arial"/>
                <w:color w:val="293947"/>
                <w:sz w:val="18"/>
                <w:szCs w:val="18"/>
              </w:rPr>
            </w:pPr>
            <w:r w:rsidRPr="00B72F95">
              <w:rPr>
                <w:rFonts w:ascii="Arial" w:hAnsi="Arial" w:cs="Arial"/>
                <w:color w:val="293947"/>
                <w:sz w:val="18"/>
                <w:szCs w:val="18"/>
              </w:rPr>
              <w:sym w:font="Wingdings 2" w:char="F098"/>
            </w:r>
          </w:p>
        </w:tc>
        <w:tc>
          <w:tcPr>
            <w:tcW w:w="0" w:type="auto"/>
          </w:tcPr>
          <w:p w14:paraId="0B8A8B0A" w14:textId="77777777" w:rsidR="00FF6E56" w:rsidRPr="00B72F95" w:rsidRDefault="00FF6E56" w:rsidP="0070603A">
            <w:pPr>
              <w:tabs>
                <w:tab w:val="left" w:pos="284"/>
              </w:tabs>
              <w:spacing w:before="100" w:after="0"/>
              <w:jc w:val="center"/>
              <w:rPr>
                <w:rFonts w:ascii="Arial" w:hAnsi="Arial" w:cs="Arial"/>
                <w:color w:val="293947"/>
                <w:sz w:val="18"/>
                <w:szCs w:val="18"/>
              </w:rPr>
            </w:pPr>
            <w:r w:rsidRPr="00B72F95">
              <w:rPr>
                <w:rFonts w:ascii="Arial" w:hAnsi="Arial" w:cs="Arial"/>
                <w:color w:val="293947"/>
                <w:sz w:val="18"/>
                <w:szCs w:val="18"/>
              </w:rPr>
              <w:sym w:font="Wingdings 2" w:char="F098"/>
            </w:r>
          </w:p>
        </w:tc>
      </w:tr>
    </w:tbl>
    <w:p w14:paraId="17A4D42F" w14:textId="77777777" w:rsidR="00FF6E56" w:rsidRPr="00587DF1" w:rsidRDefault="00FF6E56" w:rsidP="00FF6E56">
      <w:pPr>
        <w:pBdr>
          <w:top w:val="nil"/>
          <w:left w:val="nil"/>
          <w:bottom w:val="nil"/>
          <w:right w:val="nil"/>
          <w:between w:val="nil"/>
        </w:pBdr>
        <w:tabs>
          <w:tab w:val="left" w:pos="567"/>
        </w:tabs>
        <w:rPr>
          <w:rFonts w:ascii="Arial" w:eastAsia="Arial" w:hAnsi="Arial" w:cs="Arial"/>
          <w:bCs/>
          <w:color w:val="000000"/>
          <w:highlight w:val="yellow"/>
        </w:rPr>
      </w:pPr>
    </w:p>
    <w:p w14:paraId="296CCC38" w14:textId="73757270" w:rsidR="00FF6E56" w:rsidRPr="00587DF1" w:rsidRDefault="00FF6E56" w:rsidP="00FF6E56">
      <w:pPr>
        <w:pBdr>
          <w:top w:val="nil"/>
          <w:left w:val="nil"/>
          <w:bottom w:val="nil"/>
          <w:right w:val="nil"/>
          <w:between w:val="nil"/>
        </w:pBdr>
        <w:tabs>
          <w:tab w:val="left" w:pos="567"/>
        </w:tabs>
        <w:rPr>
          <w:rFonts w:ascii="Arial" w:eastAsia="Arial" w:hAnsi="Arial" w:cs="Arial"/>
          <w:bCs/>
          <w:color w:val="000000"/>
        </w:rPr>
      </w:pPr>
      <w:r w:rsidRPr="00A40BA5">
        <w:rPr>
          <w:rFonts w:ascii="Arial" w:eastAsia="Arial" w:hAnsi="Arial" w:cs="Arial"/>
          <w:bCs/>
          <w:color w:val="000000"/>
        </w:rPr>
        <w:t xml:space="preserve">The assessment of the long list against the relevant CSFs is summarised in </w:t>
      </w:r>
      <w:r w:rsidRPr="00A40BA5">
        <w:rPr>
          <w:rFonts w:ascii="Arial" w:eastAsia="Arial" w:hAnsi="Arial" w:cs="Arial"/>
          <w:bCs/>
          <w:color w:val="000000"/>
        </w:rPr>
        <w:fldChar w:fldCharType="begin"/>
      </w:r>
      <w:r w:rsidRPr="00A40BA5">
        <w:rPr>
          <w:rFonts w:ascii="Arial" w:eastAsia="Arial" w:hAnsi="Arial" w:cs="Arial"/>
          <w:bCs/>
          <w:color w:val="000000"/>
        </w:rPr>
        <w:instrText xml:space="preserve"> REF _Ref30420615 \h </w:instrText>
      </w:r>
      <w:r>
        <w:rPr>
          <w:rFonts w:ascii="Arial" w:eastAsia="Arial" w:hAnsi="Arial" w:cs="Arial"/>
          <w:bCs/>
          <w:color w:val="000000"/>
        </w:rPr>
        <w:instrText xml:space="preserve"> \* MERGEFORMAT </w:instrText>
      </w:r>
      <w:r w:rsidRPr="00A40BA5">
        <w:rPr>
          <w:rFonts w:ascii="Arial" w:eastAsia="Arial" w:hAnsi="Arial" w:cs="Arial"/>
          <w:bCs/>
          <w:color w:val="000000"/>
        </w:rPr>
      </w:r>
      <w:r w:rsidRPr="00A40BA5">
        <w:rPr>
          <w:rFonts w:ascii="Arial" w:eastAsia="Arial" w:hAnsi="Arial" w:cs="Arial"/>
          <w:bCs/>
          <w:color w:val="000000"/>
        </w:rPr>
        <w:fldChar w:fldCharType="separate"/>
      </w:r>
      <w:r w:rsidR="00A936CD" w:rsidRPr="00A936CD">
        <w:rPr>
          <w:rFonts w:ascii="Arial" w:hAnsi="Arial" w:cs="Arial"/>
        </w:rPr>
        <w:t xml:space="preserve">Table </w:t>
      </w:r>
      <w:r w:rsidR="00A936CD" w:rsidRPr="00A936CD">
        <w:rPr>
          <w:rFonts w:ascii="Arial" w:hAnsi="Arial" w:cs="Arial"/>
          <w:noProof/>
        </w:rPr>
        <w:t>17</w:t>
      </w:r>
      <w:r w:rsidRPr="00A40BA5">
        <w:rPr>
          <w:rFonts w:ascii="Arial" w:eastAsia="Arial" w:hAnsi="Arial" w:cs="Arial"/>
          <w:bCs/>
          <w:color w:val="000000"/>
        </w:rPr>
        <w:fldChar w:fldCharType="end"/>
      </w:r>
      <w:r w:rsidRPr="00A40BA5">
        <w:rPr>
          <w:rFonts w:ascii="Arial" w:eastAsia="Arial" w:hAnsi="Arial" w:cs="Arial"/>
          <w:bCs/>
          <w:color w:val="000000"/>
        </w:rPr>
        <w:t>.</w:t>
      </w:r>
      <w:r>
        <w:rPr>
          <w:rFonts w:ascii="Arial" w:eastAsia="Arial" w:hAnsi="Arial" w:cs="Arial"/>
          <w:bCs/>
          <w:color w:val="000000"/>
        </w:rPr>
        <w:t xml:space="preserve"> This shows</w:t>
      </w:r>
      <w:r w:rsidRPr="00587DF1">
        <w:rPr>
          <w:rFonts w:ascii="Arial" w:eastAsia="Arial" w:hAnsi="Arial" w:cs="Arial"/>
          <w:bCs/>
          <w:color w:val="000000"/>
        </w:rPr>
        <w:t xml:space="preserve"> whether the option fails the </w:t>
      </w:r>
      <w:r>
        <w:rPr>
          <w:rFonts w:ascii="Arial" w:eastAsia="Arial" w:hAnsi="Arial" w:cs="Arial"/>
          <w:bCs/>
          <w:color w:val="000000"/>
        </w:rPr>
        <w:t>CSFs</w:t>
      </w:r>
      <w:r w:rsidRPr="00587DF1">
        <w:rPr>
          <w:rFonts w:ascii="Arial" w:eastAsia="Arial" w:hAnsi="Arial" w:cs="Arial"/>
          <w:bCs/>
          <w:color w:val="000000"/>
        </w:rPr>
        <w:t xml:space="preserve"> and is therefore rejected, or passes the </w:t>
      </w:r>
      <w:r>
        <w:rPr>
          <w:rFonts w:ascii="Arial" w:eastAsia="Arial" w:hAnsi="Arial" w:cs="Arial"/>
          <w:bCs/>
          <w:color w:val="000000"/>
        </w:rPr>
        <w:t>CSFs</w:t>
      </w:r>
      <w:r w:rsidRPr="00587DF1">
        <w:rPr>
          <w:rFonts w:ascii="Arial" w:eastAsia="Arial" w:hAnsi="Arial" w:cs="Arial"/>
          <w:bCs/>
          <w:color w:val="000000"/>
        </w:rPr>
        <w:t xml:space="preserve"> and is therefore carried forward. Under each domain a preferred </w:t>
      </w:r>
      <w:r>
        <w:rPr>
          <w:rFonts w:ascii="Arial" w:eastAsia="Arial" w:hAnsi="Arial" w:cs="Arial"/>
          <w:bCs/>
          <w:color w:val="000000"/>
        </w:rPr>
        <w:t>way forward</w:t>
      </w:r>
      <w:r w:rsidRPr="00587DF1">
        <w:rPr>
          <w:rFonts w:ascii="Arial" w:eastAsia="Arial" w:hAnsi="Arial" w:cs="Arial"/>
          <w:bCs/>
          <w:color w:val="000000"/>
        </w:rPr>
        <w:t xml:space="preserve"> is identified which best meets the </w:t>
      </w:r>
      <w:r>
        <w:rPr>
          <w:rFonts w:ascii="Arial" w:eastAsia="Arial" w:hAnsi="Arial" w:cs="Arial"/>
          <w:bCs/>
          <w:color w:val="000000"/>
        </w:rPr>
        <w:t>CSFs</w:t>
      </w:r>
      <w:r w:rsidRPr="00587DF1">
        <w:rPr>
          <w:rFonts w:ascii="Arial" w:eastAsia="Arial" w:hAnsi="Arial" w:cs="Arial"/>
          <w:bCs/>
          <w:color w:val="000000"/>
        </w:rPr>
        <w:t xml:space="preserve">. </w:t>
      </w:r>
    </w:p>
    <w:p w14:paraId="4DE33C36" w14:textId="736C4901" w:rsidR="00FF6E56" w:rsidRPr="00A40BA5" w:rsidRDefault="00FF6E56" w:rsidP="00FF6E56">
      <w:pPr>
        <w:pStyle w:val="Caption"/>
        <w:rPr>
          <w:b w:val="0"/>
          <w:bCs w:val="0"/>
        </w:rPr>
      </w:pPr>
      <w:bookmarkStart w:id="187" w:name="_Ref30420615"/>
      <w:r>
        <w:t xml:space="preserve">Table </w:t>
      </w:r>
      <w:r>
        <w:fldChar w:fldCharType="begin"/>
      </w:r>
      <w:r>
        <w:instrText xml:space="preserve"> SEQ Table \* ARABIC </w:instrText>
      </w:r>
      <w:r>
        <w:fldChar w:fldCharType="separate"/>
      </w:r>
      <w:r w:rsidR="00A936CD">
        <w:rPr>
          <w:noProof/>
        </w:rPr>
        <w:t>17</w:t>
      </w:r>
      <w:r>
        <w:fldChar w:fldCharType="end"/>
      </w:r>
      <w:bookmarkEnd w:id="187"/>
      <w:r>
        <w:t xml:space="preserve">: </w:t>
      </w:r>
      <w:r w:rsidRPr="00A40BA5">
        <w:rPr>
          <w:b w:val="0"/>
          <w:bCs w:val="0"/>
        </w:rPr>
        <w:t>Overview of assessment of longlisted options against CSFs</w:t>
      </w:r>
    </w:p>
    <w:tbl>
      <w:tblPr>
        <w:tblW w:w="0" w:type="auto"/>
        <w:tblLook w:val="04A0" w:firstRow="1" w:lastRow="0" w:firstColumn="1" w:lastColumn="0" w:noHBand="0" w:noVBand="1"/>
      </w:tblPr>
      <w:tblGrid>
        <w:gridCol w:w="567"/>
        <w:gridCol w:w="3703"/>
        <w:gridCol w:w="4746"/>
      </w:tblGrid>
      <w:tr w:rsidR="00FF6E56" w:rsidRPr="00A40BA5" w14:paraId="5B926569" w14:textId="77777777" w:rsidTr="0070603A">
        <w:trPr>
          <w:cantSplit/>
          <w:tblHeader/>
        </w:trPr>
        <w:tc>
          <w:tcPr>
            <w:tcW w:w="4361" w:type="dxa"/>
            <w:gridSpan w:val="2"/>
            <w:tcBorders>
              <w:top w:val="single" w:sz="4" w:space="0" w:color="auto"/>
              <w:left w:val="single" w:sz="4" w:space="0" w:color="auto"/>
              <w:bottom w:val="single" w:sz="4" w:space="0" w:color="auto"/>
              <w:right w:val="single" w:sz="4" w:space="0" w:color="auto"/>
            </w:tcBorders>
            <w:shd w:val="clear" w:color="auto" w:fill="4F81BD"/>
          </w:tcPr>
          <w:p w14:paraId="2189C27B" w14:textId="77777777" w:rsidR="00FF6E56" w:rsidRPr="00A40BA5" w:rsidRDefault="00FF6E56" w:rsidP="0070603A">
            <w:pPr>
              <w:pStyle w:val="TableHeading"/>
              <w:spacing w:beforeLines="20" w:before="48" w:afterLines="20" w:after="48"/>
              <w:rPr>
                <w:sz w:val="18"/>
                <w:szCs w:val="18"/>
              </w:rPr>
            </w:pPr>
            <w:r w:rsidRPr="00A40BA5">
              <w:rPr>
                <w:sz w:val="18"/>
                <w:szCs w:val="18"/>
              </w:rPr>
              <w:t>Options</w:t>
            </w:r>
          </w:p>
        </w:tc>
        <w:tc>
          <w:tcPr>
            <w:tcW w:w="4881" w:type="dxa"/>
            <w:tcBorders>
              <w:top w:val="single" w:sz="4" w:space="0" w:color="auto"/>
              <w:left w:val="single" w:sz="4" w:space="0" w:color="auto"/>
              <w:bottom w:val="single" w:sz="4" w:space="0" w:color="auto"/>
              <w:right w:val="single" w:sz="4" w:space="0" w:color="auto"/>
            </w:tcBorders>
            <w:shd w:val="clear" w:color="auto" w:fill="4F81BD"/>
          </w:tcPr>
          <w:p w14:paraId="3CF69A83" w14:textId="77777777" w:rsidR="00FF6E56" w:rsidRPr="00A40BA5" w:rsidRDefault="00FF6E56" w:rsidP="0070603A">
            <w:pPr>
              <w:pStyle w:val="TableHeading"/>
              <w:spacing w:beforeLines="20" w:before="48" w:afterLines="20" w:after="48"/>
              <w:rPr>
                <w:sz w:val="18"/>
                <w:szCs w:val="18"/>
              </w:rPr>
            </w:pPr>
            <w:r w:rsidRPr="00A40BA5">
              <w:rPr>
                <w:sz w:val="18"/>
                <w:szCs w:val="18"/>
              </w:rPr>
              <w:t>Summary of assessment</w:t>
            </w:r>
          </w:p>
        </w:tc>
      </w:tr>
      <w:tr w:rsidR="00FF6E56" w:rsidRPr="00A40BA5" w14:paraId="0A3A6BF2" w14:textId="77777777" w:rsidTr="0070603A">
        <w:trPr>
          <w:cantSplit/>
        </w:trPr>
        <w:tc>
          <w:tcPr>
            <w:tcW w:w="0" w:type="auto"/>
            <w:gridSpan w:val="3"/>
            <w:tcBorders>
              <w:top w:val="single" w:sz="4" w:space="0" w:color="auto"/>
              <w:left w:val="single" w:sz="4" w:space="0" w:color="auto"/>
              <w:bottom w:val="single" w:sz="4" w:space="0" w:color="auto"/>
              <w:right w:val="single" w:sz="4" w:space="0" w:color="auto"/>
            </w:tcBorders>
            <w:shd w:val="clear" w:color="auto" w:fill="CFDDED"/>
          </w:tcPr>
          <w:p w14:paraId="1A495479" w14:textId="77777777" w:rsidR="00FF6E56" w:rsidRPr="00A40BA5" w:rsidRDefault="00FF6E56" w:rsidP="0070603A">
            <w:pPr>
              <w:pStyle w:val="TableText"/>
              <w:spacing w:beforeLines="20" w:before="48" w:afterLines="20" w:after="48"/>
              <w:rPr>
                <w:b/>
                <w:color w:val="auto"/>
                <w:sz w:val="18"/>
                <w:szCs w:val="18"/>
              </w:rPr>
            </w:pPr>
            <w:r w:rsidRPr="00A40BA5">
              <w:rPr>
                <w:b/>
                <w:color w:val="auto"/>
                <w:sz w:val="18"/>
                <w:szCs w:val="18"/>
              </w:rPr>
              <w:t>Scoping</w:t>
            </w:r>
          </w:p>
        </w:tc>
      </w:tr>
      <w:tr w:rsidR="00FF6E56" w:rsidRPr="00FE5985" w14:paraId="3C6CE305" w14:textId="77777777" w:rsidTr="0070603A">
        <w:trPr>
          <w:cantSplit/>
        </w:trPr>
        <w:tc>
          <w:tcPr>
            <w:tcW w:w="0" w:type="auto"/>
            <w:gridSpan w:val="3"/>
            <w:tcBorders>
              <w:top w:val="single" w:sz="4" w:space="0" w:color="auto"/>
              <w:left w:val="single" w:sz="4" w:space="0" w:color="auto"/>
              <w:bottom w:val="single" w:sz="4" w:space="0" w:color="auto"/>
              <w:right w:val="single" w:sz="4" w:space="0" w:color="auto"/>
            </w:tcBorders>
          </w:tcPr>
          <w:p w14:paraId="7E4BC90D" w14:textId="77777777" w:rsidR="00FF6E56" w:rsidRPr="00E00598" w:rsidRDefault="00FF6E56" w:rsidP="0070603A">
            <w:pPr>
              <w:pStyle w:val="TableText"/>
              <w:spacing w:beforeLines="20" w:before="48" w:afterLines="20" w:after="48"/>
              <w:rPr>
                <w:b/>
                <w:sz w:val="18"/>
                <w:szCs w:val="18"/>
              </w:rPr>
            </w:pPr>
            <w:r w:rsidRPr="00E00598">
              <w:rPr>
                <w:b/>
                <w:sz w:val="18"/>
                <w:szCs w:val="18"/>
              </w:rPr>
              <w:t>Clinical</w:t>
            </w:r>
          </w:p>
        </w:tc>
      </w:tr>
      <w:tr w:rsidR="00FF6E56" w:rsidRPr="00FE5985" w14:paraId="3FE05A3D"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384E14DA"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1.1a</w:t>
            </w:r>
          </w:p>
        </w:tc>
        <w:tc>
          <w:tcPr>
            <w:tcW w:w="3794" w:type="dxa"/>
            <w:tcBorders>
              <w:top w:val="single" w:sz="4" w:space="0" w:color="auto"/>
              <w:left w:val="single" w:sz="4" w:space="0" w:color="auto"/>
              <w:bottom w:val="single" w:sz="4" w:space="0" w:color="auto"/>
              <w:right w:val="single" w:sz="4" w:space="0" w:color="auto"/>
            </w:tcBorders>
          </w:tcPr>
          <w:p w14:paraId="2682C776" w14:textId="77777777" w:rsidR="00FF6E56" w:rsidRPr="00FE5985" w:rsidRDefault="00FF6E56" w:rsidP="0070603A">
            <w:pPr>
              <w:pStyle w:val="TableText"/>
              <w:spacing w:beforeLines="20" w:before="48" w:afterLines="20" w:after="48"/>
              <w:rPr>
                <w:sz w:val="18"/>
                <w:szCs w:val="18"/>
              </w:rPr>
            </w:pPr>
            <w:r w:rsidRPr="00FE5985">
              <w:rPr>
                <w:sz w:val="18"/>
                <w:szCs w:val="18"/>
              </w:rPr>
              <w:t>‘Business as usual’</w:t>
            </w:r>
          </w:p>
        </w:tc>
        <w:tc>
          <w:tcPr>
            <w:tcW w:w="4881" w:type="dxa"/>
            <w:tcBorders>
              <w:top w:val="single" w:sz="4" w:space="0" w:color="auto"/>
              <w:left w:val="single" w:sz="4" w:space="0" w:color="auto"/>
              <w:bottom w:val="single" w:sz="4" w:space="0" w:color="auto"/>
              <w:right w:val="single" w:sz="4" w:space="0" w:color="auto"/>
            </w:tcBorders>
            <w:shd w:val="clear" w:color="auto" w:fill="FFEB84"/>
          </w:tcPr>
          <w:p w14:paraId="022AD2A9" w14:textId="77777777" w:rsidR="00FF6E56" w:rsidRPr="00FE5985" w:rsidRDefault="00FF6E56" w:rsidP="0070603A">
            <w:pPr>
              <w:pStyle w:val="TableText"/>
              <w:spacing w:beforeLines="20" w:before="48" w:afterLines="20" w:after="48"/>
              <w:rPr>
                <w:sz w:val="18"/>
                <w:szCs w:val="18"/>
              </w:rPr>
            </w:pPr>
            <w:r w:rsidRPr="00FE5985">
              <w:rPr>
                <w:sz w:val="18"/>
                <w:szCs w:val="18"/>
              </w:rPr>
              <w:t>Carried forward as ‘business as usual’</w:t>
            </w:r>
          </w:p>
        </w:tc>
      </w:tr>
      <w:tr w:rsidR="00FF6E56" w:rsidRPr="00FE5985" w14:paraId="755A3350"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1CF29C86"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1.1b</w:t>
            </w:r>
          </w:p>
        </w:tc>
        <w:tc>
          <w:tcPr>
            <w:tcW w:w="3794" w:type="dxa"/>
            <w:tcBorders>
              <w:top w:val="single" w:sz="4" w:space="0" w:color="auto"/>
              <w:left w:val="single" w:sz="4" w:space="0" w:color="auto"/>
              <w:bottom w:val="single" w:sz="4" w:space="0" w:color="auto"/>
              <w:right w:val="single" w:sz="4" w:space="0" w:color="auto"/>
            </w:tcBorders>
          </w:tcPr>
          <w:p w14:paraId="226B7A4D" w14:textId="77777777" w:rsidR="00FF6E56" w:rsidRPr="00FE5985" w:rsidRDefault="00FF6E56" w:rsidP="0070603A">
            <w:pPr>
              <w:pStyle w:val="TableText"/>
              <w:spacing w:beforeLines="20" w:before="48" w:afterLines="20" w:after="48"/>
              <w:rPr>
                <w:sz w:val="18"/>
                <w:szCs w:val="18"/>
              </w:rPr>
            </w:pPr>
            <w:r w:rsidRPr="00FE5985">
              <w:rPr>
                <w:sz w:val="18"/>
                <w:szCs w:val="18"/>
              </w:rPr>
              <w:t>Future system care mode</w:t>
            </w:r>
          </w:p>
        </w:tc>
        <w:tc>
          <w:tcPr>
            <w:tcW w:w="4881" w:type="dxa"/>
            <w:tcBorders>
              <w:top w:val="single" w:sz="4" w:space="0" w:color="auto"/>
              <w:left w:val="single" w:sz="4" w:space="0" w:color="auto"/>
              <w:bottom w:val="single" w:sz="4" w:space="0" w:color="auto"/>
              <w:right w:val="single" w:sz="4" w:space="0" w:color="auto"/>
            </w:tcBorders>
            <w:shd w:val="clear" w:color="auto" w:fill="FFEB84"/>
          </w:tcPr>
          <w:p w14:paraId="103FA99A" w14:textId="77777777" w:rsidR="00FF6E56" w:rsidRPr="00FE5985" w:rsidRDefault="00FF6E56" w:rsidP="0070603A">
            <w:pPr>
              <w:pStyle w:val="TableText"/>
              <w:spacing w:beforeLines="20" w:before="48" w:afterLines="20" w:after="48"/>
              <w:rPr>
                <w:sz w:val="18"/>
                <w:szCs w:val="18"/>
              </w:rPr>
            </w:pPr>
            <w:r w:rsidRPr="00FE5985">
              <w:rPr>
                <w:sz w:val="18"/>
                <w:szCs w:val="18"/>
              </w:rPr>
              <w:t>Carried forward</w:t>
            </w:r>
            <w:r>
              <w:rPr>
                <w:sz w:val="18"/>
                <w:szCs w:val="18"/>
              </w:rPr>
              <w:t xml:space="preserve"> as it is currently being developed and will need to be further considered at OBC</w:t>
            </w:r>
          </w:p>
        </w:tc>
      </w:tr>
      <w:tr w:rsidR="00FF6E56" w:rsidRPr="00FE5985" w14:paraId="6E4F37C2" w14:textId="77777777" w:rsidTr="0070603A">
        <w:trPr>
          <w:cantSplit/>
        </w:trPr>
        <w:tc>
          <w:tcPr>
            <w:tcW w:w="0" w:type="auto"/>
            <w:gridSpan w:val="3"/>
            <w:tcBorders>
              <w:top w:val="single" w:sz="4" w:space="0" w:color="auto"/>
              <w:left w:val="single" w:sz="4" w:space="0" w:color="auto"/>
              <w:bottom w:val="single" w:sz="4" w:space="0" w:color="auto"/>
              <w:right w:val="single" w:sz="4" w:space="0" w:color="auto"/>
            </w:tcBorders>
          </w:tcPr>
          <w:p w14:paraId="206F7103" w14:textId="77777777" w:rsidR="00FF6E56" w:rsidRPr="00E00598" w:rsidRDefault="00FF6E56" w:rsidP="0070603A">
            <w:pPr>
              <w:pStyle w:val="TableText"/>
              <w:spacing w:beforeLines="20" w:before="48" w:afterLines="20" w:after="48"/>
              <w:rPr>
                <w:b/>
                <w:sz w:val="18"/>
                <w:szCs w:val="18"/>
              </w:rPr>
            </w:pPr>
            <w:r w:rsidRPr="00E00598">
              <w:rPr>
                <w:b/>
                <w:sz w:val="18"/>
                <w:szCs w:val="18"/>
              </w:rPr>
              <w:t>Research and development</w:t>
            </w:r>
          </w:p>
        </w:tc>
      </w:tr>
      <w:tr w:rsidR="00FF6E56" w:rsidRPr="00FE5985" w14:paraId="2F1B8F65"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701B0C1A"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1.2a</w:t>
            </w:r>
          </w:p>
        </w:tc>
        <w:tc>
          <w:tcPr>
            <w:tcW w:w="3794" w:type="dxa"/>
            <w:tcBorders>
              <w:top w:val="single" w:sz="4" w:space="0" w:color="auto"/>
              <w:left w:val="single" w:sz="4" w:space="0" w:color="auto"/>
              <w:bottom w:val="single" w:sz="4" w:space="0" w:color="auto"/>
              <w:right w:val="single" w:sz="4" w:space="0" w:color="auto"/>
            </w:tcBorders>
          </w:tcPr>
          <w:p w14:paraId="58AC40BF" w14:textId="77777777" w:rsidR="00FF6E56" w:rsidRPr="00FE5985" w:rsidRDefault="00FF6E56" w:rsidP="0070603A">
            <w:pPr>
              <w:pStyle w:val="TableText"/>
              <w:spacing w:beforeLines="20" w:before="48" w:afterLines="20" w:after="48"/>
              <w:rPr>
                <w:sz w:val="18"/>
                <w:szCs w:val="18"/>
              </w:rPr>
            </w:pPr>
            <w:r w:rsidRPr="00FE5985">
              <w:rPr>
                <w:sz w:val="18"/>
                <w:szCs w:val="18"/>
              </w:rPr>
              <w:t>‘Business as usual’</w:t>
            </w:r>
          </w:p>
        </w:tc>
        <w:tc>
          <w:tcPr>
            <w:tcW w:w="4881" w:type="dxa"/>
            <w:tcBorders>
              <w:top w:val="single" w:sz="4" w:space="0" w:color="auto"/>
              <w:left w:val="single" w:sz="4" w:space="0" w:color="auto"/>
              <w:bottom w:val="single" w:sz="4" w:space="0" w:color="auto"/>
              <w:right w:val="single" w:sz="4" w:space="0" w:color="auto"/>
            </w:tcBorders>
            <w:shd w:val="clear" w:color="auto" w:fill="FFEB84"/>
          </w:tcPr>
          <w:p w14:paraId="633CD09A" w14:textId="77777777" w:rsidR="00FF6E56" w:rsidRPr="00FE5985" w:rsidRDefault="00FF6E56" w:rsidP="0070603A">
            <w:pPr>
              <w:pStyle w:val="TableText"/>
              <w:spacing w:beforeLines="20" w:before="48" w:afterLines="20" w:after="48"/>
              <w:rPr>
                <w:sz w:val="18"/>
                <w:szCs w:val="18"/>
              </w:rPr>
            </w:pPr>
            <w:r w:rsidRPr="00FE5985">
              <w:rPr>
                <w:sz w:val="18"/>
                <w:szCs w:val="18"/>
              </w:rPr>
              <w:t>Carried forward as ‘business as usual’</w:t>
            </w:r>
          </w:p>
        </w:tc>
      </w:tr>
      <w:tr w:rsidR="00FF6E56" w:rsidRPr="00FE5985" w14:paraId="30A79283"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4F58DB4D"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1.2b</w:t>
            </w:r>
          </w:p>
        </w:tc>
        <w:tc>
          <w:tcPr>
            <w:tcW w:w="3794" w:type="dxa"/>
            <w:tcBorders>
              <w:top w:val="single" w:sz="4" w:space="0" w:color="auto"/>
              <w:left w:val="single" w:sz="4" w:space="0" w:color="auto"/>
              <w:bottom w:val="single" w:sz="4" w:space="0" w:color="auto"/>
              <w:right w:val="single" w:sz="4" w:space="0" w:color="auto"/>
            </w:tcBorders>
          </w:tcPr>
          <w:p w14:paraId="1EE1E900" w14:textId="77777777" w:rsidR="00FF6E56" w:rsidRPr="00FE5985" w:rsidRDefault="00FF6E56" w:rsidP="0070603A">
            <w:pPr>
              <w:pStyle w:val="TableText"/>
              <w:spacing w:beforeLines="20" w:before="48" w:afterLines="20" w:after="48"/>
              <w:rPr>
                <w:sz w:val="18"/>
                <w:szCs w:val="18"/>
              </w:rPr>
            </w:pPr>
            <w:r w:rsidRPr="00FE5985">
              <w:rPr>
                <w:sz w:val="18"/>
                <w:szCs w:val="18"/>
              </w:rPr>
              <w:t>Future research and development model</w:t>
            </w:r>
          </w:p>
        </w:tc>
        <w:tc>
          <w:tcPr>
            <w:tcW w:w="4881" w:type="dxa"/>
            <w:tcBorders>
              <w:top w:val="single" w:sz="4" w:space="0" w:color="auto"/>
              <w:left w:val="single" w:sz="4" w:space="0" w:color="auto"/>
              <w:bottom w:val="single" w:sz="4" w:space="0" w:color="auto"/>
              <w:right w:val="single" w:sz="4" w:space="0" w:color="auto"/>
            </w:tcBorders>
            <w:shd w:val="clear" w:color="auto" w:fill="63BE7B"/>
          </w:tcPr>
          <w:p w14:paraId="5BB4582D" w14:textId="77777777" w:rsidR="00FF6E56" w:rsidRPr="00FE5985" w:rsidRDefault="00FF6E56" w:rsidP="0070603A">
            <w:pPr>
              <w:pStyle w:val="TableText"/>
              <w:spacing w:beforeLines="20" w:before="48" w:afterLines="20" w:after="48"/>
              <w:rPr>
                <w:sz w:val="18"/>
                <w:szCs w:val="18"/>
              </w:rPr>
            </w:pPr>
            <w:r w:rsidRPr="00FE5985">
              <w:rPr>
                <w:sz w:val="18"/>
                <w:szCs w:val="18"/>
              </w:rPr>
              <w:t>Carried forward as ‘preferred’</w:t>
            </w:r>
          </w:p>
        </w:tc>
      </w:tr>
      <w:tr w:rsidR="00FF6E56" w:rsidRPr="00FE5985" w14:paraId="1D2F052D" w14:textId="77777777" w:rsidTr="0070603A">
        <w:trPr>
          <w:cantSplit/>
        </w:trPr>
        <w:tc>
          <w:tcPr>
            <w:tcW w:w="0" w:type="auto"/>
            <w:gridSpan w:val="3"/>
            <w:tcBorders>
              <w:top w:val="single" w:sz="4" w:space="0" w:color="auto"/>
              <w:left w:val="single" w:sz="4" w:space="0" w:color="auto"/>
              <w:bottom w:val="single" w:sz="4" w:space="0" w:color="auto"/>
              <w:right w:val="single" w:sz="4" w:space="0" w:color="auto"/>
            </w:tcBorders>
          </w:tcPr>
          <w:p w14:paraId="27AC6F1A" w14:textId="77777777" w:rsidR="00FF6E56" w:rsidRPr="00E00598" w:rsidRDefault="00FF6E56" w:rsidP="0070603A">
            <w:pPr>
              <w:pStyle w:val="TableText"/>
              <w:spacing w:beforeLines="20" w:before="48" w:afterLines="20" w:after="48"/>
              <w:rPr>
                <w:b/>
                <w:sz w:val="18"/>
                <w:szCs w:val="18"/>
              </w:rPr>
            </w:pPr>
            <w:r w:rsidRPr="00E00598">
              <w:rPr>
                <w:b/>
                <w:sz w:val="18"/>
                <w:szCs w:val="18"/>
              </w:rPr>
              <w:t>Education</w:t>
            </w:r>
          </w:p>
        </w:tc>
      </w:tr>
      <w:tr w:rsidR="00FF6E56" w:rsidRPr="00FE5985" w14:paraId="21CA61B9"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2FE642D3"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1.3a</w:t>
            </w:r>
          </w:p>
        </w:tc>
        <w:tc>
          <w:tcPr>
            <w:tcW w:w="3794" w:type="dxa"/>
            <w:tcBorders>
              <w:top w:val="single" w:sz="4" w:space="0" w:color="auto"/>
              <w:left w:val="single" w:sz="4" w:space="0" w:color="auto"/>
              <w:bottom w:val="single" w:sz="4" w:space="0" w:color="auto"/>
              <w:right w:val="single" w:sz="4" w:space="0" w:color="auto"/>
            </w:tcBorders>
          </w:tcPr>
          <w:p w14:paraId="2F9E6A53" w14:textId="77777777" w:rsidR="00FF6E56" w:rsidRPr="00FE5985" w:rsidRDefault="00FF6E56" w:rsidP="0070603A">
            <w:pPr>
              <w:pStyle w:val="TableText"/>
              <w:spacing w:beforeLines="20" w:before="48" w:afterLines="20" w:after="48"/>
              <w:rPr>
                <w:sz w:val="18"/>
                <w:szCs w:val="18"/>
              </w:rPr>
            </w:pPr>
            <w:r w:rsidRPr="00FE5985">
              <w:rPr>
                <w:sz w:val="18"/>
                <w:szCs w:val="18"/>
              </w:rPr>
              <w:t>‘Business as usual’</w:t>
            </w:r>
          </w:p>
        </w:tc>
        <w:tc>
          <w:tcPr>
            <w:tcW w:w="4881" w:type="dxa"/>
            <w:tcBorders>
              <w:top w:val="single" w:sz="4" w:space="0" w:color="auto"/>
              <w:left w:val="single" w:sz="4" w:space="0" w:color="auto"/>
              <w:bottom w:val="single" w:sz="4" w:space="0" w:color="auto"/>
              <w:right w:val="single" w:sz="4" w:space="0" w:color="auto"/>
            </w:tcBorders>
            <w:shd w:val="clear" w:color="auto" w:fill="FFEB84"/>
          </w:tcPr>
          <w:p w14:paraId="6B61CB8A" w14:textId="77777777" w:rsidR="00FF6E56" w:rsidRPr="00FE5985" w:rsidRDefault="00FF6E56" w:rsidP="0070603A">
            <w:pPr>
              <w:pStyle w:val="TableText"/>
              <w:spacing w:beforeLines="20" w:before="48" w:afterLines="20" w:after="48"/>
              <w:rPr>
                <w:sz w:val="18"/>
                <w:szCs w:val="18"/>
              </w:rPr>
            </w:pPr>
            <w:r w:rsidRPr="00FE5985">
              <w:rPr>
                <w:sz w:val="18"/>
                <w:szCs w:val="18"/>
              </w:rPr>
              <w:t>Carried forward as ‘business as usual’</w:t>
            </w:r>
          </w:p>
        </w:tc>
      </w:tr>
      <w:tr w:rsidR="00FF6E56" w:rsidRPr="00FE5985" w14:paraId="0AF88576"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6C13C1F5"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1.3b</w:t>
            </w:r>
          </w:p>
        </w:tc>
        <w:tc>
          <w:tcPr>
            <w:tcW w:w="3794" w:type="dxa"/>
            <w:tcBorders>
              <w:top w:val="single" w:sz="4" w:space="0" w:color="auto"/>
              <w:left w:val="single" w:sz="4" w:space="0" w:color="auto"/>
              <w:bottom w:val="single" w:sz="4" w:space="0" w:color="auto"/>
              <w:right w:val="single" w:sz="4" w:space="0" w:color="auto"/>
            </w:tcBorders>
          </w:tcPr>
          <w:p w14:paraId="4D04C658" w14:textId="77777777" w:rsidR="00FF6E56" w:rsidRPr="00FE5985" w:rsidRDefault="00FF6E56" w:rsidP="0070603A">
            <w:pPr>
              <w:pStyle w:val="TableText"/>
              <w:spacing w:beforeLines="20" w:before="48" w:afterLines="20" w:after="48"/>
              <w:rPr>
                <w:sz w:val="18"/>
                <w:szCs w:val="18"/>
              </w:rPr>
            </w:pPr>
            <w:r w:rsidRPr="00FE5985">
              <w:rPr>
                <w:sz w:val="18"/>
                <w:szCs w:val="18"/>
              </w:rPr>
              <w:t>Future education model</w:t>
            </w:r>
          </w:p>
        </w:tc>
        <w:tc>
          <w:tcPr>
            <w:tcW w:w="4881" w:type="dxa"/>
            <w:tcBorders>
              <w:top w:val="single" w:sz="4" w:space="0" w:color="auto"/>
              <w:left w:val="single" w:sz="4" w:space="0" w:color="auto"/>
              <w:bottom w:val="single" w:sz="4" w:space="0" w:color="auto"/>
              <w:right w:val="single" w:sz="4" w:space="0" w:color="auto"/>
            </w:tcBorders>
            <w:shd w:val="clear" w:color="auto" w:fill="63BE7B"/>
          </w:tcPr>
          <w:p w14:paraId="4B39FF00" w14:textId="77777777" w:rsidR="00FF6E56" w:rsidRPr="00FE5985" w:rsidRDefault="00FF6E56" w:rsidP="0070603A">
            <w:pPr>
              <w:pStyle w:val="TableText"/>
              <w:spacing w:beforeLines="20" w:before="48" w:afterLines="20" w:after="48"/>
              <w:rPr>
                <w:sz w:val="18"/>
                <w:szCs w:val="18"/>
              </w:rPr>
            </w:pPr>
            <w:r w:rsidRPr="00FE5985">
              <w:rPr>
                <w:sz w:val="18"/>
                <w:szCs w:val="18"/>
              </w:rPr>
              <w:t>Carried forward as ‘preferred’</w:t>
            </w:r>
          </w:p>
        </w:tc>
      </w:tr>
      <w:tr w:rsidR="00FF6E56" w:rsidRPr="00A40BA5" w14:paraId="4823DE1C" w14:textId="77777777" w:rsidTr="0070603A">
        <w:trPr>
          <w:cantSplit/>
        </w:trPr>
        <w:tc>
          <w:tcPr>
            <w:tcW w:w="0" w:type="auto"/>
            <w:gridSpan w:val="3"/>
            <w:tcBorders>
              <w:top w:val="single" w:sz="4" w:space="0" w:color="auto"/>
              <w:left w:val="single" w:sz="4" w:space="0" w:color="auto"/>
              <w:bottom w:val="single" w:sz="4" w:space="0" w:color="auto"/>
              <w:right w:val="single" w:sz="4" w:space="0" w:color="auto"/>
            </w:tcBorders>
            <w:shd w:val="clear" w:color="auto" w:fill="CFDDED"/>
          </w:tcPr>
          <w:p w14:paraId="7B24A6E7" w14:textId="77777777" w:rsidR="00FF6E56" w:rsidRPr="00A40BA5" w:rsidRDefault="00FF6E56" w:rsidP="0070603A">
            <w:pPr>
              <w:pStyle w:val="TableText"/>
              <w:spacing w:beforeLines="20" w:before="48" w:afterLines="20" w:after="48"/>
              <w:rPr>
                <w:b/>
                <w:color w:val="auto"/>
                <w:sz w:val="18"/>
                <w:szCs w:val="18"/>
              </w:rPr>
            </w:pPr>
            <w:r w:rsidRPr="00A40BA5">
              <w:rPr>
                <w:b/>
                <w:color w:val="auto"/>
                <w:sz w:val="18"/>
                <w:szCs w:val="18"/>
              </w:rPr>
              <w:t>Service solution</w:t>
            </w:r>
          </w:p>
        </w:tc>
      </w:tr>
      <w:tr w:rsidR="00FF6E56" w:rsidRPr="00FE5985" w14:paraId="1D8B3B02"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230CAB1F"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2.0</w:t>
            </w:r>
          </w:p>
        </w:tc>
        <w:tc>
          <w:tcPr>
            <w:tcW w:w="3794" w:type="dxa"/>
            <w:tcBorders>
              <w:top w:val="single" w:sz="4" w:space="0" w:color="auto"/>
              <w:left w:val="single" w:sz="4" w:space="0" w:color="auto"/>
              <w:bottom w:val="single" w:sz="4" w:space="0" w:color="auto"/>
              <w:right w:val="single" w:sz="4" w:space="0" w:color="auto"/>
            </w:tcBorders>
          </w:tcPr>
          <w:p w14:paraId="380D7AA9" w14:textId="77777777" w:rsidR="00FF6E56" w:rsidRPr="00FE5985" w:rsidRDefault="00FF6E56" w:rsidP="0070603A">
            <w:pPr>
              <w:pStyle w:val="TableText"/>
              <w:spacing w:beforeLines="20" w:before="48" w:afterLines="20" w:after="48"/>
              <w:rPr>
                <w:sz w:val="18"/>
                <w:szCs w:val="18"/>
              </w:rPr>
            </w:pPr>
            <w:r w:rsidRPr="00FE5985">
              <w:rPr>
                <w:sz w:val="18"/>
                <w:szCs w:val="18"/>
              </w:rPr>
              <w:t>‘Business as usual’: all occupants remain in existing estate and works undertaken to enable premises usage for 50 years</w:t>
            </w:r>
          </w:p>
        </w:tc>
        <w:tc>
          <w:tcPr>
            <w:tcW w:w="4881" w:type="dxa"/>
            <w:tcBorders>
              <w:top w:val="single" w:sz="4" w:space="0" w:color="auto"/>
              <w:left w:val="single" w:sz="4" w:space="0" w:color="auto"/>
              <w:bottom w:val="single" w:sz="4" w:space="0" w:color="auto"/>
              <w:right w:val="single" w:sz="4" w:space="0" w:color="auto"/>
            </w:tcBorders>
            <w:shd w:val="clear" w:color="auto" w:fill="FFEB84"/>
          </w:tcPr>
          <w:p w14:paraId="78277A49" w14:textId="77777777" w:rsidR="00FF6E56" w:rsidRPr="00FE5985" w:rsidRDefault="00FF6E56" w:rsidP="0070603A">
            <w:pPr>
              <w:pStyle w:val="TableText"/>
              <w:spacing w:beforeLines="20" w:before="48" w:afterLines="20" w:after="48"/>
              <w:rPr>
                <w:sz w:val="18"/>
                <w:szCs w:val="18"/>
              </w:rPr>
            </w:pPr>
            <w:r>
              <w:rPr>
                <w:sz w:val="18"/>
                <w:szCs w:val="18"/>
              </w:rPr>
              <w:t>Fails the majority of CSFs, however c</w:t>
            </w:r>
            <w:r w:rsidRPr="00FE5985">
              <w:rPr>
                <w:sz w:val="18"/>
                <w:szCs w:val="18"/>
              </w:rPr>
              <w:t>arried forward as ‘business as usual’</w:t>
            </w:r>
          </w:p>
        </w:tc>
      </w:tr>
      <w:tr w:rsidR="00FF6E56" w:rsidRPr="00FE5985" w14:paraId="27C79B31"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01637234"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2.1</w:t>
            </w:r>
          </w:p>
        </w:tc>
        <w:tc>
          <w:tcPr>
            <w:tcW w:w="3794" w:type="dxa"/>
            <w:tcBorders>
              <w:top w:val="single" w:sz="4" w:space="0" w:color="auto"/>
              <w:left w:val="single" w:sz="4" w:space="0" w:color="auto"/>
              <w:bottom w:val="single" w:sz="4" w:space="0" w:color="auto"/>
              <w:right w:val="single" w:sz="4" w:space="0" w:color="auto"/>
            </w:tcBorders>
          </w:tcPr>
          <w:p w14:paraId="5F20EA63" w14:textId="77777777" w:rsidR="00FF6E56" w:rsidRPr="00FE5985" w:rsidRDefault="00FF6E56" w:rsidP="0070603A">
            <w:pPr>
              <w:pStyle w:val="TableText"/>
              <w:spacing w:beforeLines="20" w:before="48" w:afterLines="20" w:after="48"/>
              <w:rPr>
                <w:sz w:val="18"/>
                <w:szCs w:val="18"/>
              </w:rPr>
            </w:pPr>
            <w:r w:rsidRPr="00FE5985">
              <w:rPr>
                <w:sz w:val="18"/>
                <w:szCs w:val="18"/>
              </w:rPr>
              <w:t>Development of land between Moorfields and UCL IoO, City Road site</w:t>
            </w:r>
          </w:p>
        </w:tc>
        <w:tc>
          <w:tcPr>
            <w:tcW w:w="4881" w:type="dxa"/>
            <w:tcBorders>
              <w:top w:val="single" w:sz="4" w:space="0" w:color="auto"/>
              <w:left w:val="single" w:sz="4" w:space="0" w:color="auto"/>
              <w:bottom w:val="single" w:sz="4" w:space="0" w:color="auto"/>
              <w:right w:val="single" w:sz="4" w:space="0" w:color="auto"/>
            </w:tcBorders>
            <w:shd w:val="clear" w:color="auto" w:fill="F8696B"/>
          </w:tcPr>
          <w:p w14:paraId="0CCCCC55" w14:textId="77777777" w:rsidR="00FF6E56" w:rsidRPr="00FE5985" w:rsidRDefault="00FF6E56" w:rsidP="0070603A">
            <w:pPr>
              <w:pStyle w:val="TableText"/>
              <w:spacing w:beforeLines="20" w:before="48" w:afterLines="20" w:after="48"/>
              <w:rPr>
                <w:sz w:val="18"/>
                <w:szCs w:val="18"/>
              </w:rPr>
            </w:pPr>
            <w:r w:rsidRPr="00FE5985">
              <w:rPr>
                <w:sz w:val="18"/>
                <w:szCs w:val="18"/>
              </w:rPr>
              <w:t>Discounted</w:t>
            </w:r>
            <w:r>
              <w:rPr>
                <w:sz w:val="18"/>
                <w:szCs w:val="18"/>
              </w:rPr>
              <w:t xml:space="preserve"> – fails four CSFs</w:t>
            </w:r>
          </w:p>
        </w:tc>
      </w:tr>
      <w:tr w:rsidR="00FF6E56" w:rsidRPr="00FE5985" w14:paraId="44FD150D"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2F997720"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2.2</w:t>
            </w:r>
          </w:p>
        </w:tc>
        <w:tc>
          <w:tcPr>
            <w:tcW w:w="3794" w:type="dxa"/>
            <w:tcBorders>
              <w:top w:val="single" w:sz="4" w:space="0" w:color="auto"/>
              <w:left w:val="single" w:sz="4" w:space="0" w:color="auto"/>
              <w:bottom w:val="single" w:sz="4" w:space="0" w:color="auto"/>
              <w:right w:val="single" w:sz="4" w:space="0" w:color="auto"/>
            </w:tcBorders>
          </w:tcPr>
          <w:p w14:paraId="2D7BD5AD" w14:textId="77777777" w:rsidR="00FF6E56" w:rsidRPr="00FE5985" w:rsidRDefault="00FF6E56" w:rsidP="0070603A">
            <w:pPr>
              <w:pStyle w:val="TableText"/>
              <w:spacing w:beforeLines="20" w:before="48" w:afterLines="20" w:after="48"/>
              <w:rPr>
                <w:sz w:val="18"/>
                <w:szCs w:val="18"/>
              </w:rPr>
            </w:pPr>
            <w:r w:rsidRPr="00FE5985">
              <w:rPr>
                <w:sz w:val="18"/>
                <w:szCs w:val="18"/>
              </w:rPr>
              <w:t>Development of the easternmost end of the current hospital site bordering City Road</w:t>
            </w:r>
          </w:p>
        </w:tc>
        <w:tc>
          <w:tcPr>
            <w:tcW w:w="4881" w:type="dxa"/>
            <w:tcBorders>
              <w:top w:val="single" w:sz="4" w:space="0" w:color="auto"/>
              <w:left w:val="single" w:sz="4" w:space="0" w:color="auto"/>
              <w:bottom w:val="single" w:sz="4" w:space="0" w:color="auto"/>
              <w:right w:val="single" w:sz="4" w:space="0" w:color="auto"/>
            </w:tcBorders>
            <w:shd w:val="clear" w:color="auto" w:fill="FFEB84"/>
          </w:tcPr>
          <w:p w14:paraId="02C11987" w14:textId="77777777" w:rsidR="00FF6E56" w:rsidRPr="00FE5985" w:rsidRDefault="00FF6E56" w:rsidP="0070603A">
            <w:pPr>
              <w:pStyle w:val="TableText"/>
              <w:spacing w:beforeLines="20" w:before="48" w:afterLines="20" w:after="48"/>
              <w:rPr>
                <w:sz w:val="18"/>
                <w:szCs w:val="18"/>
              </w:rPr>
            </w:pPr>
            <w:r w:rsidRPr="00FE5985">
              <w:rPr>
                <w:sz w:val="18"/>
                <w:szCs w:val="18"/>
              </w:rPr>
              <w:t>Carried forward as best option on current site</w:t>
            </w:r>
          </w:p>
        </w:tc>
      </w:tr>
      <w:tr w:rsidR="00FF6E56" w:rsidRPr="00FE5985" w14:paraId="37E48A0F"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3C1D78BB"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2.3</w:t>
            </w:r>
          </w:p>
        </w:tc>
        <w:tc>
          <w:tcPr>
            <w:tcW w:w="3794" w:type="dxa"/>
            <w:tcBorders>
              <w:top w:val="single" w:sz="4" w:space="0" w:color="auto"/>
              <w:left w:val="single" w:sz="4" w:space="0" w:color="auto"/>
              <w:bottom w:val="single" w:sz="4" w:space="0" w:color="auto"/>
              <w:right w:val="single" w:sz="4" w:space="0" w:color="auto"/>
            </w:tcBorders>
          </w:tcPr>
          <w:p w14:paraId="51AD62B8" w14:textId="77777777" w:rsidR="00FF6E56" w:rsidRPr="00FE5985" w:rsidRDefault="00FF6E56" w:rsidP="0070603A">
            <w:pPr>
              <w:pStyle w:val="TableText"/>
              <w:spacing w:beforeLines="20" w:before="48" w:afterLines="20" w:after="48"/>
              <w:rPr>
                <w:sz w:val="18"/>
                <w:szCs w:val="18"/>
              </w:rPr>
            </w:pPr>
            <w:r w:rsidRPr="00FE5985">
              <w:rPr>
                <w:sz w:val="18"/>
                <w:szCs w:val="18"/>
              </w:rPr>
              <w:t>Development of the southernmost side of the City Road hospital site bordering Peerless Street</w:t>
            </w:r>
          </w:p>
        </w:tc>
        <w:tc>
          <w:tcPr>
            <w:tcW w:w="4881" w:type="dxa"/>
            <w:tcBorders>
              <w:top w:val="single" w:sz="4" w:space="0" w:color="auto"/>
              <w:left w:val="single" w:sz="4" w:space="0" w:color="auto"/>
              <w:bottom w:val="single" w:sz="4" w:space="0" w:color="auto"/>
              <w:right w:val="single" w:sz="4" w:space="0" w:color="auto"/>
            </w:tcBorders>
            <w:shd w:val="clear" w:color="auto" w:fill="F8696B"/>
          </w:tcPr>
          <w:p w14:paraId="03B0FCF2" w14:textId="77777777" w:rsidR="00FF6E56" w:rsidRPr="00FE5985" w:rsidRDefault="00FF6E56" w:rsidP="0070603A">
            <w:pPr>
              <w:pStyle w:val="TableText"/>
              <w:spacing w:beforeLines="20" w:before="48" w:afterLines="20" w:after="48"/>
              <w:rPr>
                <w:sz w:val="18"/>
                <w:szCs w:val="18"/>
              </w:rPr>
            </w:pPr>
            <w:r w:rsidRPr="00FE5985">
              <w:rPr>
                <w:sz w:val="18"/>
                <w:szCs w:val="18"/>
              </w:rPr>
              <w:t>Discounted</w:t>
            </w:r>
            <w:r>
              <w:rPr>
                <w:sz w:val="18"/>
                <w:szCs w:val="18"/>
              </w:rPr>
              <w:t xml:space="preserve"> – does not allow integration of clinical and research services</w:t>
            </w:r>
          </w:p>
        </w:tc>
      </w:tr>
      <w:tr w:rsidR="00FF6E56" w:rsidRPr="00FE5985" w14:paraId="7F2BAF2D"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5591397D"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2.4</w:t>
            </w:r>
          </w:p>
        </w:tc>
        <w:tc>
          <w:tcPr>
            <w:tcW w:w="3794" w:type="dxa"/>
            <w:tcBorders>
              <w:top w:val="single" w:sz="4" w:space="0" w:color="auto"/>
              <w:left w:val="single" w:sz="4" w:space="0" w:color="auto"/>
              <w:bottom w:val="single" w:sz="4" w:space="0" w:color="auto"/>
              <w:right w:val="single" w:sz="4" w:space="0" w:color="auto"/>
            </w:tcBorders>
          </w:tcPr>
          <w:p w14:paraId="3F575AA9" w14:textId="77777777" w:rsidR="00FF6E56" w:rsidRPr="00FE5985" w:rsidRDefault="00FF6E56" w:rsidP="0070603A">
            <w:pPr>
              <w:pStyle w:val="TableText"/>
              <w:spacing w:beforeLines="20" w:before="48" w:afterLines="20" w:after="48"/>
              <w:rPr>
                <w:sz w:val="18"/>
                <w:szCs w:val="18"/>
              </w:rPr>
            </w:pPr>
            <w:r w:rsidRPr="00FE5985">
              <w:rPr>
                <w:sz w:val="18"/>
                <w:szCs w:val="18"/>
              </w:rPr>
              <w:t xml:space="preserve">Part new build and part refurbishment, City Road </w:t>
            </w:r>
          </w:p>
        </w:tc>
        <w:tc>
          <w:tcPr>
            <w:tcW w:w="4881" w:type="dxa"/>
            <w:tcBorders>
              <w:top w:val="single" w:sz="4" w:space="0" w:color="auto"/>
              <w:left w:val="single" w:sz="4" w:space="0" w:color="auto"/>
              <w:bottom w:val="single" w:sz="4" w:space="0" w:color="auto"/>
              <w:right w:val="single" w:sz="4" w:space="0" w:color="auto"/>
            </w:tcBorders>
            <w:shd w:val="clear" w:color="auto" w:fill="F8696B"/>
          </w:tcPr>
          <w:p w14:paraId="153DCE9A" w14:textId="77777777" w:rsidR="00FF6E56" w:rsidRPr="00FE5985" w:rsidRDefault="00FF6E56" w:rsidP="0070603A">
            <w:pPr>
              <w:pStyle w:val="TableText"/>
              <w:spacing w:beforeLines="20" w:before="48" w:afterLines="20" w:after="48"/>
              <w:rPr>
                <w:sz w:val="18"/>
                <w:szCs w:val="18"/>
              </w:rPr>
            </w:pPr>
            <w:r w:rsidRPr="00FE5985">
              <w:rPr>
                <w:sz w:val="18"/>
                <w:szCs w:val="18"/>
              </w:rPr>
              <w:t>Discounted</w:t>
            </w:r>
            <w:r>
              <w:rPr>
                <w:sz w:val="18"/>
                <w:szCs w:val="18"/>
              </w:rPr>
              <w:t xml:space="preserve"> – does not allow integration of clinical and research services</w:t>
            </w:r>
          </w:p>
        </w:tc>
      </w:tr>
      <w:tr w:rsidR="00FF6E56" w:rsidRPr="00FE5985" w14:paraId="13F41437"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49EC4B41"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lastRenderedPageBreak/>
              <w:t>2.5</w:t>
            </w:r>
          </w:p>
        </w:tc>
        <w:tc>
          <w:tcPr>
            <w:tcW w:w="3794" w:type="dxa"/>
            <w:tcBorders>
              <w:top w:val="single" w:sz="4" w:space="0" w:color="auto"/>
              <w:left w:val="single" w:sz="4" w:space="0" w:color="auto"/>
              <w:bottom w:val="single" w:sz="4" w:space="0" w:color="auto"/>
              <w:right w:val="single" w:sz="4" w:space="0" w:color="auto"/>
            </w:tcBorders>
          </w:tcPr>
          <w:p w14:paraId="090FEAD6" w14:textId="77777777" w:rsidR="00FF6E56" w:rsidRPr="00FE5985" w:rsidRDefault="00FF6E56" w:rsidP="0070603A">
            <w:pPr>
              <w:pStyle w:val="TableText"/>
              <w:spacing w:beforeLines="20" w:before="48" w:afterLines="20" w:after="48"/>
              <w:rPr>
                <w:sz w:val="18"/>
                <w:szCs w:val="18"/>
              </w:rPr>
            </w:pPr>
            <w:r w:rsidRPr="00FE5985">
              <w:rPr>
                <w:sz w:val="18"/>
                <w:szCs w:val="18"/>
              </w:rPr>
              <w:t xml:space="preserve">Relocation to St Pancras Hospital </w:t>
            </w:r>
          </w:p>
        </w:tc>
        <w:tc>
          <w:tcPr>
            <w:tcW w:w="4881" w:type="dxa"/>
            <w:tcBorders>
              <w:top w:val="single" w:sz="4" w:space="0" w:color="auto"/>
              <w:left w:val="single" w:sz="4" w:space="0" w:color="auto"/>
              <w:bottom w:val="single" w:sz="4" w:space="0" w:color="auto"/>
              <w:right w:val="single" w:sz="4" w:space="0" w:color="auto"/>
            </w:tcBorders>
            <w:shd w:val="clear" w:color="auto" w:fill="63BE7B"/>
          </w:tcPr>
          <w:p w14:paraId="42B0CEA3" w14:textId="77777777" w:rsidR="00FF6E56" w:rsidRPr="00FE5985" w:rsidRDefault="00FF6E56" w:rsidP="0070603A">
            <w:pPr>
              <w:pStyle w:val="TableText"/>
              <w:spacing w:beforeLines="20" w:before="48" w:afterLines="20" w:after="48"/>
              <w:rPr>
                <w:sz w:val="18"/>
                <w:szCs w:val="18"/>
              </w:rPr>
            </w:pPr>
            <w:r w:rsidRPr="00FE5985">
              <w:rPr>
                <w:sz w:val="18"/>
                <w:szCs w:val="18"/>
              </w:rPr>
              <w:t>Carried forward as ‘preferred’</w:t>
            </w:r>
          </w:p>
        </w:tc>
      </w:tr>
      <w:tr w:rsidR="00FF6E56" w:rsidRPr="00FE5985" w14:paraId="0CED6397"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15B84305"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2.6</w:t>
            </w:r>
          </w:p>
        </w:tc>
        <w:tc>
          <w:tcPr>
            <w:tcW w:w="3794" w:type="dxa"/>
            <w:tcBorders>
              <w:top w:val="single" w:sz="4" w:space="0" w:color="auto"/>
              <w:left w:val="single" w:sz="4" w:space="0" w:color="auto"/>
              <w:bottom w:val="single" w:sz="4" w:space="0" w:color="auto"/>
              <w:right w:val="single" w:sz="4" w:space="0" w:color="auto"/>
            </w:tcBorders>
          </w:tcPr>
          <w:p w14:paraId="58EFE3C4" w14:textId="77777777" w:rsidR="00FF6E56" w:rsidRPr="00FE5985" w:rsidRDefault="00FF6E56" w:rsidP="0070603A">
            <w:pPr>
              <w:pStyle w:val="TableText"/>
              <w:spacing w:beforeLines="20" w:before="48" w:afterLines="20" w:after="48"/>
              <w:rPr>
                <w:sz w:val="18"/>
                <w:szCs w:val="18"/>
              </w:rPr>
            </w:pPr>
            <w:r w:rsidRPr="00FE5985">
              <w:rPr>
                <w:sz w:val="18"/>
                <w:szCs w:val="18"/>
              </w:rPr>
              <w:t>Relocation to site A (18 Blackfriars Road)</w:t>
            </w:r>
          </w:p>
        </w:tc>
        <w:tc>
          <w:tcPr>
            <w:tcW w:w="4881" w:type="dxa"/>
            <w:tcBorders>
              <w:top w:val="single" w:sz="4" w:space="0" w:color="auto"/>
              <w:left w:val="single" w:sz="4" w:space="0" w:color="auto"/>
              <w:bottom w:val="single" w:sz="4" w:space="0" w:color="auto"/>
              <w:right w:val="single" w:sz="4" w:space="0" w:color="auto"/>
            </w:tcBorders>
            <w:shd w:val="clear" w:color="auto" w:fill="F8696B"/>
          </w:tcPr>
          <w:p w14:paraId="0601C4F3" w14:textId="77777777" w:rsidR="00FF6E56" w:rsidRPr="00FE5985" w:rsidRDefault="00FF6E56" w:rsidP="0070603A">
            <w:pPr>
              <w:pStyle w:val="TableText"/>
              <w:spacing w:beforeLines="20" w:before="48" w:afterLines="20" w:after="48"/>
              <w:rPr>
                <w:sz w:val="18"/>
                <w:szCs w:val="18"/>
              </w:rPr>
            </w:pPr>
            <w:r w:rsidRPr="00FE5985">
              <w:rPr>
                <w:sz w:val="18"/>
                <w:szCs w:val="18"/>
              </w:rPr>
              <w:t>Discounted</w:t>
            </w:r>
            <w:r>
              <w:rPr>
                <w:sz w:val="18"/>
                <w:szCs w:val="18"/>
              </w:rPr>
              <w:t xml:space="preserve"> – not affordable</w:t>
            </w:r>
          </w:p>
        </w:tc>
      </w:tr>
      <w:tr w:rsidR="00FF6E56" w:rsidRPr="00FE5985" w14:paraId="0420EE3D"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0A124C02"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2.7</w:t>
            </w:r>
          </w:p>
        </w:tc>
        <w:tc>
          <w:tcPr>
            <w:tcW w:w="3794" w:type="dxa"/>
            <w:tcBorders>
              <w:top w:val="single" w:sz="4" w:space="0" w:color="auto"/>
              <w:left w:val="single" w:sz="4" w:space="0" w:color="auto"/>
              <w:bottom w:val="single" w:sz="4" w:space="0" w:color="auto"/>
              <w:right w:val="single" w:sz="4" w:space="0" w:color="auto"/>
            </w:tcBorders>
          </w:tcPr>
          <w:p w14:paraId="7AFAAC62" w14:textId="77777777" w:rsidR="00FF6E56" w:rsidRPr="00FE5985" w:rsidRDefault="00FF6E56" w:rsidP="0070603A">
            <w:pPr>
              <w:pStyle w:val="TableText"/>
              <w:spacing w:beforeLines="20" w:before="48" w:afterLines="20" w:after="48"/>
              <w:rPr>
                <w:sz w:val="18"/>
                <w:szCs w:val="18"/>
              </w:rPr>
            </w:pPr>
            <w:r w:rsidRPr="00FE5985">
              <w:rPr>
                <w:sz w:val="18"/>
                <w:szCs w:val="18"/>
              </w:rPr>
              <w:t>Relocation to site B (Blythe House)</w:t>
            </w:r>
          </w:p>
        </w:tc>
        <w:tc>
          <w:tcPr>
            <w:tcW w:w="4881" w:type="dxa"/>
            <w:tcBorders>
              <w:top w:val="single" w:sz="4" w:space="0" w:color="auto"/>
              <w:left w:val="single" w:sz="4" w:space="0" w:color="auto"/>
              <w:bottom w:val="single" w:sz="4" w:space="0" w:color="auto"/>
              <w:right w:val="single" w:sz="4" w:space="0" w:color="auto"/>
            </w:tcBorders>
            <w:shd w:val="clear" w:color="auto" w:fill="F8696B"/>
          </w:tcPr>
          <w:p w14:paraId="7DB42CA0" w14:textId="77777777" w:rsidR="00FF6E56" w:rsidRPr="00FE5985" w:rsidRDefault="00FF6E56" w:rsidP="0070603A">
            <w:pPr>
              <w:pStyle w:val="TableText"/>
              <w:spacing w:beforeLines="20" w:before="48" w:afterLines="20" w:after="48"/>
              <w:rPr>
                <w:sz w:val="18"/>
                <w:szCs w:val="18"/>
              </w:rPr>
            </w:pPr>
            <w:r w:rsidRPr="00FE5985">
              <w:rPr>
                <w:sz w:val="18"/>
                <w:szCs w:val="18"/>
              </w:rPr>
              <w:t>Discounted</w:t>
            </w:r>
            <w:r>
              <w:rPr>
                <w:sz w:val="18"/>
                <w:szCs w:val="18"/>
              </w:rPr>
              <w:t xml:space="preserve"> – fails five CSFs</w:t>
            </w:r>
          </w:p>
        </w:tc>
      </w:tr>
      <w:tr w:rsidR="00FF6E56" w:rsidRPr="00FE5985" w14:paraId="4E50695E"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7E60543A"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2.8</w:t>
            </w:r>
          </w:p>
        </w:tc>
        <w:tc>
          <w:tcPr>
            <w:tcW w:w="3794" w:type="dxa"/>
            <w:tcBorders>
              <w:top w:val="single" w:sz="4" w:space="0" w:color="auto"/>
              <w:left w:val="single" w:sz="4" w:space="0" w:color="auto"/>
              <w:bottom w:val="single" w:sz="4" w:space="0" w:color="auto"/>
              <w:right w:val="single" w:sz="4" w:space="0" w:color="auto"/>
            </w:tcBorders>
          </w:tcPr>
          <w:p w14:paraId="508C2C81" w14:textId="77777777" w:rsidR="00FF6E56" w:rsidRPr="00FE5985" w:rsidRDefault="00FF6E56" w:rsidP="0070603A">
            <w:pPr>
              <w:pStyle w:val="TableText"/>
              <w:spacing w:beforeLines="20" w:before="48" w:afterLines="20" w:after="48"/>
              <w:rPr>
                <w:sz w:val="18"/>
                <w:szCs w:val="18"/>
              </w:rPr>
            </w:pPr>
            <w:r w:rsidRPr="00FE5985">
              <w:rPr>
                <w:sz w:val="18"/>
                <w:szCs w:val="18"/>
              </w:rPr>
              <w:t>Relocation to site C (ITV Centre)</w:t>
            </w:r>
          </w:p>
        </w:tc>
        <w:tc>
          <w:tcPr>
            <w:tcW w:w="4881" w:type="dxa"/>
            <w:tcBorders>
              <w:top w:val="single" w:sz="4" w:space="0" w:color="auto"/>
              <w:left w:val="single" w:sz="4" w:space="0" w:color="auto"/>
              <w:bottom w:val="single" w:sz="4" w:space="0" w:color="auto"/>
              <w:right w:val="single" w:sz="4" w:space="0" w:color="auto"/>
            </w:tcBorders>
            <w:shd w:val="clear" w:color="auto" w:fill="F8696B"/>
          </w:tcPr>
          <w:p w14:paraId="2C943F62" w14:textId="77777777" w:rsidR="00FF6E56" w:rsidRPr="00FE5985" w:rsidRDefault="00FF6E56" w:rsidP="0070603A">
            <w:pPr>
              <w:pStyle w:val="TableText"/>
              <w:spacing w:beforeLines="20" w:before="48" w:afterLines="20" w:after="48"/>
              <w:rPr>
                <w:sz w:val="18"/>
                <w:szCs w:val="18"/>
              </w:rPr>
            </w:pPr>
            <w:r w:rsidRPr="00FE5985">
              <w:rPr>
                <w:sz w:val="18"/>
                <w:szCs w:val="18"/>
              </w:rPr>
              <w:t>Discounted</w:t>
            </w:r>
            <w:r>
              <w:rPr>
                <w:sz w:val="18"/>
                <w:szCs w:val="18"/>
              </w:rPr>
              <w:t xml:space="preserve"> – not affordable</w:t>
            </w:r>
          </w:p>
        </w:tc>
      </w:tr>
      <w:tr w:rsidR="00FF6E56" w:rsidRPr="00FE5985" w14:paraId="3A7BCFD3"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7DE72206"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2.9</w:t>
            </w:r>
          </w:p>
        </w:tc>
        <w:tc>
          <w:tcPr>
            <w:tcW w:w="3794" w:type="dxa"/>
            <w:tcBorders>
              <w:top w:val="single" w:sz="4" w:space="0" w:color="auto"/>
              <w:left w:val="single" w:sz="4" w:space="0" w:color="auto"/>
              <w:bottom w:val="single" w:sz="4" w:space="0" w:color="auto"/>
              <w:right w:val="single" w:sz="4" w:space="0" w:color="auto"/>
            </w:tcBorders>
          </w:tcPr>
          <w:p w14:paraId="27112915" w14:textId="77777777" w:rsidR="00FF6E56" w:rsidRPr="00FE5985" w:rsidRDefault="00FF6E56" w:rsidP="0070603A">
            <w:pPr>
              <w:pStyle w:val="TableText"/>
              <w:spacing w:beforeLines="20" w:before="48" w:afterLines="20" w:after="48"/>
              <w:rPr>
                <w:sz w:val="18"/>
                <w:szCs w:val="18"/>
              </w:rPr>
            </w:pPr>
            <w:r w:rsidRPr="00FE5985">
              <w:rPr>
                <w:sz w:val="18"/>
                <w:szCs w:val="18"/>
              </w:rPr>
              <w:t>Relocation to site D (Vauxhall – various)</w:t>
            </w:r>
          </w:p>
        </w:tc>
        <w:tc>
          <w:tcPr>
            <w:tcW w:w="4881" w:type="dxa"/>
            <w:tcBorders>
              <w:top w:val="single" w:sz="4" w:space="0" w:color="auto"/>
              <w:left w:val="single" w:sz="4" w:space="0" w:color="auto"/>
              <w:bottom w:val="single" w:sz="4" w:space="0" w:color="auto"/>
              <w:right w:val="single" w:sz="4" w:space="0" w:color="auto"/>
            </w:tcBorders>
            <w:shd w:val="clear" w:color="auto" w:fill="F8696B"/>
          </w:tcPr>
          <w:p w14:paraId="5861C97E" w14:textId="77777777" w:rsidR="00FF6E56" w:rsidRPr="00FE5985" w:rsidRDefault="00FF6E56" w:rsidP="0070603A">
            <w:pPr>
              <w:pStyle w:val="TableText"/>
              <w:spacing w:beforeLines="20" w:before="48" w:afterLines="20" w:after="48"/>
              <w:rPr>
                <w:sz w:val="18"/>
                <w:szCs w:val="18"/>
              </w:rPr>
            </w:pPr>
            <w:r w:rsidRPr="00FE5985">
              <w:rPr>
                <w:sz w:val="18"/>
                <w:szCs w:val="18"/>
              </w:rPr>
              <w:t>Discounted</w:t>
            </w:r>
            <w:r>
              <w:rPr>
                <w:sz w:val="18"/>
                <w:szCs w:val="18"/>
              </w:rPr>
              <w:t xml:space="preserve"> – site fails CSFs 1 and 4; and not affordable</w:t>
            </w:r>
          </w:p>
        </w:tc>
      </w:tr>
      <w:tr w:rsidR="00FF6E56" w:rsidRPr="00FE5985" w14:paraId="058681C9"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3AE09E74"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2.10</w:t>
            </w:r>
          </w:p>
        </w:tc>
        <w:tc>
          <w:tcPr>
            <w:tcW w:w="3794" w:type="dxa"/>
            <w:tcBorders>
              <w:top w:val="single" w:sz="4" w:space="0" w:color="auto"/>
              <w:left w:val="single" w:sz="4" w:space="0" w:color="auto"/>
              <w:bottom w:val="single" w:sz="4" w:space="0" w:color="auto"/>
              <w:right w:val="single" w:sz="4" w:space="0" w:color="auto"/>
            </w:tcBorders>
          </w:tcPr>
          <w:p w14:paraId="562BA8F2" w14:textId="77777777" w:rsidR="00FF6E56" w:rsidRPr="00FE5985" w:rsidRDefault="00FF6E56" w:rsidP="0070603A">
            <w:pPr>
              <w:pStyle w:val="TableText"/>
              <w:spacing w:beforeLines="20" w:before="48" w:afterLines="20" w:after="48"/>
              <w:rPr>
                <w:sz w:val="18"/>
                <w:szCs w:val="18"/>
              </w:rPr>
            </w:pPr>
            <w:r w:rsidRPr="00FE5985">
              <w:rPr>
                <w:sz w:val="18"/>
                <w:szCs w:val="18"/>
              </w:rPr>
              <w:t>Relocation to site E (White City – various)</w:t>
            </w:r>
          </w:p>
        </w:tc>
        <w:tc>
          <w:tcPr>
            <w:tcW w:w="4881" w:type="dxa"/>
            <w:tcBorders>
              <w:top w:val="single" w:sz="4" w:space="0" w:color="auto"/>
              <w:left w:val="single" w:sz="4" w:space="0" w:color="auto"/>
              <w:bottom w:val="single" w:sz="4" w:space="0" w:color="auto"/>
              <w:right w:val="single" w:sz="4" w:space="0" w:color="auto"/>
            </w:tcBorders>
            <w:shd w:val="clear" w:color="auto" w:fill="F8696B"/>
          </w:tcPr>
          <w:p w14:paraId="63FD3FD4" w14:textId="77777777" w:rsidR="00FF6E56" w:rsidRPr="00FE5985" w:rsidRDefault="00FF6E56" w:rsidP="0070603A">
            <w:pPr>
              <w:pStyle w:val="TableText"/>
              <w:spacing w:beforeLines="20" w:before="48" w:afterLines="20" w:after="48"/>
              <w:rPr>
                <w:sz w:val="18"/>
                <w:szCs w:val="18"/>
              </w:rPr>
            </w:pPr>
            <w:r w:rsidRPr="00DD19CD">
              <w:rPr>
                <w:sz w:val="18"/>
                <w:szCs w:val="18"/>
              </w:rPr>
              <w:t xml:space="preserve">Discounted – </w:t>
            </w:r>
            <w:r>
              <w:rPr>
                <w:sz w:val="18"/>
                <w:szCs w:val="18"/>
              </w:rPr>
              <w:t>site</w:t>
            </w:r>
            <w:r w:rsidRPr="00DD19CD">
              <w:rPr>
                <w:sz w:val="18"/>
                <w:szCs w:val="18"/>
              </w:rPr>
              <w:t xml:space="preserve"> </w:t>
            </w:r>
            <w:r>
              <w:rPr>
                <w:sz w:val="18"/>
                <w:szCs w:val="18"/>
              </w:rPr>
              <w:t>f</w:t>
            </w:r>
            <w:r w:rsidRPr="00DD19CD">
              <w:rPr>
                <w:sz w:val="18"/>
                <w:szCs w:val="18"/>
              </w:rPr>
              <w:t>ails CSFs 1 and 4; and not affordable</w:t>
            </w:r>
          </w:p>
        </w:tc>
      </w:tr>
      <w:tr w:rsidR="00FF6E56" w:rsidRPr="00FE5985" w14:paraId="6BA2981F"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142DA05D"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2.11</w:t>
            </w:r>
          </w:p>
        </w:tc>
        <w:tc>
          <w:tcPr>
            <w:tcW w:w="3794" w:type="dxa"/>
            <w:tcBorders>
              <w:top w:val="single" w:sz="4" w:space="0" w:color="auto"/>
              <w:left w:val="single" w:sz="4" w:space="0" w:color="auto"/>
              <w:bottom w:val="single" w:sz="4" w:space="0" w:color="auto"/>
              <w:right w:val="single" w:sz="4" w:space="0" w:color="auto"/>
            </w:tcBorders>
          </w:tcPr>
          <w:p w14:paraId="356DC6EF" w14:textId="77777777" w:rsidR="00FF6E56" w:rsidRPr="00FE5985" w:rsidRDefault="00FF6E56" w:rsidP="0070603A">
            <w:pPr>
              <w:pStyle w:val="TableText"/>
              <w:spacing w:beforeLines="20" w:before="48" w:afterLines="20" w:after="48"/>
              <w:rPr>
                <w:sz w:val="18"/>
                <w:szCs w:val="18"/>
              </w:rPr>
            </w:pPr>
            <w:r w:rsidRPr="00FE5985">
              <w:rPr>
                <w:sz w:val="18"/>
                <w:szCs w:val="18"/>
              </w:rPr>
              <w:t>Relocation to site F (Stratford – various)</w:t>
            </w:r>
          </w:p>
        </w:tc>
        <w:tc>
          <w:tcPr>
            <w:tcW w:w="4881" w:type="dxa"/>
            <w:tcBorders>
              <w:top w:val="single" w:sz="4" w:space="0" w:color="auto"/>
              <w:left w:val="single" w:sz="4" w:space="0" w:color="auto"/>
              <w:bottom w:val="single" w:sz="4" w:space="0" w:color="auto"/>
              <w:right w:val="single" w:sz="4" w:space="0" w:color="auto"/>
            </w:tcBorders>
            <w:shd w:val="clear" w:color="auto" w:fill="F8696B"/>
          </w:tcPr>
          <w:p w14:paraId="4F758CAD" w14:textId="77777777" w:rsidR="00FF6E56" w:rsidRPr="00FE5985" w:rsidRDefault="00FF6E56" w:rsidP="0070603A">
            <w:pPr>
              <w:pStyle w:val="TableText"/>
              <w:spacing w:beforeLines="20" w:before="48" w:afterLines="20" w:after="48"/>
              <w:rPr>
                <w:sz w:val="18"/>
                <w:szCs w:val="18"/>
              </w:rPr>
            </w:pPr>
            <w:r w:rsidRPr="00DD19CD">
              <w:rPr>
                <w:sz w:val="18"/>
                <w:szCs w:val="18"/>
              </w:rPr>
              <w:t xml:space="preserve">Discounted – </w:t>
            </w:r>
            <w:r>
              <w:rPr>
                <w:sz w:val="18"/>
                <w:szCs w:val="18"/>
              </w:rPr>
              <w:t>site</w:t>
            </w:r>
            <w:r w:rsidRPr="00DD19CD">
              <w:rPr>
                <w:sz w:val="18"/>
                <w:szCs w:val="18"/>
              </w:rPr>
              <w:t xml:space="preserve"> CSFs 1 and 4</w:t>
            </w:r>
          </w:p>
        </w:tc>
      </w:tr>
      <w:tr w:rsidR="00FF6E56" w:rsidRPr="00FE5985" w14:paraId="653FBB3F"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57B2BDD8"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2.12</w:t>
            </w:r>
          </w:p>
        </w:tc>
        <w:tc>
          <w:tcPr>
            <w:tcW w:w="3794" w:type="dxa"/>
            <w:tcBorders>
              <w:top w:val="single" w:sz="4" w:space="0" w:color="auto"/>
              <w:left w:val="single" w:sz="4" w:space="0" w:color="auto"/>
              <w:bottom w:val="single" w:sz="4" w:space="0" w:color="auto"/>
              <w:right w:val="single" w:sz="4" w:space="0" w:color="auto"/>
            </w:tcBorders>
          </w:tcPr>
          <w:p w14:paraId="7F29E68D" w14:textId="77777777" w:rsidR="00FF6E56" w:rsidRPr="00FE5985" w:rsidRDefault="00FF6E56" w:rsidP="0070603A">
            <w:pPr>
              <w:pStyle w:val="TableText"/>
              <w:spacing w:beforeLines="20" w:before="48" w:afterLines="20" w:after="48"/>
              <w:rPr>
                <w:sz w:val="18"/>
                <w:szCs w:val="18"/>
              </w:rPr>
            </w:pPr>
            <w:r w:rsidRPr="00FE5985">
              <w:rPr>
                <w:sz w:val="18"/>
                <w:szCs w:val="18"/>
              </w:rPr>
              <w:t>Relocation to site G (Elephant and Castle – various)</w:t>
            </w:r>
          </w:p>
        </w:tc>
        <w:tc>
          <w:tcPr>
            <w:tcW w:w="4881" w:type="dxa"/>
            <w:tcBorders>
              <w:top w:val="single" w:sz="4" w:space="0" w:color="auto"/>
              <w:left w:val="single" w:sz="4" w:space="0" w:color="auto"/>
              <w:bottom w:val="single" w:sz="4" w:space="0" w:color="auto"/>
              <w:right w:val="single" w:sz="4" w:space="0" w:color="auto"/>
            </w:tcBorders>
            <w:shd w:val="clear" w:color="auto" w:fill="F8696B"/>
          </w:tcPr>
          <w:p w14:paraId="057E9C52" w14:textId="77777777" w:rsidR="00FF6E56" w:rsidRPr="00FE5985" w:rsidRDefault="00FF6E56" w:rsidP="0070603A">
            <w:pPr>
              <w:pStyle w:val="TableText"/>
              <w:spacing w:beforeLines="20" w:before="48" w:afterLines="20" w:after="48"/>
              <w:rPr>
                <w:sz w:val="18"/>
                <w:szCs w:val="18"/>
              </w:rPr>
            </w:pPr>
            <w:r w:rsidRPr="00DD19CD">
              <w:rPr>
                <w:sz w:val="18"/>
                <w:szCs w:val="18"/>
              </w:rPr>
              <w:t xml:space="preserve">Discounted – </w:t>
            </w:r>
            <w:r>
              <w:rPr>
                <w:sz w:val="18"/>
                <w:szCs w:val="18"/>
              </w:rPr>
              <w:t>site</w:t>
            </w:r>
            <w:r w:rsidRPr="00DD19CD">
              <w:rPr>
                <w:sz w:val="18"/>
                <w:szCs w:val="18"/>
              </w:rPr>
              <w:t xml:space="preserve"> fails CSFs 1 and 4; and not affordable</w:t>
            </w:r>
          </w:p>
        </w:tc>
      </w:tr>
      <w:tr w:rsidR="00FF6E56" w:rsidRPr="00A40BA5" w14:paraId="5486ED06" w14:textId="77777777" w:rsidTr="0070603A">
        <w:trPr>
          <w:cantSplit/>
        </w:trPr>
        <w:tc>
          <w:tcPr>
            <w:tcW w:w="0" w:type="auto"/>
            <w:gridSpan w:val="3"/>
            <w:tcBorders>
              <w:top w:val="single" w:sz="4" w:space="0" w:color="auto"/>
              <w:left w:val="single" w:sz="4" w:space="0" w:color="auto"/>
              <w:bottom w:val="single" w:sz="4" w:space="0" w:color="auto"/>
              <w:right w:val="single" w:sz="4" w:space="0" w:color="auto"/>
            </w:tcBorders>
            <w:shd w:val="clear" w:color="auto" w:fill="CFDDED"/>
          </w:tcPr>
          <w:p w14:paraId="58FF4856" w14:textId="77777777" w:rsidR="00FF6E56" w:rsidRPr="00A40BA5" w:rsidRDefault="00FF6E56" w:rsidP="0070603A">
            <w:pPr>
              <w:pStyle w:val="TableText"/>
              <w:spacing w:beforeLines="20" w:before="48" w:afterLines="20" w:after="48"/>
              <w:rPr>
                <w:b/>
                <w:color w:val="auto"/>
                <w:sz w:val="18"/>
                <w:szCs w:val="18"/>
              </w:rPr>
            </w:pPr>
            <w:r w:rsidRPr="00A40BA5">
              <w:rPr>
                <w:b/>
                <w:color w:val="auto"/>
                <w:sz w:val="18"/>
                <w:szCs w:val="18"/>
              </w:rPr>
              <w:t>Service delivery</w:t>
            </w:r>
          </w:p>
        </w:tc>
      </w:tr>
      <w:tr w:rsidR="00FF6E56" w:rsidRPr="00FE5985" w14:paraId="4C59F4F5"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573FDA97"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3.1</w:t>
            </w:r>
          </w:p>
        </w:tc>
        <w:tc>
          <w:tcPr>
            <w:tcW w:w="3794" w:type="dxa"/>
            <w:tcBorders>
              <w:top w:val="single" w:sz="4" w:space="0" w:color="auto"/>
              <w:left w:val="single" w:sz="4" w:space="0" w:color="auto"/>
              <w:bottom w:val="single" w:sz="4" w:space="0" w:color="auto"/>
              <w:right w:val="single" w:sz="4" w:space="0" w:color="auto"/>
            </w:tcBorders>
          </w:tcPr>
          <w:p w14:paraId="47B1C3C6" w14:textId="77777777" w:rsidR="00FF6E56" w:rsidRPr="00FE5985" w:rsidRDefault="00FF6E56" w:rsidP="0070603A">
            <w:pPr>
              <w:pStyle w:val="TableText"/>
              <w:spacing w:beforeLines="20" w:before="48" w:afterLines="20" w:after="48"/>
              <w:rPr>
                <w:sz w:val="18"/>
                <w:szCs w:val="18"/>
              </w:rPr>
            </w:pPr>
            <w:r w:rsidRPr="00FE5985">
              <w:rPr>
                <w:sz w:val="18"/>
                <w:szCs w:val="18"/>
              </w:rPr>
              <w:t>Traditional</w:t>
            </w:r>
          </w:p>
        </w:tc>
        <w:tc>
          <w:tcPr>
            <w:tcW w:w="4881" w:type="dxa"/>
            <w:tcBorders>
              <w:top w:val="single" w:sz="4" w:space="0" w:color="auto"/>
              <w:left w:val="single" w:sz="4" w:space="0" w:color="auto"/>
              <w:bottom w:val="single" w:sz="4" w:space="0" w:color="auto"/>
              <w:right w:val="single" w:sz="4" w:space="0" w:color="auto"/>
            </w:tcBorders>
            <w:shd w:val="clear" w:color="auto" w:fill="F8696B"/>
          </w:tcPr>
          <w:p w14:paraId="09B05282" w14:textId="77777777" w:rsidR="00FF6E56" w:rsidRPr="00FE5985" w:rsidRDefault="00FF6E56" w:rsidP="0070603A">
            <w:pPr>
              <w:pStyle w:val="TableText"/>
              <w:spacing w:beforeLines="20" w:before="48" w:afterLines="20" w:after="48"/>
              <w:rPr>
                <w:sz w:val="18"/>
                <w:szCs w:val="18"/>
              </w:rPr>
            </w:pPr>
            <w:r w:rsidRPr="00FE5985">
              <w:rPr>
                <w:sz w:val="18"/>
                <w:szCs w:val="18"/>
              </w:rPr>
              <w:t>Discounted</w:t>
            </w:r>
          </w:p>
        </w:tc>
      </w:tr>
      <w:tr w:rsidR="00FF6E56" w:rsidRPr="00FE5985" w14:paraId="2DEEB534"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32172988"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3.2</w:t>
            </w:r>
          </w:p>
        </w:tc>
        <w:tc>
          <w:tcPr>
            <w:tcW w:w="3794" w:type="dxa"/>
            <w:tcBorders>
              <w:top w:val="single" w:sz="4" w:space="0" w:color="auto"/>
              <w:left w:val="single" w:sz="4" w:space="0" w:color="auto"/>
              <w:bottom w:val="single" w:sz="4" w:space="0" w:color="auto"/>
              <w:right w:val="single" w:sz="4" w:space="0" w:color="auto"/>
            </w:tcBorders>
          </w:tcPr>
          <w:p w14:paraId="3DA107AB" w14:textId="77777777" w:rsidR="00FF6E56" w:rsidRPr="00FE5985" w:rsidRDefault="00FF6E56" w:rsidP="0070603A">
            <w:pPr>
              <w:pStyle w:val="TableText"/>
              <w:spacing w:beforeLines="20" w:before="48" w:afterLines="20" w:after="48"/>
              <w:rPr>
                <w:sz w:val="18"/>
                <w:szCs w:val="18"/>
              </w:rPr>
            </w:pPr>
            <w:r w:rsidRPr="00FE5985">
              <w:rPr>
                <w:sz w:val="18"/>
                <w:szCs w:val="18"/>
              </w:rPr>
              <w:t>Design and build</w:t>
            </w:r>
          </w:p>
        </w:tc>
        <w:tc>
          <w:tcPr>
            <w:tcW w:w="4881" w:type="dxa"/>
            <w:tcBorders>
              <w:top w:val="single" w:sz="4" w:space="0" w:color="auto"/>
              <w:left w:val="single" w:sz="4" w:space="0" w:color="auto"/>
              <w:bottom w:val="single" w:sz="4" w:space="0" w:color="auto"/>
              <w:right w:val="single" w:sz="4" w:space="0" w:color="auto"/>
            </w:tcBorders>
            <w:shd w:val="clear" w:color="auto" w:fill="FFEB84"/>
          </w:tcPr>
          <w:p w14:paraId="65B00CFA" w14:textId="77777777" w:rsidR="00FF6E56" w:rsidRPr="00FE5985" w:rsidRDefault="00FF6E56" w:rsidP="0070603A">
            <w:pPr>
              <w:pStyle w:val="TableText"/>
              <w:spacing w:beforeLines="20" w:before="48" w:afterLines="20" w:after="48"/>
              <w:rPr>
                <w:sz w:val="18"/>
                <w:szCs w:val="18"/>
              </w:rPr>
            </w:pPr>
            <w:r w:rsidRPr="00FE5985">
              <w:rPr>
                <w:sz w:val="18"/>
                <w:szCs w:val="18"/>
              </w:rPr>
              <w:t>Carried forward</w:t>
            </w:r>
            <w:r>
              <w:rPr>
                <w:sz w:val="18"/>
                <w:szCs w:val="18"/>
              </w:rPr>
              <w:t xml:space="preserve"> for further consideration at OBC</w:t>
            </w:r>
          </w:p>
        </w:tc>
      </w:tr>
      <w:tr w:rsidR="00FF6E56" w:rsidRPr="00FE5985" w14:paraId="5CE72BBC"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39AA5253"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3.3</w:t>
            </w:r>
          </w:p>
        </w:tc>
        <w:tc>
          <w:tcPr>
            <w:tcW w:w="3794" w:type="dxa"/>
            <w:tcBorders>
              <w:top w:val="single" w:sz="4" w:space="0" w:color="auto"/>
              <w:left w:val="single" w:sz="4" w:space="0" w:color="auto"/>
              <w:bottom w:val="single" w:sz="4" w:space="0" w:color="auto"/>
              <w:right w:val="single" w:sz="4" w:space="0" w:color="auto"/>
            </w:tcBorders>
          </w:tcPr>
          <w:p w14:paraId="56250A1A" w14:textId="77777777" w:rsidR="00FF6E56" w:rsidRPr="00FE5985" w:rsidRDefault="00FF6E56" w:rsidP="0070603A">
            <w:pPr>
              <w:pStyle w:val="TableText"/>
              <w:spacing w:beforeLines="20" w:before="48" w:afterLines="20" w:after="48"/>
              <w:rPr>
                <w:sz w:val="18"/>
                <w:szCs w:val="18"/>
              </w:rPr>
            </w:pPr>
            <w:r w:rsidRPr="00FE5985">
              <w:rPr>
                <w:sz w:val="18"/>
                <w:szCs w:val="18"/>
              </w:rPr>
              <w:t>Design, build and operate</w:t>
            </w:r>
          </w:p>
        </w:tc>
        <w:tc>
          <w:tcPr>
            <w:tcW w:w="4881" w:type="dxa"/>
            <w:tcBorders>
              <w:top w:val="single" w:sz="4" w:space="0" w:color="auto"/>
              <w:left w:val="single" w:sz="4" w:space="0" w:color="auto"/>
              <w:bottom w:val="single" w:sz="4" w:space="0" w:color="auto"/>
              <w:right w:val="single" w:sz="4" w:space="0" w:color="auto"/>
            </w:tcBorders>
            <w:shd w:val="clear" w:color="auto" w:fill="63BE7B"/>
          </w:tcPr>
          <w:p w14:paraId="66015A04" w14:textId="77777777" w:rsidR="00FF6E56" w:rsidRPr="00FE5985" w:rsidRDefault="00FF6E56" w:rsidP="0070603A">
            <w:pPr>
              <w:pStyle w:val="TableText"/>
              <w:spacing w:beforeLines="20" w:before="48" w:afterLines="20" w:after="48"/>
              <w:rPr>
                <w:sz w:val="18"/>
                <w:szCs w:val="18"/>
              </w:rPr>
            </w:pPr>
            <w:r>
              <w:rPr>
                <w:sz w:val="18"/>
                <w:szCs w:val="18"/>
              </w:rPr>
              <w:t>Carried forward as ‘preferred’</w:t>
            </w:r>
          </w:p>
        </w:tc>
      </w:tr>
      <w:tr w:rsidR="00FF6E56" w:rsidRPr="00FE5985" w14:paraId="09F347AA"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2B85B4CC"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3.4</w:t>
            </w:r>
          </w:p>
        </w:tc>
        <w:tc>
          <w:tcPr>
            <w:tcW w:w="3794" w:type="dxa"/>
            <w:tcBorders>
              <w:top w:val="single" w:sz="4" w:space="0" w:color="auto"/>
              <w:left w:val="single" w:sz="4" w:space="0" w:color="auto"/>
              <w:bottom w:val="single" w:sz="4" w:space="0" w:color="auto"/>
              <w:right w:val="single" w:sz="4" w:space="0" w:color="auto"/>
            </w:tcBorders>
          </w:tcPr>
          <w:p w14:paraId="4375C65C" w14:textId="77777777" w:rsidR="00FF6E56" w:rsidRPr="00FE5985" w:rsidRDefault="00FF6E56" w:rsidP="0070603A">
            <w:pPr>
              <w:pStyle w:val="TableText"/>
              <w:spacing w:beforeLines="20" w:before="48" w:afterLines="20" w:after="48"/>
              <w:rPr>
                <w:sz w:val="18"/>
                <w:szCs w:val="18"/>
              </w:rPr>
            </w:pPr>
            <w:r w:rsidRPr="00FE5985">
              <w:rPr>
                <w:sz w:val="18"/>
                <w:szCs w:val="18"/>
              </w:rPr>
              <w:t>Design, build, operate and finance</w:t>
            </w:r>
          </w:p>
        </w:tc>
        <w:tc>
          <w:tcPr>
            <w:tcW w:w="4881" w:type="dxa"/>
            <w:tcBorders>
              <w:top w:val="single" w:sz="4" w:space="0" w:color="auto"/>
              <w:left w:val="single" w:sz="4" w:space="0" w:color="auto"/>
              <w:bottom w:val="single" w:sz="4" w:space="0" w:color="auto"/>
              <w:right w:val="single" w:sz="4" w:space="0" w:color="auto"/>
            </w:tcBorders>
            <w:shd w:val="clear" w:color="auto" w:fill="FFEB84"/>
          </w:tcPr>
          <w:p w14:paraId="18477F81" w14:textId="77777777" w:rsidR="00FF6E56" w:rsidRPr="00FE5985" w:rsidRDefault="00FF6E56" w:rsidP="0070603A">
            <w:pPr>
              <w:pStyle w:val="TableText"/>
              <w:spacing w:beforeLines="20" w:before="48" w:afterLines="20" w:after="48"/>
              <w:rPr>
                <w:sz w:val="18"/>
                <w:szCs w:val="18"/>
              </w:rPr>
            </w:pPr>
            <w:r w:rsidRPr="00FE5985">
              <w:rPr>
                <w:sz w:val="18"/>
                <w:szCs w:val="18"/>
              </w:rPr>
              <w:t>Carried forward</w:t>
            </w:r>
            <w:r>
              <w:rPr>
                <w:sz w:val="18"/>
                <w:szCs w:val="18"/>
              </w:rPr>
              <w:t xml:space="preserve"> for further consideration at OBC</w:t>
            </w:r>
          </w:p>
        </w:tc>
      </w:tr>
      <w:tr w:rsidR="00FF6E56" w:rsidRPr="00FE5985" w14:paraId="1E28B335"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55110964"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3.5</w:t>
            </w:r>
          </w:p>
        </w:tc>
        <w:tc>
          <w:tcPr>
            <w:tcW w:w="3794" w:type="dxa"/>
            <w:tcBorders>
              <w:top w:val="single" w:sz="4" w:space="0" w:color="auto"/>
              <w:left w:val="single" w:sz="4" w:space="0" w:color="auto"/>
              <w:bottom w:val="single" w:sz="4" w:space="0" w:color="auto"/>
              <w:right w:val="single" w:sz="4" w:space="0" w:color="auto"/>
            </w:tcBorders>
          </w:tcPr>
          <w:p w14:paraId="09A229DB" w14:textId="77777777" w:rsidR="00FF6E56" w:rsidRPr="00FE5985" w:rsidRDefault="00FF6E56" w:rsidP="0070603A">
            <w:pPr>
              <w:pStyle w:val="TableText"/>
              <w:spacing w:beforeLines="20" w:before="48" w:afterLines="20" w:after="48"/>
              <w:rPr>
                <w:sz w:val="18"/>
                <w:szCs w:val="18"/>
              </w:rPr>
            </w:pPr>
            <w:r w:rsidRPr="00FE5985">
              <w:rPr>
                <w:sz w:val="18"/>
                <w:szCs w:val="18"/>
              </w:rPr>
              <w:t>Partnering</w:t>
            </w:r>
          </w:p>
        </w:tc>
        <w:tc>
          <w:tcPr>
            <w:tcW w:w="4881" w:type="dxa"/>
            <w:tcBorders>
              <w:top w:val="single" w:sz="4" w:space="0" w:color="auto"/>
              <w:left w:val="single" w:sz="4" w:space="0" w:color="auto"/>
              <w:bottom w:val="single" w:sz="4" w:space="0" w:color="auto"/>
              <w:right w:val="single" w:sz="4" w:space="0" w:color="auto"/>
            </w:tcBorders>
            <w:shd w:val="clear" w:color="auto" w:fill="F8696B"/>
          </w:tcPr>
          <w:p w14:paraId="2D2C78F2" w14:textId="77777777" w:rsidR="00FF6E56" w:rsidRPr="00FE5985" w:rsidRDefault="00FF6E56" w:rsidP="0070603A">
            <w:pPr>
              <w:pStyle w:val="TableText"/>
              <w:spacing w:beforeLines="20" w:before="48" w:afterLines="20" w:after="48"/>
              <w:rPr>
                <w:sz w:val="18"/>
                <w:szCs w:val="18"/>
              </w:rPr>
            </w:pPr>
            <w:r w:rsidRPr="00FE5985">
              <w:rPr>
                <w:sz w:val="18"/>
                <w:szCs w:val="18"/>
              </w:rPr>
              <w:t>Discounted</w:t>
            </w:r>
          </w:p>
        </w:tc>
      </w:tr>
      <w:tr w:rsidR="00FF6E56" w:rsidRPr="00FE5985" w14:paraId="6FF4BDB7"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1A6FC32F"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3.6</w:t>
            </w:r>
          </w:p>
        </w:tc>
        <w:tc>
          <w:tcPr>
            <w:tcW w:w="3794" w:type="dxa"/>
            <w:tcBorders>
              <w:top w:val="single" w:sz="4" w:space="0" w:color="auto"/>
              <w:left w:val="single" w:sz="4" w:space="0" w:color="auto"/>
              <w:bottom w:val="single" w:sz="4" w:space="0" w:color="auto"/>
              <w:right w:val="single" w:sz="4" w:space="0" w:color="auto"/>
            </w:tcBorders>
          </w:tcPr>
          <w:p w14:paraId="4C9FAE20" w14:textId="77777777" w:rsidR="00FF6E56" w:rsidRPr="00FE5985" w:rsidRDefault="00FF6E56" w:rsidP="0070603A">
            <w:pPr>
              <w:pStyle w:val="TableText"/>
              <w:spacing w:beforeLines="20" w:before="48" w:afterLines="20" w:after="48"/>
              <w:rPr>
                <w:sz w:val="18"/>
                <w:szCs w:val="18"/>
              </w:rPr>
            </w:pPr>
            <w:r w:rsidRPr="00FE5985">
              <w:rPr>
                <w:sz w:val="18"/>
                <w:szCs w:val="18"/>
              </w:rPr>
              <w:t>ProCure21+ (replaced by ProCure22)</w:t>
            </w:r>
          </w:p>
        </w:tc>
        <w:tc>
          <w:tcPr>
            <w:tcW w:w="4881" w:type="dxa"/>
            <w:tcBorders>
              <w:top w:val="single" w:sz="4" w:space="0" w:color="auto"/>
              <w:left w:val="single" w:sz="4" w:space="0" w:color="auto"/>
              <w:bottom w:val="single" w:sz="4" w:space="0" w:color="auto"/>
              <w:right w:val="single" w:sz="4" w:space="0" w:color="auto"/>
            </w:tcBorders>
            <w:shd w:val="clear" w:color="auto" w:fill="FFEB84"/>
          </w:tcPr>
          <w:p w14:paraId="24E7E97A" w14:textId="77777777" w:rsidR="00FF6E56" w:rsidRPr="00FE5985" w:rsidRDefault="00FF6E56" w:rsidP="0070603A">
            <w:pPr>
              <w:pStyle w:val="TableText"/>
              <w:spacing w:beforeLines="20" w:before="48" w:afterLines="20" w:after="48"/>
              <w:rPr>
                <w:sz w:val="18"/>
                <w:szCs w:val="18"/>
              </w:rPr>
            </w:pPr>
            <w:r w:rsidRPr="00FE5985">
              <w:rPr>
                <w:sz w:val="18"/>
                <w:szCs w:val="18"/>
              </w:rPr>
              <w:t>Carried forward</w:t>
            </w:r>
            <w:r>
              <w:rPr>
                <w:sz w:val="18"/>
                <w:szCs w:val="18"/>
              </w:rPr>
              <w:t xml:space="preserve"> for further consideration at OBC</w:t>
            </w:r>
          </w:p>
        </w:tc>
      </w:tr>
      <w:tr w:rsidR="00FF6E56" w:rsidRPr="00FE5985" w14:paraId="11C265AE"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1B1F11DD"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3.7</w:t>
            </w:r>
          </w:p>
        </w:tc>
        <w:tc>
          <w:tcPr>
            <w:tcW w:w="3794" w:type="dxa"/>
            <w:tcBorders>
              <w:top w:val="single" w:sz="4" w:space="0" w:color="auto"/>
              <w:left w:val="single" w:sz="4" w:space="0" w:color="auto"/>
              <w:bottom w:val="single" w:sz="4" w:space="0" w:color="auto"/>
              <w:right w:val="single" w:sz="4" w:space="0" w:color="auto"/>
            </w:tcBorders>
          </w:tcPr>
          <w:p w14:paraId="11FD12D8" w14:textId="77777777" w:rsidR="00FF6E56" w:rsidRPr="00FE5985" w:rsidRDefault="00FF6E56" w:rsidP="0070603A">
            <w:pPr>
              <w:pStyle w:val="TableText"/>
              <w:spacing w:beforeLines="20" w:before="48" w:afterLines="20" w:after="48"/>
              <w:rPr>
                <w:sz w:val="18"/>
                <w:szCs w:val="18"/>
              </w:rPr>
            </w:pPr>
            <w:r w:rsidRPr="00FE5985">
              <w:rPr>
                <w:sz w:val="18"/>
                <w:szCs w:val="18"/>
              </w:rPr>
              <w:t>Construction management</w:t>
            </w:r>
          </w:p>
        </w:tc>
        <w:tc>
          <w:tcPr>
            <w:tcW w:w="4881" w:type="dxa"/>
            <w:tcBorders>
              <w:top w:val="single" w:sz="4" w:space="0" w:color="auto"/>
              <w:left w:val="single" w:sz="4" w:space="0" w:color="auto"/>
              <w:bottom w:val="single" w:sz="4" w:space="0" w:color="auto"/>
              <w:right w:val="single" w:sz="4" w:space="0" w:color="auto"/>
            </w:tcBorders>
            <w:shd w:val="clear" w:color="auto" w:fill="F8696B"/>
          </w:tcPr>
          <w:p w14:paraId="34C8ADDA" w14:textId="77777777" w:rsidR="00FF6E56" w:rsidRPr="00FE5985" w:rsidRDefault="00FF6E56" w:rsidP="0070603A">
            <w:pPr>
              <w:pStyle w:val="TableText"/>
              <w:spacing w:beforeLines="20" w:before="48" w:afterLines="20" w:after="48"/>
              <w:rPr>
                <w:sz w:val="18"/>
                <w:szCs w:val="18"/>
              </w:rPr>
            </w:pPr>
            <w:r w:rsidRPr="00FE5985">
              <w:rPr>
                <w:sz w:val="18"/>
                <w:szCs w:val="18"/>
              </w:rPr>
              <w:t>Discounted</w:t>
            </w:r>
          </w:p>
        </w:tc>
      </w:tr>
      <w:tr w:rsidR="00FF6E56" w:rsidRPr="00A40BA5" w14:paraId="0CA237CB" w14:textId="77777777" w:rsidTr="0070603A">
        <w:trPr>
          <w:cantSplit/>
        </w:trPr>
        <w:tc>
          <w:tcPr>
            <w:tcW w:w="0" w:type="auto"/>
            <w:gridSpan w:val="3"/>
            <w:tcBorders>
              <w:top w:val="single" w:sz="4" w:space="0" w:color="auto"/>
              <w:left w:val="single" w:sz="4" w:space="0" w:color="auto"/>
              <w:bottom w:val="single" w:sz="4" w:space="0" w:color="auto"/>
              <w:right w:val="single" w:sz="4" w:space="0" w:color="auto"/>
            </w:tcBorders>
            <w:shd w:val="clear" w:color="auto" w:fill="CFDDED"/>
          </w:tcPr>
          <w:p w14:paraId="69C383BF" w14:textId="77777777" w:rsidR="00FF6E56" w:rsidRPr="00A40BA5" w:rsidRDefault="00FF6E56" w:rsidP="0070603A">
            <w:pPr>
              <w:pStyle w:val="TableText"/>
              <w:spacing w:beforeLines="20" w:before="48" w:afterLines="20" w:after="48"/>
              <w:rPr>
                <w:b/>
                <w:color w:val="auto"/>
                <w:sz w:val="18"/>
                <w:szCs w:val="18"/>
              </w:rPr>
            </w:pPr>
            <w:r w:rsidRPr="00A40BA5">
              <w:rPr>
                <w:b/>
                <w:color w:val="auto"/>
                <w:sz w:val="18"/>
                <w:szCs w:val="18"/>
              </w:rPr>
              <w:t>Implementation</w:t>
            </w:r>
          </w:p>
        </w:tc>
      </w:tr>
      <w:tr w:rsidR="00FF6E56" w:rsidRPr="00FE5985" w14:paraId="158E82B0" w14:textId="77777777" w:rsidTr="0070603A">
        <w:trPr>
          <w:cantSplit/>
        </w:trPr>
        <w:tc>
          <w:tcPr>
            <w:tcW w:w="0" w:type="auto"/>
            <w:gridSpan w:val="3"/>
            <w:tcBorders>
              <w:top w:val="single" w:sz="4" w:space="0" w:color="auto"/>
              <w:left w:val="single" w:sz="4" w:space="0" w:color="auto"/>
              <w:bottom w:val="single" w:sz="4" w:space="0" w:color="auto"/>
              <w:right w:val="single" w:sz="4" w:space="0" w:color="auto"/>
            </w:tcBorders>
          </w:tcPr>
          <w:p w14:paraId="46430E75" w14:textId="77777777" w:rsidR="00FF6E56" w:rsidRPr="00E00598" w:rsidRDefault="00FF6E56" w:rsidP="0070603A">
            <w:pPr>
              <w:pStyle w:val="TableText"/>
              <w:spacing w:beforeLines="20" w:before="48" w:afterLines="20" w:after="48"/>
              <w:rPr>
                <w:b/>
                <w:sz w:val="18"/>
                <w:szCs w:val="18"/>
              </w:rPr>
            </w:pPr>
            <w:r w:rsidRPr="00E00598">
              <w:rPr>
                <w:b/>
                <w:sz w:val="18"/>
                <w:szCs w:val="18"/>
              </w:rPr>
              <w:t>Refurbishment/build phasing</w:t>
            </w:r>
          </w:p>
        </w:tc>
      </w:tr>
      <w:tr w:rsidR="00FF6E56" w:rsidRPr="00FE5985" w14:paraId="15C40F77" w14:textId="77777777" w:rsidTr="0070603A">
        <w:trPr>
          <w:cantSplit/>
          <w:trHeight w:val="298"/>
        </w:trPr>
        <w:tc>
          <w:tcPr>
            <w:tcW w:w="0" w:type="auto"/>
            <w:tcBorders>
              <w:top w:val="single" w:sz="4" w:space="0" w:color="auto"/>
              <w:left w:val="single" w:sz="4" w:space="0" w:color="auto"/>
              <w:bottom w:val="single" w:sz="4" w:space="0" w:color="auto"/>
              <w:right w:val="single" w:sz="4" w:space="0" w:color="auto"/>
            </w:tcBorders>
          </w:tcPr>
          <w:p w14:paraId="173847CC"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4.1a</w:t>
            </w:r>
          </w:p>
        </w:tc>
        <w:tc>
          <w:tcPr>
            <w:tcW w:w="3794" w:type="dxa"/>
            <w:tcBorders>
              <w:top w:val="single" w:sz="4" w:space="0" w:color="auto"/>
              <w:left w:val="single" w:sz="4" w:space="0" w:color="auto"/>
              <w:bottom w:val="single" w:sz="4" w:space="0" w:color="auto"/>
              <w:right w:val="single" w:sz="4" w:space="0" w:color="auto"/>
            </w:tcBorders>
          </w:tcPr>
          <w:p w14:paraId="652716E1" w14:textId="77777777" w:rsidR="00FF6E56" w:rsidRPr="00FE5985" w:rsidRDefault="00FF6E56" w:rsidP="0070603A">
            <w:pPr>
              <w:pStyle w:val="TableText"/>
              <w:spacing w:beforeLines="20" w:before="48" w:afterLines="20" w:after="48"/>
              <w:rPr>
                <w:sz w:val="18"/>
                <w:szCs w:val="18"/>
              </w:rPr>
            </w:pPr>
            <w:r w:rsidRPr="00FE5985">
              <w:rPr>
                <w:sz w:val="18"/>
                <w:szCs w:val="18"/>
              </w:rPr>
              <w:t>All at once</w:t>
            </w:r>
          </w:p>
        </w:tc>
        <w:tc>
          <w:tcPr>
            <w:tcW w:w="4881" w:type="dxa"/>
            <w:tcBorders>
              <w:top w:val="single" w:sz="4" w:space="0" w:color="auto"/>
              <w:left w:val="single" w:sz="4" w:space="0" w:color="auto"/>
              <w:bottom w:val="single" w:sz="4" w:space="0" w:color="auto"/>
              <w:right w:val="single" w:sz="4" w:space="0" w:color="auto"/>
            </w:tcBorders>
            <w:shd w:val="clear" w:color="auto" w:fill="63BE7B"/>
          </w:tcPr>
          <w:p w14:paraId="27A5914D" w14:textId="77777777" w:rsidR="00FF6E56" w:rsidRPr="00FE5985" w:rsidRDefault="00FF6E56" w:rsidP="0070603A">
            <w:pPr>
              <w:pStyle w:val="TableText"/>
              <w:spacing w:beforeLines="20" w:before="48" w:afterLines="20" w:after="48"/>
              <w:rPr>
                <w:sz w:val="18"/>
                <w:szCs w:val="18"/>
              </w:rPr>
            </w:pPr>
            <w:r>
              <w:rPr>
                <w:sz w:val="18"/>
                <w:szCs w:val="18"/>
              </w:rPr>
              <w:t>Most economic way of delivering works – c</w:t>
            </w:r>
            <w:r w:rsidRPr="00FE5985">
              <w:rPr>
                <w:sz w:val="18"/>
                <w:szCs w:val="18"/>
              </w:rPr>
              <w:t>arried forward as ‘preferred’</w:t>
            </w:r>
            <w:r>
              <w:rPr>
                <w:sz w:val="18"/>
                <w:szCs w:val="18"/>
              </w:rPr>
              <w:t xml:space="preserve"> </w:t>
            </w:r>
          </w:p>
        </w:tc>
      </w:tr>
      <w:tr w:rsidR="00FF6E56" w:rsidRPr="00FE5985" w14:paraId="52DA93DE"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1D920F91"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4.1b</w:t>
            </w:r>
          </w:p>
        </w:tc>
        <w:tc>
          <w:tcPr>
            <w:tcW w:w="3794" w:type="dxa"/>
            <w:tcBorders>
              <w:top w:val="single" w:sz="4" w:space="0" w:color="auto"/>
              <w:left w:val="single" w:sz="4" w:space="0" w:color="auto"/>
              <w:bottom w:val="single" w:sz="4" w:space="0" w:color="auto"/>
              <w:right w:val="single" w:sz="4" w:space="0" w:color="auto"/>
            </w:tcBorders>
          </w:tcPr>
          <w:p w14:paraId="076BDE28" w14:textId="77777777" w:rsidR="00FF6E56" w:rsidRPr="00FE5985" w:rsidRDefault="00FF6E56" w:rsidP="0070603A">
            <w:pPr>
              <w:pStyle w:val="TableText"/>
              <w:spacing w:beforeLines="20" w:before="48" w:afterLines="20" w:after="48"/>
              <w:rPr>
                <w:sz w:val="18"/>
                <w:szCs w:val="18"/>
              </w:rPr>
            </w:pPr>
            <w:r w:rsidRPr="00FE5985">
              <w:rPr>
                <w:sz w:val="18"/>
                <w:szCs w:val="18"/>
              </w:rPr>
              <w:t>Phased build</w:t>
            </w:r>
          </w:p>
        </w:tc>
        <w:tc>
          <w:tcPr>
            <w:tcW w:w="4881" w:type="dxa"/>
            <w:tcBorders>
              <w:top w:val="single" w:sz="4" w:space="0" w:color="auto"/>
              <w:left w:val="single" w:sz="4" w:space="0" w:color="auto"/>
              <w:bottom w:val="single" w:sz="4" w:space="0" w:color="auto"/>
              <w:right w:val="single" w:sz="4" w:space="0" w:color="auto"/>
            </w:tcBorders>
            <w:shd w:val="clear" w:color="auto" w:fill="FFEB84"/>
          </w:tcPr>
          <w:p w14:paraId="50366C03" w14:textId="77777777" w:rsidR="00FF6E56" w:rsidRPr="00FE5985" w:rsidRDefault="00FF6E56" w:rsidP="0070603A">
            <w:pPr>
              <w:pStyle w:val="TableText"/>
              <w:spacing w:beforeLines="20" w:before="48" w:afterLines="20" w:after="48"/>
              <w:rPr>
                <w:sz w:val="18"/>
                <w:szCs w:val="18"/>
              </w:rPr>
            </w:pPr>
            <w:r>
              <w:rPr>
                <w:sz w:val="18"/>
                <w:szCs w:val="18"/>
              </w:rPr>
              <w:t>C</w:t>
            </w:r>
            <w:r w:rsidRPr="00FE5985">
              <w:rPr>
                <w:sz w:val="18"/>
                <w:szCs w:val="18"/>
              </w:rPr>
              <w:t>arried forward</w:t>
            </w:r>
            <w:r>
              <w:rPr>
                <w:sz w:val="18"/>
                <w:szCs w:val="18"/>
              </w:rPr>
              <w:t xml:space="preserve"> – l</w:t>
            </w:r>
            <w:r w:rsidRPr="00FD5F55">
              <w:rPr>
                <w:sz w:val="18"/>
                <w:szCs w:val="18"/>
              </w:rPr>
              <w:t>ess economic but may be necessary for some build options</w:t>
            </w:r>
          </w:p>
        </w:tc>
      </w:tr>
      <w:tr w:rsidR="00FF6E56" w:rsidRPr="00FE5985" w14:paraId="6E3C29C6" w14:textId="77777777" w:rsidTr="0070603A">
        <w:trPr>
          <w:cantSplit/>
        </w:trPr>
        <w:tc>
          <w:tcPr>
            <w:tcW w:w="0" w:type="auto"/>
            <w:gridSpan w:val="3"/>
            <w:tcBorders>
              <w:top w:val="single" w:sz="4" w:space="0" w:color="auto"/>
              <w:left w:val="single" w:sz="4" w:space="0" w:color="auto"/>
              <w:bottom w:val="single" w:sz="4" w:space="0" w:color="auto"/>
              <w:right w:val="single" w:sz="4" w:space="0" w:color="auto"/>
            </w:tcBorders>
          </w:tcPr>
          <w:p w14:paraId="26679141" w14:textId="77777777" w:rsidR="00FF6E56" w:rsidRPr="00E00598" w:rsidRDefault="00FF6E56" w:rsidP="0070603A">
            <w:pPr>
              <w:pStyle w:val="TableText"/>
              <w:spacing w:beforeLines="20" w:before="48" w:afterLines="20" w:after="48"/>
              <w:rPr>
                <w:b/>
                <w:sz w:val="18"/>
                <w:szCs w:val="18"/>
              </w:rPr>
            </w:pPr>
            <w:r w:rsidRPr="00E00598">
              <w:rPr>
                <w:b/>
                <w:sz w:val="18"/>
                <w:szCs w:val="18"/>
              </w:rPr>
              <w:t>Transition</w:t>
            </w:r>
          </w:p>
        </w:tc>
      </w:tr>
      <w:tr w:rsidR="00FF6E56" w:rsidRPr="00FE5985" w14:paraId="2C7431D2"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151B95DB"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4.2a</w:t>
            </w:r>
          </w:p>
        </w:tc>
        <w:tc>
          <w:tcPr>
            <w:tcW w:w="3794" w:type="dxa"/>
            <w:tcBorders>
              <w:top w:val="single" w:sz="4" w:space="0" w:color="auto"/>
              <w:left w:val="single" w:sz="4" w:space="0" w:color="auto"/>
              <w:bottom w:val="single" w:sz="4" w:space="0" w:color="auto"/>
              <w:right w:val="single" w:sz="4" w:space="0" w:color="auto"/>
            </w:tcBorders>
          </w:tcPr>
          <w:p w14:paraId="5E50AF06" w14:textId="77777777" w:rsidR="00FF6E56" w:rsidRPr="00FE5985" w:rsidRDefault="00FF6E56" w:rsidP="0070603A">
            <w:pPr>
              <w:pStyle w:val="TableText"/>
              <w:spacing w:beforeLines="20" w:before="48" w:afterLines="20" w:after="48"/>
              <w:rPr>
                <w:sz w:val="18"/>
                <w:szCs w:val="18"/>
              </w:rPr>
            </w:pPr>
            <w:r w:rsidRPr="00FE5985">
              <w:rPr>
                <w:sz w:val="18"/>
                <w:szCs w:val="18"/>
              </w:rPr>
              <w:t>Big bang</w:t>
            </w:r>
          </w:p>
        </w:tc>
        <w:tc>
          <w:tcPr>
            <w:tcW w:w="4881" w:type="dxa"/>
            <w:tcBorders>
              <w:top w:val="single" w:sz="4" w:space="0" w:color="auto"/>
              <w:left w:val="single" w:sz="4" w:space="0" w:color="auto"/>
              <w:bottom w:val="single" w:sz="4" w:space="0" w:color="auto"/>
              <w:right w:val="single" w:sz="4" w:space="0" w:color="auto"/>
            </w:tcBorders>
            <w:shd w:val="clear" w:color="auto" w:fill="F8696B"/>
          </w:tcPr>
          <w:p w14:paraId="5857696C" w14:textId="77777777" w:rsidR="00FF6E56" w:rsidRPr="00FE5985" w:rsidRDefault="00FF6E56" w:rsidP="0070603A">
            <w:pPr>
              <w:pStyle w:val="TableText"/>
              <w:spacing w:beforeLines="20" w:before="48" w:afterLines="20" w:after="48"/>
              <w:rPr>
                <w:sz w:val="18"/>
                <w:szCs w:val="18"/>
              </w:rPr>
            </w:pPr>
            <w:r>
              <w:rPr>
                <w:sz w:val="18"/>
                <w:szCs w:val="18"/>
              </w:rPr>
              <w:t>Discounted – u</w:t>
            </w:r>
            <w:r w:rsidRPr="00FD5F55">
              <w:rPr>
                <w:sz w:val="18"/>
                <w:szCs w:val="18"/>
              </w:rPr>
              <w:t>nacceptable risk to continuity of clinical services and too logistically complex to deliver</w:t>
            </w:r>
          </w:p>
        </w:tc>
      </w:tr>
      <w:tr w:rsidR="00FF6E56" w:rsidRPr="00FE5985" w14:paraId="0901AD21"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00A81A1D"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4.2b</w:t>
            </w:r>
          </w:p>
        </w:tc>
        <w:tc>
          <w:tcPr>
            <w:tcW w:w="3794" w:type="dxa"/>
            <w:tcBorders>
              <w:top w:val="single" w:sz="4" w:space="0" w:color="auto"/>
              <w:left w:val="single" w:sz="4" w:space="0" w:color="auto"/>
              <w:bottom w:val="single" w:sz="4" w:space="0" w:color="auto"/>
              <w:right w:val="single" w:sz="4" w:space="0" w:color="auto"/>
            </w:tcBorders>
          </w:tcPr>
          <w:p w14:paraId="4BFE6F53" w14:textId="77777777" w:rsidR="00FF6E56" w:rsidRPr="00FE5985" w:rsidRDefault="00FF6E56" w:rsidP="0070603A">
            <w:pPr>
              <w:pStyle w:val="TableText"/>
              <w:spacing w:beforeLines="20" w:before="48" w:afterLines="20" w:after="48"/>
              <w:rPr>
                <w:sz w:val="18"/>
                <w:szCs w:val="18"/>
              </w:rPr>
            </w:pPr>
            <w:r w:rsidRPr="00FE5985">
              <w:rPr>
                <w:sz w:val="18"/>
                <w:szCs w:val="18"/>
              </w:rPr>
              <w:t>Decoupled big bang</w:t>
            </w:r>
          </w:p>
        </w:tc>
        <w:tc>
          <w:tcPr>
            <w:tcW w:w="4881" w:type="dxa"/>
            <w:tcBorders>
              <w:top w:val="single" w:sz="4" w:space="0" w:color="auto"/>
              <w:left w:val="single" w:sz="4" w:space="0" w:color="auto"/>
              <w:bottom w:val="single" w:sz="4" w:space="0" w:color="auto"/>
              <w:right w:val="single" w:sz="4" w:space="0" w:color="auto"/>
            </w:tcBorders>
            <w:shd w:val="clear" w:color="auto" w:fill="F8696B"/>
          </w:tcPr>
          <w:p w14:paraId="7B01A41C" w14:textId="77777777" w:rsidR="00FF6E56" w:rsidRPr="00FE5985" w:rsidRDefault="00FF6E56" w:rsidP="0070603A">
            <w:pPr>
              <w:pStyle w:val="TableText"/>
              <w:spacing w:beforeLines="20" w:before="48" w:afterLines="20" w:after="48"/>
              <w:rPr>
                <w:sz w:val="18"/>
                <w:szCs w:val="18"/>
              </w:rPr>
            </w:pPr>
            <w:r>
              <w:rPr>
                <w:sz w:val="18"/>
                <w:szCs w:val="18"/>
              </w:rPr>
              <w:t>Discounted – u</w:t>
            </w:r>
            <w:r w:rsidRPr="00FD5F55">
              <w:rPr>
                <w:sz w:val="18"/>
                <w:szCs w:val="18"/>
              </w:rPr>
              <w:t>nacceptable risk to continuity of clinical services; breaks clinical adjacencies; and too logistically complex to deliver</w:t>
            </w:r>
          </w:p>
        </w:tc>
      </w:tr>
      <w:tr w:rsidR="00FF6E56" w:rsidRPr="00FE5985" w14:paraId="7A750033"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205B6E48"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4.2c</w:t>
            </w:r>
          </w:p>
        </w:tc>
        <w:tc>
          <w:tcPr>
            <w:tcW w:w="3794" w:type="dxa"/>
            <w:tcBorders>
              <w:top w:val="single" w:sz="4" w:space="0" w:color="auto"/>
              <w:left w:val="single" w:sz="4" w:space="0" w:color="auto"/>
              <w:bottom w:val="single" w:sz="4" w:space="0" w:color="auto"/>
              <w:right w:val="single" w:sz="4" w:space="0" w:color="auto"/>
            </w:tcBorders>
          </w:tcPr>
          <w:p w14:paraId="6EA288D6" w14:textId="77777777" w:rsidR="00FF6E56" w:rsidRPr="00FE5985" w:rsidRDefault="00FF6E56" w:rsidP="0070603A">
            <w:pPr>
              <w:pStyle w:val="TableText"/>
              <w:spacing w:beforeLines="20" w:before="48" w:afterLines="20" w:after="48"/>
              <w:rPr>
                <w:sz w:val="18"/>
                <w:szCs w:val="18"/>
              </w:rPr>
            </w:pPr>
            <w:r w:rsidRPr="00FE5985">
              <w:rPr>
                <w:sz w:val="18"/>
                <w:szCs w:val="18"/>
              </w:rPr>
              <w:t>Phased NHS; big bang UCL</w:t>
            </w:r>
          </w:p>
        </w:tc>
        <w:tc>
          <w:tcPr>
            <w:tcW w:w="4881" w:type="dxa"/>
            <w:tcBorders>
              <w:top w:val="single" w:sz="4" w:space="0" w:color="auto"/>
              <w:left w:val="single" w:sz="4" w:space="0" w:color="auto"/>
              <w:bottom w:val="single" w:sz="4" w:space="0" w:color="auto"/>
              <w:right w:val="single" w:sz="4" w:space="0" w:color="auto"/>
            </w:tcBorders>
            <w:shd w:val="clear" w:color="auto" w:fill="F8696B"/>
          </w:tcPr>
          <w:p w14:paraId="6C685AEC" w14:textId="77777777" w:rsidR="00FF6E56" w:rsidRPr="00FE5985" w:rsidRDefault="00FF6E56" w:rsidP="0070603A">
            <w:pPr>
              <w:pStyle w:val="TableText"/>
              <w:spacing w:beforeLines="20" w:before="48" w:afterLines="20" w:after="48"/>
              <w:rPr>
                <w:sz w:val="18"/>
                <w:szCs w:val="18"/>
              </w:rPr>
            </w:pPr>
            <w:r>
              <w:rPr>
                <w:sz w:val="18"/>
                <w:szCs w:val="18"/>
              </w:rPr>
              <w:t>Discounted – t</w:t>
            </w:r>
            <w:r w:rsidRPr="00FD5F55">
              <w:rPr>
                <w:sz w:val="18"/>
                <w:szCs w:val="18"/>
              </w:rPr>
              <w:t>oo logistically complex to deliver</w:t>
            </w:r>
          </w:p>
        </w:tc>
      </w:tr>
      <w:tr w:rsidR="00FF6E56" w:rsidRPr="00FE5985" w14:paraId="2AF4D01D"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75959717"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4.2d</w:t>
            </w:r>
          </w:p>
        </w:tc>
        <w:tc>
          <w:tcPr>
            <w:tcW w:w="3794" w:type="dxa"/>
            <w:tcBorders>
              <w:top w:val="single" w:sz="4" w:space="0" w:color="auto"/>
              <w:left w:val="single" w:sz="4" w:space="0" w:color="auto"/>
              <w:bottom w:val="single" w:sz="4" w:space="0" w:color="auto"/>
              <w:right w:val="single" w:sz="4" w:space="0" w:color="auto"/>
            </w:tcBorders>
          </w:tcPr>
          <w:p w14:paraId="06D24339" w14:textId="77777777" w:rsidR="00FF6E56" w:rsidRPr="00FE5985" w:rsidRDefault="00FF6E56" w:rsidP="0070603A">
            <w:pPr>
              <w:pStyle w:val="TableText"/>
              <w:spacing w:beforeLines="20" w:before="48" w:afterLines="20" w:after="48"/>
              <w:rPr>
                <w:sz w:val="18"/>
                <w:szCs w:val="18"/>
              </w:rPr>
            </w:pPr>
            <w:r w:rsidRPr="00FE5985">
              <w:rPr>
                <w:sz w:val="18"/>
                <w:szCs w:val="18"/>
              </w:rPr>
              <w:t>Big bang NHS; phased UCL</w:t>
            </w:r>
          </w:p>
        </w:tc>
        <w:tc>
          <w:tcPr>
            <w:tcW w:w="4881" w:type="dxa"/>
            <w:tcBorders>
              <w:top w:val="single" w:sz="4" w:space="0" w:color="auto"/>
              <w:left w:val="single" w:sz="4" w:space="0" w:color="auto"/>
              <w:bottom w:val="single" w:sz="4" w:space="0" w:color="auto"/>
              <w:right w:val="single" w:sz="4" w:space="0" w:color="auto"/>
            </w:tcBorders>
            <w:shd w:val="clear" w:color="auto" w:fill="F8696B"/>
          </w:tcPr>
          <w:p w14:paraId="4B698A8B" w14:textId="77777777" w:rsidR="00FF6E56" w:rsidRPr="00FE5985" w:rsidRDefault="00FF6E56" w:rsidP="0070603A">
            <w:pPr>
              <w:pStyle w:val="TableText"/>
              <w:spacing w:beforeLines="20" w:before="48" w:afterLines="20" w:after="48"/>
              <w:rPr>
                <w:sz w:val="18"/>
                <w:szCs w:val="18"/>
              </w:rPr>
            </w:pPr>
            <w:r>
              <w:rPr>
                <w:sz w:val="18"/>
                <w:szCs w:val="18"/>
              </w:rPr>
              <w:t>Discounted – u</w:t>
            </w:r>
            <w:r w:rsidRPr="00FD5F55">
              <w:rPr>
                <w:sz w:val="18"/>
                <w:szCs w:val="18"/>
              </w:rPr>
              <w:t>nacceptable risk to continuity of clinical services; and too logistically complex to deliver</w:t>
            </w:r>
          </w:p>
        </w:tc>
      </w:tr>
      <w:tr w:rsidR="00FF6E56" w:rsidRPr="00FE5985" w14:paraId="63E278CD"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0CE0A54E"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4.3e</w:t>
            </w:r>
          </w:p>
        </w:tc>
        <w:tc>
          <w:tcPr>
            <w:tcW w:w="3794" w:type="dxa"/>
            <w:tcBorders>
              <w:top w:val="single" w:sz="4" w:space="0" w:color="auto"/>
              <w:left w:val="single" w:sz="4" w:space="0" w:color="auto"/>
              <w:bottom w:val="single" w:sz="4" w:space="0" w:color="auto"/>
              <w:right w:val="single" w:sz="4" w:space="0" w:color="auto"/>
            </w:tcBorders>
          </w:tcPr>
          <w:p w14:paraId="213260BA" w14:textId="77777777" w:rsidR="00FF6E56" w:rsidRPr="00FE5985" w:rsidRDefault="00FF6E56" w:rsidP="0070603A">
            <w:pPr>
              <w:pStyle w:val="TableText"/>
              <w:spacing w:beforeLines="20" w:before="48" w:afterLines="20" w:after="48"/>
              <w:rPr>
                <w:sz w:val="18"/>
                <w:szCs w:val="18"/>
              </w:rPr>
            </w:pPr>
            <w:r w:rsidRPr="00FE5985">
              <w:rPr>
                <w:sz w:val="18"/>
                <w:szCs w:val="18"/>
              </w:rPr>
              <w:t>Phased NHS; phased UCL</w:t>
            </w:r>
          </w:p>
        </w:tc>
        <w:tc>
          <w:tcPr>
            <w:tcW w:w="4881" w:type="dxa"/>
            <w:tcBorders>
              <w:top w:val="single" w:sz="4" w:space="0" w:color="auto"/>
              <w:left w:val="single" w:sz="4" w:space="0" w:color="auto"/>
              <w:bottom w:val="single" w:sz="4" w:space="0" w:color="auto"/>
              <w:right w:val="single" w:sz="4" w:space="0" w:color="auto"/>
            </w:tcBorders>
            <w:shd w:val="clear" w:color="auto" w:fill="63BE7B"/>
          </w:tcPr>
          <w:p w14:paraId="24B58CAC" w14:textId="77777777" w:rsidR="00FF6E56" w:rsidRPr="00FE5985" w:rsidRDefault="00FF6E56" w:rsidP="0070603A">
            <w:pPr>
              <w:pStyle w:val="TableText"/>
              <w:spacing w:beforeLines="20" w:before="48" w:afterLines="20" w:after="48"/>
              <w:rPr>
                <w:sz w:val="18"/>
                <w:szCs w:val="18"/>
              </w:rPr>
            </w:pPr>
            <w:r w:rsidRPr="00FD5F55">
              <w:rPr>
                <w:sz w:val="18"/>
                <w:szCs w:val="18"/>
              </w:rPr>
              <w:t>Likely to present the best balance of speed and continuity risk</w:t>
            </w:r>
            <w:r>
              <w:rPr>
                <w:sz w:val="18"/>
                <w:szCs w:val="18"/>
              </w:rPr>
              <w:t xml:space="preserve"> – c</w:t>
            </w:r>
            <w:r w:rsidRPr="00FE5985">
              <w:rPr>
                <w:sz w:val="18"/>
                <w:szCs w:val="18"/>
              </w:rPr>
              <w:t>arried forward as ‘preferred’</w:t>
            </w:r>
          </w:p>
        </w:tc>
      </w:tr>
      <w:tr w:rsidR="00FF6E56" w:rsidRPr="00A40BA5" w14:paraId="1A71002F" w14:textId="77777777" w:rsidTr="0070603A">
        <w:trPr>
          <w:cantSplit/>
        </w:trPr>
        <w:tc>
          <w:tcPr>
            <w:tcW w:w="0" w:type="auto"/>
            <w:gridSpan w:val="3"/>
            <w:tcBorders>
              <w:top w:val="single" w:sz="4" w:space="0" w:color="auto"/>
              <w:left w:val="single" w:sz="4" w:space="0" w:color="auto"/>
              <w:bottom w:val="single" w:sz="4" w:space="0" w:color="auto"/>
              <w:right w:val="single" w:sz="4" w:space="0" w:color="auto"/>
            </w:tcBorders>
            <w:shd w:val="clear" w:color="auto" w:fill="CFDDED"/>
          </w:tcPr>
          <w:p w14:paraId="024133E8" w14:textId="77777777" w:rsidR="00FF6E56" w:rsidRPr="00A40BA5" w:rsidRDefault="00FF6E56" w:rsidP="0070603A">
            <w:pPr>
              <w:pStyle w:val="TableText"/>
              <w:spacing w:beforeLines="20" w:before="48" w:afterLines="20" w:after="48"/>
              <w:rPr>
                <w:b/>
                <w:color w:val="auto"/>
                <w:sz w:val="18"/>
                <w:szCs w:val="18"/>
              </w:rPr>
            </w:pPr>
            <w:r w:rsidRPr="00A40BA5">
              <w:rPr>
                <w:b/>
                <w:color w:val="auto"/>
                <w:sz w:val="18"/>
                <w:szCs w:val="18"/>
              </w:rPr>
              <w:t>Funding</w:t>
            </w:r>
          </w:p>
        </w:tc>
      </w:tr>
      <w:tr w:rsidR="00FF6E56" w:rsidRPr="00FE5985" w14:paraId="52B83165"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7C20C7B1"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5.1</w:t>
            </w:r>
          </w:p>
        </w:tc>
        <w:tc>
          <w:tcPr>
            <w:tcW w:w="3794" w:type="dxa"/>
            <w:tcBorders>
              <w:top w:val="single" w:sz="4" w:space="0" w:color="auto"/>
              <w:left w:val="single" w:sz="4" w:space="0" w:color="auto"/>
              <w:bottom w:val="single" w:sz="4" w:space="0" w:color="auto"/>
              <w:right w:val="single" w:sz="4" w:space="0" w:color="auto"/>
            </w:tcBorders>
          </w:tcPr>
          <w:p w14:paraId="1099C01F" w14:textId="77777777" w:rsidR="00FF6E56" w:rsidRPr="00FE5985" w:rsidRDefault="00FF6E56" w:rsidP="0070603A">
            <w:pPr>
              <w:pStyle w:val="TableText"/>
              <w:spacing w:beforeLines="20" w:before="48" w:afterLines="20" w:after="48"/>
              <w:rPr>
                <w:sz w:val="18"/>
                <w:szCs w:val="18"/>
              </w:rPr>
            </w:pPr>
            <w:r w:rsidRPr="00FE5985">
              <w:rPr>
                <w:sz w:val="18"/>
                <w:szCs w:val="18"/>
              </w:rPr>
              <w:t>Local Improvement Finance Trust (LIFT)</w:t>
            </w:r>
          </w:p>
        </w:tc>
        <w:tc>
          <w:tcPr>
            <w:tcW w:w="4881" w:type="dxa"/>
            <w:tcBorders>
              <w:top w:val="single" w:sz="4" w:space="0" w:color="auto"/>
              <w:left w:val="single" w:sz="4" w:space="0" w:color="auto"/>
              <w:bottom w:val="single" w:sz="4" w:space="0" w:color="auto"/>
              <w:right w:val="single" w:sz="4" w:space="0" w:color="auto"/>
            </w:tcBorders>
            <w:shd w:val="clear" w:color="auto" w:fill="F8696B"/>
          </w:tcPr>
          <w:p w14:paraId="756C319C" w14:textId="77777777" w:rsidR="00FF6E56" w:rsidRPr="00FE5985" w:rsidRDefault="00FF6E56" w:rsidP="0070603A">
            <w:pPr>
              <w:pStyle w:val="TableText"/>
              <w:spacing w:beforeLines="20" w:before="48" w:afterLines="20" w:after="48"/>
              <w:rPr>
                <w:sz w:val="18"/>
                <w:szCs w:val="18"/>
              </w:rPr>
            </w:pPr>
            <w:r w:rsidRPr="00FE5985">
              <w:rPr>
                <w:sz w:val="18"/>
                <w:szCs w:val="18"/>
              </w:rPr>
              <w:t>Discounted</w:t>
            </w:r>
            <w:r>
              <w:rPr>
                <w:sz w:val="18"/>
                <w:szCs w:val="18"/>
              </w:rPr>
              <w:t xml:space="preserve"> – m</w:t>
            </w:r>
            <w:r w:rsidRPr="00EF0340">
              <w:rPr>
                <w:sz w:val="18"/>
                <w:szCs w:val="18"/>
              </w:rPr>
              <w:t>ay be unaffordable because of repayment of principal</w:t>
            </w:r>
          </w:p>
        </w:tc>
      </w:tr>
      <w:tr w:rsidR="00FF6E56" w:rsidRPr="00FE5985" w14:paraId="2D4CCD10"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7F4BD61D"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5.2</w:t>
            </w:r>
          </w:p>
        </w:tc>
        <w:tc>
          <w:tcPr>
            <w:tcW w:w="3794" w:type="dxa"/>
            <w:tcBorders>
              <w:top w:val="single" w:sz="4" w:space="0" w:color="auto"/>
              <w:left w:val="single" w:sz="4" w:space="0" w:color="auto"/>
              <w:bottom w:val="single" w:sz="4" w:space="0" w:color="auto"/>
              <w:right w:val="single" w:sz="4" w:space="0" w:color="auto"/>
            </w:tcBorders>
          </w:tcPr>
          <w:p w14:paraId="1B62225B" w14:textId="77777777" w:rsidR="00FF6E56" w:rsidRPr="00FE5985" w:rsidRDefault="00FF6E56" w:rsidP="0070603A">
            <w:pPr>
              <w:pStyle w:val="TableText"/>
              <w:spacing w:beforeLines="20" w:before="48" w:afterLines="20" w:after="48"/>
              <w:rPr>
                <w:sz w:val="18"/>
                <w:szCs w:val="18"/>
              </w:rPr>
            </w:pPr>
            <w:r w:rsidRPr="00FE5985">
              <w:rPr>
                <w:sz w:val="18"/>
                <w:szCs w:val="18"/>
              </w:rPr>
              <w:t>Public-Private Partnership (PPP)</w:t>
            </w:r>
          </w:p>
        </w:tc>
        <w:tc>
          <w:tcPr>
            <w:tcW w:w="4881" w:type="dxa"/>
            <w:tcBorders>
              <w:top w:val="single" w:sz="4" w:space="0" w:color="auto"/>
              <w:left w:val="single" w:sz="4" w:space="0" w:color="auto"/>
              <w:bottom w:val="single" w:sz="4" w:space="0" w:color="auto"/>
              <w:right w:val="single" w:sz="4" w:space="0" w:color="auto"/>
            </w:tcBorders>
            <w:shd w:val="clear" w:color="auto" w:fill="F8696B"/>
          </w:tcPr>
          <w:p w14:paraId="1ECCAE70" w14:textId="77777777" w:rsidR="00FF6E56" w:rsidRPr="00FE5985" w:rsidRDefault="00FF6E56" w:rsidP="0070603A">
            <w:pPr>
              <w:pStyle w:val="TableText"/>
              <w:spacing w:beforeLines="20" w:before="48" w:afterLines="20" w:after="48"/>
              <w:rPr>
                <w:sz w:val="18"/>
                <w:szCs w:val="18"/>
              </w:rPr>
            </w:pPr>
            <w:r w:rsidRPr="00FE5985">
              <w:rPr>
                <w:sz w:val="18"/>
                <w:szCs w:val="18"/>
              </w:rPr>
              <w:t>Discounted</w:t>
            </w:r>
            <w:r>
              <w:rPr>
                <w:sz w:val="18"/>
                <w:szCs w:val="18"/>
              </w:rPr>
              <w:t xml:space="preserve"> – m</w:t>
            </w:r>
            <w:r w:rsidRPr="00EF0340">
              <w:rPr>
                <w:sz w:val="18"/>
                <w:szCs w:val="18"/>
              </w:rPr>
              <w:t>ay be unaffordable because of repayment of principal</w:t>
            </w:r>
          </w:p>
        </w:tc>
      </w:tr>
      <w:tr w:rsidR="00FF6E56" w:rsidRPr="00FE5985" w14:paraId="0D6EAE76"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7663B880"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5.3</w:t>
            </w:r>
          </w:p>
        </w:tc>
        <w:tc>
          <w:tcPr>
            <w:tcW w:w="3794" w:type="dxa"/>
            <w:tcBorders>
              <w:top w:val="single" w:sz="4" w:space="0" w:color="auto"/>
              <w:left w:val="single" w:sz="4" w:space="0" w:color="auto"/>
              <w:bottom w:val="single" w:sz="4" w:space="0" w:color="auto"/>
              <w:right w:val="single" w:sz="4" w:space="0" w:color="auto"/>
            </w:tcBorders>
          </w:tcPr>
          <w:p w14:paraId="6AA9F099" w14:textId="77777777" w:rsidR="00FF6E56" w:rsidRPr="00FE5985" w:rsidRDefault="00FF6E56" w:rsidP="0070603A">
            <w:pPr>
              <w:pStyle w:val="TableText"/>
              <w:spacing w:beforeLines="20" w:before="48" w:afterLines="20" w:after="48"/>
              <w:rPr>
                <w:sz w:val="18"/>
                <w:szCs w:val="18"/>
              </w:rPr>
            </w:pPr>
            <w:r w:rsidRPr="00FE5985">
              <w:rPr>
                <w:sz w:val="18"/>
                <w:szCs w:val="18"/>
              </w:rPr>
              <w:t>Public Dividend Capital (PDC)</w:t>
            </w:r>
          </w:p>
        </w:tc>
        <w:tc>
          <w:tcPr>
            <w:tcW w:w="4881" w:type="dxa"/>
            <w:tcBorders>
              <w:top w:val="single" w:sz="4" w:space="0" w:color="auto"/>
              <w:left w:val="single" w:sz="4" w:space="0" w:color="auto"/>
              <w:bottom w:val="single" w:sz="4" w:space="0" w:color="auto"/>
              <w:right w:val="single" w:sz="4" w:space="0" w:color="auto"/>
            </w:tcBorders>
            <w:shd w:val="clear" w:color="auto" w:fill="FFEB84"/>
          </w:tcPr>
          <w:p w14:paraId="147FFF37" w14:textId="77777777" w:rsidR="00FF6E56" w:rsidRPr="00FE5985" w:rsidRDefault="00FF6E56" w:rsidP="0070603A">
            <w:pPr>
              <w:pStyle w:val="TableText"/>
              <w:spacing w:beforeLines="20" w:before="48" w:afterLines="20" w:after="48"/>
              <w:rPr>
                <w:sz w:val="18"/>
                <w:szCs w:val="18"/>
              </w:rPr>
            </w:pPr>
            <w:r w:rsidRPr="00FE5985">
              <w:rPr>
                <w:sz w:val="18"/>
                <w:szCs w:val="18"/>
              </w:rPr>
              <w:t>Carried forward as the most affordable alternative source of financing</w:t>
            </w:r>
          </w:p>
        </w:tc>
      </w:tr>
      <w:tr w:rsidR="00FF6E56" w:rsidRPr="00FE5985" w14:paraId="527A8242"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6A27914C"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5.4</w:t>
            </w:r>
          </w:p>
        </w:tc>
        <w:tc>
          <w:tcPr>
            <w:tcW w:w="3794" w:type="dxa"/>
            <w:tcBorders>
              <w:top w:val="single" w:sz="4" w:space="0" w:color="auto"/>
              <w:left w:val="single" w:sz="4" w:space="0" w:color="auto"/>
              <w:bottom w:val="single" w:sz="4" w:space="0" w:color="auto"/>
              <w:right w:val="single" w:sz="4" w:space="0" w:color="auto"/>
            </w:tcBorders>
          </w:tcPr>
          <w:p w14:paraId="0AFE05CD" w14:textId="77777777" w:rsidR="00FF6E56" w:rsidRPr="00FE5985" w:rsidRDefault="00FF6E56" w:rsidP="0070603A">
            <w:pPr>
              <w:pStyle w:val="TableText"/>
              <w:spacing w:beforeLines="20" w:before="48" w:afterLines="20" w:after="48"/>
              <w:rPr>
                <w:sz w:val="18"/>
                <w:szCs w:val="18"/>
              </w:rPr>
            </w:pPr>
            <w:r w:rsidRPr="00FE5985">
              <w:rPr>
                <w:sz w:val="18"/>
                <w:szCs w:val="18"/>
              </w:rPr>
              <w:t>NHS prudential borrowing</w:t>
            </w:r>
          </w:p>
        </w:tc>
        <w:tc>
          <w:tcPr>
            <w:tcW w:w="4881" w:type="dxa"/>
            <w:tcBorders>
              <w:top w:val="single" w:sz="4" w:space="0" w:color="auto"/>
              <w:left w:val="single" w:sz="4" w:space="0" w:color="auto"/>
              <w:bottom w:val="single" w:sz="4" w:space="0" w:color="auto"/>
              <w:right w:val="single" w:sz="4" w:space="0" w:color="auto"/>
            </w:tcBorders>
            <w:shd w:val="clear" w:color="auto" w:fill="F8696B"/>
          </w:tcPr>
          <w:p w14:paraId="4E31403F" w14:textId="77777777" w:rsidR="00FF6E56" w:rsidRPr="00FE5985" w:rsidRDefault="00FF6E56" w:rsidP="0070603A">
            <w:pPr>
              <w:pStyle w:val="TableText"/>
              <w:spacing w:beforeLines="20" w:before="48" w:afterLines="20" w:after="48"/>
              <w:rPr>
                <w:sz w:val="18"/>
                <w:szCs w:val="18"/>
              </w:rPr>
            </w:pPr>
            <w:r w:rsidRPr="008F7194">
              <w:rPr>
                <w:sz w:val="18"/>
                <w:szCs w:val="18"/>
              </w:rPr>
              <w:t>Discounted</w:t>
            </w:r>
            <w:r>
              <w:rPr>
                <w:sz w:val="18"/>
                <w:szCs w:val="18"/>
              </w:rPr>
              <w:t xml:space="preserve"> – </w:t>
            </w:r>
            <w:r w:rsidRPr="008F7194">
              <w:rPr>
                <w:sz w:val="18"/>
                <w:szCs w:val="18"/>
              </w:rPr>
              <w:t>may be unaffordable because of repayment of principal</w:t>
            </w:r>
          </w:p>
        </w:tc>
      </w:tr>
      <w:tr w:rsidR="00FF6E56" w:rsidRPr="00FE5985" w14:paraId="7B7155D9"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40E401DB"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5.5</w:t>
            </w:r>
          </w:p>
        </w:tc>
        <w:tc>
          <w:tcPr>
            <w:tcW w:w="3794" w:type="dxa"/>
            <w:tcBorders>
              <w:top w:val="single" w:sz="4" w:space="0" w:color="auto"/>
              <w:left w:val="single" w:sz="4" w:space="0" w:color="auto"/>
              <w:bottom w:val="single" w:sz="4" w:space="0" w:color="auto"/>
              <w:right w:val="single" w:sz="4" w:space="0" w:color="auto"/>
            </w:tcBorders>
          </w:tcPr>
          <w:p w14:paraId="06280D46" w14:textId="77777777" w:rsidR="00FF6E56" w:rsidRPr="00FE5985" w:rsidRDefault="00FF6E56" w:rsidP="0070603A">
            <w:pPr>
              <w:pStyle w:val="TableText"/>
              <w:spacing w:beforeLines="20" w:before="48" w:afterLines="20" w:after="48"/>
              <w:rPr>
                <w:sz w:val="18"/>
                <w:szCs w:val="18"/>
              </w:rPr>
            </w:pPr>
            <w:r w:rsidRPr="00FE5985">
              <w:rPr>
                <w:sz w:val="18"/>
                <w:szCs w:val="18"/>
              </w:rPr>
              <w:t>Local authority, including prudential borrowing</w:t>
            </w:r>
          </w:p>
        </w:tc>
        <w:tc>
          <w:tcPr>
            <w:tcW w:w="4881" w:type="dxa"/>
            <w:tcBorders>
              <w:top w:val="single" w:sz="4" w:space="0" w:color="auto"/>
              <w:left w:val="single" w:sz="4" w:space="0" w:color="auto"/>
              <w:bottom w:val="single" w:sz="4" w:space="0" w:color="auto"/>
              <w:right w:val="single" w:sz="4" w:space="0" w:color="auto"/>
            </w:tcBorders>
            <w:shd w:val="clear" w:color="auto" w:fill="F8696B"/>
          </w:tcPr>
          <w:p w14:paraId="4991DA52" w14:textId="77777777" w:rsidR="00FF6E56" w:rsidRPr="00FE5985" w:rsidRDefault="00FF6E56" w:rsidP="0070603A">
            <w:pPr>
              <w:pStyle w:val="TableText"/>
              <w:spacing w:beforeLines="20" w:before="48" w:afterLines="20" w:after="48"/>
              <w:rPr>
                <w:sz w:val="18"/>
                <w:szCs w:val="18"/>
              </w:rPr>
            </w:pPr>
            <w:r w:rsidRPr="008F7194">
              <w:rPr>
                <w:sz w:val="18"/>
                <w:szCs w:val="18"/>
              </w:rPr>
              <w:t>Discounted</w:t>
            </w:r>
            <w:r>
              <w:rPr>
                <w:sz w:val="18"/>
                <w:szCs w:val="18"/>
              </w:rPr>
              <w:t xml:space="preserve"> – </w:t>
            </w:r>
            <w:r w:rsidRPr="008F7194">
              <w:rPr>
                <w:sz w:val="18"/>
                <w:szCs w:val="18"/>
              </w:rPr>
              <w:t>may be unaffordable because of repayment of principal</w:t>
            </w:r>
          </w:p>
        </w:tc>
      </w:tr>
      <w:tr w:rsidR="00FF6E56" w:rsidRPr="00FE5985" w14:paraId="2017EE24"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45F772C6"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lastRenderedPageBreak/>
              <w:t>5.6</w:t>
            </w:r>
          </w:p>
        </w:tc>
        <w:tc>
          <w:tcPr>
            <w:tcW w:w="3794" w:type="dxa"/>
            <w:tcBorders>
              <w:top w:val="single" w:sz="4" w:space="0" w:color="auto"/>
              <w:left w:val="single" w:sz="4" w:space="0" w:color="auto"/>
              <w:bottom w:val="single" w:sz="4" w:space="0" w:color="auto"/>
              <w:right w:val="single" w:sz="4" w:space="0" w:color="auto"/>
            </w:tcBorders>
          </w:tcPr>
          <w:p w14:paraId="40FAE308" w14:textId="77777777" w:rsidR="00FF6E56" w:rsidRPr="00FE5985" w:rsidRDefault="00FF6E56" w:rsidP="0070603A">
            <w:pPr>
              <w:pStyle w:val="TableText"/>
              <w:spacing w:beforeLines="20" w:before="48" w:afterLines="20" w:after="48"/>
              <w:rPr>
                <w:sz w:val="18"/>
                <w:szCs w:val="18"/>
              </w:rPr>
            </w:pPr>
            <w:r w:rsidRPr="00FE5985">
              <w:rPr>
                <w:sz w:val="18"/>
                <w:szCs w:val="18"/>
              </w:rPr>
              <w:t>Energy efficiency financing (RE:FIT)</w:t>
            </w:r>
          </w:p>
        </w:tc>
        <w:tc>
          <w:tcPr>
            <w:tcW w:w="4881" w:type="dxa"/>
            <w:tcBorders>
              <w:top w:val="single" w:sz="4" w:space="0" w:color="auto"/>
              <w:left w:val="single" w:sz="4" w:space="0" w:color="auto"/>
              <w:bottom w:val="single" w:sz="4" w:space="0" w:color="auto"/>
              <w:right w:val="single" w:sz="4" w:space="0" w:color="auto"/>
            </w:tcBorders>
            <w:shd w:val="clear" w:color="auto" w:fill="F8696B"/>
          </w:tcPr>
          <w:p w14:paraId="73E48039" w14:textId="77777777" w:rsidR="00FF6E56" w:rsidRPr="00FE5985" w:rsidRDefault="00FF6E56" w:rsidP="0070603A">
            <w:pPr>
              <w:pStyle w:val="TableText"/>
              <w:spacing w:beforeLines="20" w:before="48" w:afterLines="20" w:after="48"/>
              <w:rPr>
                <w:sz w:val="18"/>
                <w:szCs w:val="18"/>
              </w:rPr>
            </w:pPr>
            <w:r w:rsidRPr="008F7194">
              <w:rPr>
                <w:sz w:val="18"/>
                <w:szCs w:val="18"/>
              </w:rPr>
              <w:t>Discounted</w:t>
            </w:r>
            <w:r>
              <w:rPr>
                <w:sz w:val="18"/>
                <w:szCs w:val="18"/>
              </w:rPr>
              <w:t xml:space="preserve"> – </w:t>
            </w:r>
            <w:r w:rsidRPr="008F7194">
              <w:rPr>
                <w:sz w:val="18"/>
                <w:szCs w:val="18"/>
              </w:rPr>
              <w:t>may be unaffordable because of repayment of principal</w:t>
            </w:r>
          </w:p>
        </w:tc>
      </w:tr>
      <w:tr w:rsidR="00FF6E56" w:rsidRPr="00FE5985" w14:paraId="3C02386E"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5117900D"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5.7</w:t>
            </w:r>
          </w:p>
        </w:tc>
        <w:tc>
          <w:tcPr>
            <w:tcW w:w="3794" w:type="dxa"/>
            <w:tcBorders>
              <w:top w:val="single" w:sz="4" w:space="0" w:color="auto"/>
              <w:left w:val="single" w:sz="4" w:space="0" w:color="auto"/>
              <w:bottom w:val="single" w:sz="4" w:space="0" w:color="auto"/>
              <w:right w:val="single" w:sz="4" w:space="0" w:color="auto"/>
            </w:tcBorders>
          </w:tcPr>
          <w:p w14:paraId="0FFE2CAD" w14:textId="77777777" w:rsidR="00FF6E56" w:rsidRPr="00FE5985" w:rsidRDefault="00FF6E56" w:rsidP="0070603A">
            <w:pPr>
              <w:pStyle w:val="TableText"/>
              <w:spacing w:beforeLines="20" w:before="48" w:afterLines="20" w:after="48"/>
              <w:rPr>
                <w:sz w:val="18"/>
                <w:szCs w:val="18"/>
              </w:rPr>
            </w:pPr>
            <w:r w:rsidRPr="00FE5985">
              <w:rPr>
                <w:sz w:val="18"/>
                <w:szCs w:val="18"/>
              </w:rPr>
              <w:t>Land receipts and internal financing</w:t>
            </w:r>
          </w:p>
        </w:tc>
        <w:tc>
          <w:tcPr>
            <w:tcW w:w="4881" w:type="dxa"/>
            <w:tcBorders>
              <w:top w:val="single" w:sz="4" w:space="0" w:color="auto"/>
              <w:left w:val="single" w:sz="4" w:space="0" w:color="auto"/>
              <w:bottom w:val="single" w:sz="4" w:space="0" w:color="auto"/>
              <w:right w:val="single" w:sz="4" w:space="0" w:color="auto"/>
            </w:tcBorders>
            <w:shd w:val="clear" w:color="auto" w:fill="63BE7B"/>
          </w:tcPr>
          <w:p w14:paraId="2504962E" w14:textId="77777777" w:rsidR="00FF6E56" w:rsidRPr="00FE5985" w:rsidRDefault="00FF6E56" w:rsidP="0070603A">
            <w:pPr>
              <w:pStyle w:val="TableText"/>
              <w:spacing w:beforeLines="20" w:before="48" w:afterLines="20" w:after="48"/>
              <w:rPr>
                <w:sz w:val="18"/>
                <w:szCs w:val="18"/>
              </w:rPr>
            </w:pPr>
            <w:r w:rsidRPr="00FE5985">
              <w:rPr>
                <w:sz w:val="18"/>
                <w:szCs w:val="18"/>
              </w:rPr>
              <w:t xml:space="preserve">Carried forward as </w:t>
            </w:r>
            <w:r>
              <w:rPr>
                <w:sz w:val="18"/>
                <w:szCs w:val="18"/>
              </w:rPr>
              <w:t xml:space="preserve">equally </w:t>
            </w:r>
            <w:r w:rsidRPr="00FE5985">
              <w:rPr>
                <w:sz w:val="18"/>
                <w:szCs w:val="18"/>
              </w:rPr>
              <w:t>‘preferred’ because there are no financing or repayment costs</w:t>
            </w:r>
          </w:p>
        </w:tc>
      </w:tr>
      <w:tr w:rsidR="00FF6E56" w:rsidRPr="00FE5985" w14:paraId="28163385" w14:textId="77777777" w:rsidTr="0070603A">
        <w:trPr>
          <w:cantSplit/>
        </w:trPr>
        <w:tc>
          <w:tcPr>
            <w:tcW w:w="0" w:type="auto"/>
            <w:tcBorders>
              <w:top w:val="single" w:sz="4" w:space="0" w:color="auto"/>
              <w:left w:val="single" w:sz="4" w:space="0" w:color="auto"/>
              <w:bottom w:val="single" w:sz="4" w:space="0" w:color="auto"/>
              <w:right w:val="single" w:sz="4" w:space="0" w:color="auto"/>
            </w:tcBorders>
          </w:tcPr>
          <w:p w14:paraId="3C3BA602" w14:textId="77777777" w:rsidR="00FF6E56" w:rsidRPr="00A40BA5" w:rsidRDefault="00FF6E56" w:rsidP="0070603A">
            <w:pPr>
              <w:pStyle w:val="TableText"/>
              <w:spacing w:beforeLines="20" w:before="48" w:afterLines="20" w:after="48"/>
              <w:rPr>
                <w:color w:val="00A09D"/>
                <w:sz w:val="18"/>
                <w:szCs w:val="18"/>
              </w:rPr>
            </w:pPr>
            <w:r w:rsidRPr="00A40BA5">
              <w:rPr>
                <w:color w:val="00A09D"/>
                <w:sz w:val="18"/>
                <w:szCs w:val="18"/>
              </w:rPr>
              <w:t>5.8</w:t>
            </w:r>
          </w:p>
        </w:tc>
        <w:tc>
          <w:tcPr>
            <w:tcW w:w="3794" w:type="dxa"/>
            <w:tcBorders>
              <w:top w:val="single" w:sz="4" w:space="0" w:color="auto"/>
              <w:left w:val="single" w:sz="4" w:space="0" w:color="auto"/>
              <w:bottom w:val="single" w:sz="4" w:space="0" w:color="auto"/>
              <w:right w:val="single" w:sz="4" w:space="0" w:color="auto"/>
            </w:tcBorders>
          </w:tcPr>
          <w:p w14:paraId="575C7098" w14:textId="77777777" w:rsidR="00FF6E56" w:rsidRPr="00FE5985" w:rsidRDefault="00FF6E56" w:rsidP="0070603A">
            <w:pPr>
              <w:pStyle w:val="TableText"/>
              <w:spacing w:beforeLines="20" w:before="48" w:afterLines="20" w:after="48"/>
              <w:rPr>
                <w:sz w:val="18"/>
                <w:szCs w:val="18"/>
              </w:rPr>
            </w:pPr>
            <w:r w:rsidRPr="00FE5985">
              <w:rPr>
                <w:sz w:val="18"/>
                <w:szCs w:val="18"/>
              </w:rPr>
              <w:t>Charitable donations</w:t>
            </w:r>
          </w:p>
        </w:tc>
        <w:tc>
          <w:tcPr>
            <w:tcW w:w="4881" w:type="dxa"/>
            <w:tcBorders>
              <w:top w:val="single" w:sz="4" w:space="0" w:color="auto"/>
              <w:left w:val="single" w:sz="4" w:space="0" w:color="auto"/>
              <w:bottom w:val="single" w:sz="4" w:space="0" w:color="auto"/>
              <w:right w:val="single" w:sz="4" w:space="0" w:color="auto"/>
            </w:tcBorders>
            <w:shd w:val="clear" w:color="auto" w:fill="63BE7B"/>
          </w:tcPr>
          <w:p w14:paraId="10585735" w14:textId="77777777" w:rsidR="00FF6E56" w:rsidRPr="00FE5985" w:rsidRDefault="00FF6E56" w:rsidP="0070603A">
            <w:pPr>
              <w:pStyle w:val="TableText"/>
              <w:spacing w:beforeLines="20" w:before="48" w:afterLines="20" w:after="48"/>
              <w:rPr>
                <w:sz w:val="18"/>
                <w:szCs w:val="18"/>
              </w:rPr>
            </w:pPr>
            <w:r w:rsidRPr="00FE5985">
              <w:rPr>
                <w:sz w:val="18"/>
                <w:szCs w:val="18"/>
              </w:rPr>
              <w:t>Carried forward as</w:t>
            </w:r>
            <w:r>
              <w:rPr>
                <w:sz w:val="18"/>
                <w:szCs w:val="18"/>
              </w:rPr>
              <w:t xml:space="preserve"> equally</w:t>
            </w:r>
            <w:r w:rsidRPr="00FE5985">
              <w:rPr>
                <w:sz w:val="18"/>
                <w:szCs w:val="18"/>
              </w:rPr>
              <w:t xml:space="preserve"> ‘preferred’ because there are no financing or repayment costs</w:t>
            </w:r>
          </w:p>
        </w:tc>
      </w:tr>
    </w:tbl>
    <w:p w14:paraId="76C32FAF" w14:textId="77777777" w:rsidR="00FF6E56" w:rsidRDefault="00FF6E56" w:rsidP="00FF6E56">
      <w:pPr>
        <w:pBdr>
          <w:top w:val="nil"/>
          <w:left w:val="nil"/>
          <w:bottom w:val="nil"/>
          <w:right w:val="nil"/>
          <w:between w:val="nil"/>
        </w:pBdr>
        <w:tabs>
          <w:tab w:val="left" w:pos="567"/>
        </w:tabs>
        <w:rPr>
          <w:rFonts w:ascii="Arial" w:eastAsia="Arial" w:hAnsi="Arial" w:cs="Arial"/>
          <w:bCs/>
          <w:color w:val="000000"/>
        </w:rPr>
      </w:pPr>
    </w:p>
    <w:p w14:paraId="76FC8203" w14:textId="0C515764" w:rsidR="00702F20" w:rsidRDefault="00FF6E56" w:rsidP="00FF6E56">
      <w:pPr>
        <w:pBdr>
          <w:top w:val="nil"/>
          <w:left w:val="nil"/>
          <w:bottom w:val="nil"/>
          <w:right w:val="nil"/>
          <w:between w:val="nil"/>
        </w:pBdr>
        <w:tabs>
          <w:tab w:val="left" w:pos="567"/>
        </w:tabs>
        <w:rPr>
          <w:rFonts w:ascii="Arial" w:eastAsia="Arial" w:hAnsi="Arial" w:cs="Arial"/>
          <w:bCs/>
          <w:color w:val="000000"/>
        </w:rPr>
      </w:pPr>
      <w:r w:rsidRPr="00A40BA5">
        <w:rPr>
          <w:rFonts w:ascii="Arial" w:eastAsia="Arial" w:hAnsi="Arial" w:cs="Arial"/>
          <w:bCs/>
          <w:color w:val="000000"/>
        </w:rPr>
        <w:t xml:space="preserve">From this assessment, a shortlist of three options emerges which is summarised in </w:t>
      </w:r>
      <w:r w:rsidRPr="00A40BA5">
        <w:rPr>
          <w:rFonts w:ascii="Arial" w:eastAsia="Arial" w:hAnsi="Arial" w:cs="Arial"/>
          <w:bCs/>
          <w:color w:val="000000"/>
        </w:rPr>
        <w:fldChar w:fldCharType="begin"/>
      </w:r>
      <w:r w:rsidRPr="00A40BA5">
        <w:rPr>
          <w:rFonts w:ascii="Arial" w:eastAsia="Arial" w:hAnsi="Arial" w:cs="Arial"/>
          <w:bCs/>
          <w:color w:val="000000"/>
        </w:rPr>
        <w:instrText xml:space="preserve"> REF _Ref30420931 \h </w:instrText>
      </w:r>
      <w:r>
        <w:rPr>
          <w:rFonts w:ascii="Arial" w:eastAsia="Arial" w:hAnsi="Arial" w:cs="Arial"/>
          <w:bCs/>
          <w:color w:val="000000"/>
        </w:rPr>
        <w:instrText xml:space="preserve"> \* MERGEFORMAT </w:instrText>
      </w:r>
      <w:r w:rsidRPr="00A40BA5">
        <w:rPr>
          <w:rFonts w:ascii="Arial" w:eastAsia="Arial" w:hAnsi="Arial" w:cs="Arial"/>
          <w:bCs/>
          <w:color w:val="000000"/>
        </w:rPr>
      </w:r>
      <w:r w:rsidRPr="00A40BA5">
        <w:rPr>
          <w:rFonts w:ascii="Arial" w:eastAsia="Arial" w:hAnsi="Arial" w:cs="Arial"/>
          <w:bCs/>
          <w:color w:val="000000"/>
        </w:rPr>
        <w:fldChar w:fldCharType="separate"/>
      </w:r>
      <w:r w:rsidR="00A936CD" w:rsidRPr="00A936CD">
        <w:rPr>
          <w:rFonts w:ascii="Arial" w:hAnsi="Arial" w:cs="Arial"/>
        </w:rPr>
        <w:t xml:space="preserve">Table </w:t>
      </w:r>
      <w:r w:rsidR="00A936CD" w:rsidRPr="00A936CD">
        <w:rPr>
          <w:rFonts w:ascii="Arial" w:hAnsi="Arial" w:cs="Arial"/>
          <w:noProof/>
        </w:rPr>
        <w:t>18</w:t>
      </w:r>
      <w:r w:rsidRPr="00A40BA5">
        <w:rPr>
          <w:rFonts w:ascii="Arial" w:eastAsia="Arial" w:hAnsi="Arial" w:cs="Arial"/>
          <w:bCs/>
          <w:color w:val="000000"/>
        </w:rPr>
        <w:fldChar w:fldCharType="end"/>
      </w:r>
      <w:r w:rsidRPr="00A40BA5">
        <w:rPr>
          <w:rFonts w:ascii="Arial" w:eastAsia="Arial" w:hAnsi="Arial" w:cs="Arial"/>
          <w:bCs/>
          <w:color w:val="000000"/>
        </w:rPr>
        <w:t>.</w:t>
      </w:r>
    </w:p>
    <w:p w14:paraId="39093985" w14:textId="5E5D1904" w:rsidR="00FF6E56" w:rsidRPr="00A40BA5" w:rsidRDefault="00702F20" w:rsidP="00702F20">
      <w:pPr>
        <w:rPr>
          <w:rFonts w:ascii="Arial" w:eastAsia="Arial" w:hAnsi="Arial" w:cs="Arial"/>
          <w:bCs/>
          <w:color w:val="000000"/>
        </w:rPr>
      </w:pPr>
      <w:r>
        <w:rPr>
          <w:rFonts w:ascii="Arial" w:eastAsia="Arial" w:hAnsi="Arial" w:cs="Arial"/>
          <w:bCs/>
          <w:color w:val="000000"/>
        </w:rPr>
        <w:br w:type="page"/>
      </w:r>
    </w:p>
    <w:p w14:paraId="31F0815A" w14:textId="77D9BA72" w:rsidR="00FF6E56" w:rsidRDefault="00FF6E56" w:rsidP="00FF6E56">
      <w:pPr>
        <w:pStyle w:val="Caption"/>
      </w:pPr>
      <w:bookmarkStart w:id="188" w:name="_Ref30420931"/>
      <w:r>
        <w:lastRenderedPageBreak/>
        <w:t xml:space="preserve">Table </w:t>
      </w:r>
      <w:r>
        <w:fldChar w:fldCharType="begin"/>
      </w:r>
      <w:r>
        <w:instrText xml:space="preserve"> SEQ Table \* ARABIC </w:instrText>
      </w:r>
      <w:r>
        <w:fldChar w:fldCharType="separate"/>
      </w:r>
      <w:r w:rsidR="00A936CD">
        <w:rPr>
          <w:noProof/>
        </w:rPr>
        <w:t>18</w:t>
      </w:r>
      <w:r>
        <w:fldChar w:fldCharType="end"/>
      </w:r>
      <w:bookmarkEnd w:id="188"/>
      <w:r>
        <w:t xml:space="preserve">: </w:t>
      </w:r>
      <w:r w:rsidRPr="00A40BA5">
        <w:rPr>
          <w:b w:val="0"/>
          <w:bCs w:val="0"/>
        </w:rPr>
        <w:t>Overview of shortlisted options from options framework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2432"/>
        <w:gridCol w:w="2442"/>
        <w:gridCol w:w="2429"/>
      </w:tblGrid>
      <w:tr w:rsidR="00FF6E56" w:rsidRPr="00A40BA5" w14:paraId="3783C22B" w14:textId="77777777" w:rsidTr="0070603A">
        <w:trPr>
          <w:cantSplit/>
          <w:tblHeader/>
        </w:trPr>
        <w:tc>
          <w:tcPr>
            <w:tcW w:w="1714" w:type="dxa"/>
            <w:shd w:val="clear" w:color="auto" w:fill="4F81BD"/>
          </w:tcPr>
          <w:p w14:paraId="729F31F5" w14:textId="77777777" w:rsidR="00FF6E56" w:rsidRPr="00A40BA5" w:rsidRDefault="00FF6E56" w:rsidP="0070603A">
            <w:pPr>
              <w:spacing w:after="0"/>
              <w:rPr>
                <w:rFonts w:ascii="Arial" w:hAnsi="Arial" w:cs="Arial"/>
                <w:b/>
                <w:color w:val="FFFFFF" w:themeColor="background1"/>
                <w:sz w:val="20"/>
                <w:szCs w:val="20"/>
              </w:rPr>
            </w:pPr>
            <w:r w:rsidRPr="00A40BA5">
              <w:rPr>
                <w:rFonts w:ascii="Arial" w:hAnsi="Arial" w:cs="Arial"/>
                <w:b/>
                <w:color w:val="FFFFFF" w:themeColor="background1"/>
                <w:sz w:val="20"/>
                <w:szCs w:val="20"/>
              </w:rPr>
              <w:t>Dimension</w:t>
            </w:r>
          </w:p>
        </w:tc>
        <w:tc>
          <w:tcPr>
            <w:tcW w:w="2507" w:type="dxa"/>
            <w:shd w:val="clear" w:color="auto" w:fill="4F81BD"/>
          </w:tcPr>
          <w:p w14:paraId="604C8328" w14:textId="77777777" w:rsidR="00FF6E56" w:rsidRDefault="00FF6E56" w:rsidP="0070603A">
            <w:pPr>
              <w:spacing w:after="0"/>
              <w:rPr>
                <w:rFonts w:ascii="Arial" w:hAnsi="Arial" w:cs="Arial"/>
                <w:b/>
                <w:color w:val="FFFFFF" w:themeColor="background1"/>
                <w:sz w:val="20"/>
                <w:szCs w:val="20"/>
              </w:rPr>
            </w:pPr>
            <w:r w:rsidRPr="00A40BA5">
              <w:rPr>
                <w:rFonts w:ascii="Arial" w:hAnsi="Arial" w:cs="Arial"/>
                <w:b/>
                <w:color w:val="FFFFFF" w:themeColor="background1"/>
                <w:sz w:val="20"/>
                <w:szCs w:val="20"/>
              </w:rPr>
              <w:t>Option 0: ‘business as usual’</w:t>
            </w:r>
          </w:p>
          <w:p w14:paraId="725078CF" w14:textId="77777777" w:rsidR="00FF6E56" w:rsidRPr="00B27835" w:rsidRDefault="00FF6E56" w:rsidP="0070603A">
            <w:pPr>
              <w:spacing w:after="0"/>
              <w:rPr>
                <w:rFonts w:ascii="Arial" w:hAnsi="Arial" w:cs="Arial"/>
                <w:b/>
                <w:i/>
                <w:iCs/>
                <w:color w:val="FFFFFF" w:themeColor="background1"/>
                <w:sz w:val="20"/>
                <w:szCs w:val="20"/>
              </w:rPr>
            </w:pPr>
            <w:r>
              <w:rPr>
                <w:rFonts w:ascii="Arial" w:hAnsi="Arial" w:cs="Arial"/>
                <w:b/>
                <w:i/>
                <w:iCs/>
                <w:color w:val="FFFFFF" w:themeColor="background1"/>
                <w:sz w:val="20"/>
                <w:szCs w:val="20"/>
              </w:rPr>
              <w:t>Baseline option</w:t>
            </w:r>
          </w:p>
        </w:tc>
        <w:tc>
          <w:tcPr>
            <w:tcW w:w="2516" w:type="dxa"/>
            <w:shd w:val="clear" w:color="auto" w:fill="4F81BD"/>
          </w:tcPr>
          <w:p w14:paraId="143790E4" w14:textId="77777777" w:rsidR="00FF6E56" w:rsidRDefault="00FF6E56" w:rsidP="0070603A">
            <w:pPr>
              <w:spacing w:after="0"/>
              <w:rPr>
                <w:rFonts w:ascii="Arial" w:hAnsi="Arial" w:cs="Arial"/>
                <w:b/>
                <w:color w:val="FFFFFF" w:themeColor="background1"/>
                <w:sz w:val="20"/>
                <w:szCs w:val="20"/>
              </w:rPr>
            </w:pPr>
            <w:r w:rsidRPr="00A40BA5">
              <w:rPr>
                <w:rFonts w:ascii="Arial" w:hAnsi="Arial" w:cs="Arial"/>
                <w:b/>
                <w:color w:val="FFFFFF" w:themeColor="background1"/>
                <w:sz w:val="20"/>
                <w:szCs w:val="20"/>
              </w:rPr>
              <w:t xml:space="preserve">Option 2: </w:t>
            </w:r>
            <w:r>
              <w:rPr>
                <w:rFonts w:ascii="Arial" w:hAnsi="Arial" w:cs="Arial"/>
                <w:b/>
                <w:color w:val="FFFFFF" w:themeColor="background1"/>
                <w:sz w:val="20"/>
                <w:szCs w:val="20"/>
              </w:rPr>
              <w:t>Stay at City Road and redevelop</w:t>
            </w:r>
          </w:p>
          <w:p w14:paraId="32BE3FB0" w14:textId="77777777" w:rsidR="00FF6E56" w:rsidRPr="00A40BA5" w:rsidRDefault="00FF6E56" w:rsidP="0070603A">
            <w:pPr>
              <w:spacing w:after="0"/>
              <w:rPr>
                <w:rFonts w:ascii="Arial" w:hAnsi="Arial" w:cs="Arial"/>
                <w:b/>
                <w:color w:val="FFFFFF" w:themeColor="background1"/>
                <w:sz w:val="20"/>
                <w:szCs w:val="20"/>
              </w:rPr>
            </w:pPr>
            <w:r w:rsidRPr="00B27835">
              <w:rPr>
                <w:rFonts w:ascii="Arial" w:hAnsi="Arial" w:cs="Arial"/>
                <w:b/>
                <w:i/>
                <w:iCs/>
                <w:color w:val="FFFFFF" w:themeColor="background1"/>
                <w:sz w:val="20"/>
                <w:szCs w:val="20"/>
              </w:rPr>
              <w:t>Intermediate option</w:t>
            </w:r>
          </w:p>
        </w:tc>
        <w:tc>
          <w:tcPr>
            <w:tcW w:w="2505" w:type="dxa"/>
            <w:shd w:val="clear" w:color="auto" w:fill="4F81BD"/>
          </w:tcPr>
          <w:p w14:paraId="479E1A01" w14:textId="77777777" w:rsidR="00FF6E56" w:rsidRDefault="00FF6E56" w:rsidP="0070603A">
            <w:pPr>
              <w:spacing w:after="0"/>
              <w:rPr>
                <w:rFonts w:ascii="Arial" w:hAnsi="Arial" w:cs="Arial"/>
                <w:b/>
                <w:color w:val="FFFFFF" w:themeColor="background1"/>
                <w:sz w:val="20"/>
                <w:szCs w:val="20"/>
              </w:rPr>
            </w:pPr>
            <w:r w:rsidRPr="00A40BA5">
              <w:rPr>
                <w:rFonts w:ascii="Arial" w:hAnsi="Arial" w:cs="Arial"/>
                <w:b/>
                <w:color w:val="FFFFFF" w:themeColor="background1"/>
                <w:sz w:val="20"/>
                <w:szCs w:val="20"/>
              </w:rPr>
              <w:t xml:space="preserve">Option 3: </w:t>
            </w:r>
            <w:r>
              <w:rPr>
                <w:rFonts w:ascii="Arial" w:hAnsi="Arial" w:cs="Arial"/>
                <w:b/>
                <w:color w:val="FFFFFF" w:themeColor="background1"/>
                <w:sz w:val="20"/>
                <w:szCs w:val="20"/>
              </w:rPr>
              <w:t>New build at St Pancras</w:t>
            </w:r>
          </w:p>
          <w:p w14:paraId="175874C1" w14:textId="77777777" w:rsidR="00FF6E56" w:rsidRPr="00B27835" w:rsidRDefault="00FF6E56" w:rsidP="0070603A">
            <w:pPr>
              <w:spacing w:after="0"/>
              <w:rPr>
                <w:rFonts w:ascii="Arial" w:hAnsi="Arial" w:cs="Arial"/>
                <w:b/>
                <w:i/>
                <w:iCs/>
                <w:color w:val="FFFFFF" w:themeColor="background1"/>
                <w:sz w:val="20"/>
                <w:szCs w:val="20"/>
              </w:rPr>
            </w:pPr>
            <w:r>
              <w:rPr>
                <w:rFonts w:ascii="Arial" w:hAnsi="Arial" w:cs="Arial"/>
                <w:b/>
                <w:i/>
                <w:iCs/>
                <w:color w:val="FFFFFF" w:themeColor="background1"/>
                <w:sz w:val="20"/>
                <w:szCs w:val="20"/>
              </w:rPr>
              <w:t>P</w:t>
            </w:r>
            <w:r w:rsidRPr="00B27835">
              <w:rPr>
                <w:rFonts w:ascii="Arial" w:hAnsi="Arial" w:cs="Arial"/>
                <w:b/>
                <w:i/>
                <w:iCs/>
                <w:color w:val="FFFFFF" w:themeColor="background1"/>
                <w:sz w:val="20"/>
                <w:szCs w:val="20"/>
              </w:rPr>
              <w:t>referred way forward</w:t>
            </w:r>
          </w:p>
        </w:tc>
      </w:tr>
      <w:tr w:rsidR="00FF6E56" w:rsidRPr="00960F58" w14:paraId="6E05F493" w14:textId="77777777" w:rsidTr="0070603A">
        <w:trPr>
          <w:cantSplit/>
        </w:trPr>
        <w:tc>
          <w:tcPr>
            <w:tcW w:w="1714" w:type="dxa"/>
          </w:tcPr>
          <w:p w14:paraId="54BCABFC" w14:textId="77777777" w:rsidR="00FF6E56" w:rsidRPr="00960F58" w:rsidRDefault="00FF6E56" w:rsidP="0070603A">
            <w:pPr>
              <w:spacing w:after="0"/>
              <w:rPr>
                <w:rFonts w:ascii="Arial" w:hAnsi="Arial" w:cs="Arial"/>
                <w:color w:val="3876BE"/>
                <w:sz w:val="20"/>
                <w:szCs w:val="20"/>
              </w:rPr>
            </w:pPr>
          </w:p>
        </w:tc>
        <w:tc>
          <w:tcPr>
            <w:tcW w:w="2507" w:type="dxa"/>
          </w:tcPr>
          <w:p w14:paraId="651EBD82" w14:textId="77777777" w:rsidR="00FF6E56" w:rsidRPr="00A40BA5" w:rsidRDefault="00FF6E56" w:rsidP="0070603A">
            <w:pPr>
              <w:spacing w:after="0"/>
              <w:rPr>
                <w:rFonts w:ascii="Arial" w:hAnsi="Arial" w:cs="Arial"/>
                <w:i/>
                <w:iCs/>
                <w:sz w:val="20"/>
                <w:szCs w:val="20"/>
              </w:rPr>
            </w:pPr>
            <w:r w:rsidRPr="00A40BA5">
              <w:rPr>
                <w:rFonts w:ascii="Arial" w:hAnsi="Arial" w:cs="Arial"/>
                <w:i/>
                <w:iCs/>
                <w:sz w:val="20"/>
                <w:szCs w:val="20"/>
              </w:rPr>
              <w:t>The baseline for measuring improvement and value for money</w:t>
            </w:r>
          </w:p>
        </w:tc>
        <w:tc>
          <w:tcPr>
            <w:tcW w:w="2516" w:type="dxa"/>
          </w:tcPr>
          <w:p w14:paraId="675911B2" w14:textId="77777777" w:rsidR="00FF6E56" w:rsidRPr="00A40BA5" w:rsidRDefault="00FF6E56" w:rsidP="0070603A">
            <w:pPr>
              <w:spacing w:after="0"/>
              <w:rPr>
                <w:rFonts w:ascii="Arial" w:hAnsi="Arial" w:cs="Arial"/>
                <w:i/>
                <w:iCs/>
                <w:sz w:val="20"/>
                <w:szCs w:val="20"/>
              </w:rPr>
            </w:pPr>
            <w:r w:rsidRPr="00A40BA5">
              <w:rPr>
                <w:rFonts w:ascii="Arial" w:hAnsi="Arial" w:cs="Arial"/>
                <w:i/>
                <w:iCs/>
                <w:sz w:val="20"/>
                <w:szCs w:val="20"/>
              </w:rPr>
              <w:t>A realistic and achievable option that meets some of the essential requirements</w:t>
            </w:r>
          </w:p>
        </w:tc>
        <w:tc>
          <w:tcPr>
            <w:tcW w:w="2505" w:type="dxa"/>
          </w:tcPr>
          <w:p w14:paraId="5F08C1F6" w14:textId="77777777" w:rsidR="00FF6E56" w:rsidRPr="00960F58" w:rsidRDefault="00FF6E56" w:rsidP="0070603A">
            <w:pPr>
              <w:spacing w:after="0"/>
              <w:rPr>
                <w:rFonts w:ascii="Arial" w:hAnsi="Arial" w:cs="Arial"/>
                <w:color w:val="3876BE"/>
                <w:sz w:val="20"/>
                <w:szCs w:val="20"/>
              </w:rPr>
            </w:pPr>
          </w:p>
        </w:tc>
      </w:tr>
      <w:tr w:rsidR="00FF6E56" w:rsidRPr="00960F58" w14:paraId="531127E5" w14:textId="77777777" w:rsidTr="0070603A">
        <w:trPr>
          <w:cantSplit/>
        </w:trPr>
        <w:tc>
          <w:tcPr>
            <w:tcW w:w="1714" w:type="dxa"/>
          </w:tcPr>
          <w:p w14:paraId="75848F0E" w14:textId="77777777" w:rsidR="00FF6E56" w:rsidRPr="00A40BA5" w:rsidRDefault="00FF6E56" w:rsidP="0070603A">
            <w:pPr>
              <w:spacing w:after="0"/>
              <w:rPr>
                <w:rFonts w:ascii="Arial" w:hAnsi="Arial" w:cs="Arial"/>
                <w:b/>
                <w:sz w:val="20"/>
                <w:szCs w:val="20"/>
              </w:rPr>
            </w:pPr>
            <w:r w:rsidRPr="00A40BA5">
              <w:rPr>
                <w:rFonts w:ascii="Arial" w:hAnsi="Arial" w:cs="Arial"/>
                <w:b/>
                <w:sz w:val="20"/>
                <w:szCs w:val="20"/>
              </w:rPr>
              <w:t>Scope</w:t>
            </w:r>
          </w:p>
        </w:tc>
        <w:tc>
          <w:tcPr>
            <w:tcW w:w="2507" w:type="dxa"/>
          </w:tcPr>
          <w:p w14:paraId="7970FC66" w14:textId="77777777" w:rsidR="00FF6E56" w:rsidRPr="00960F58" w:rsidRDefault="00FF6E56" w:rsidP="0070603A">
            <w:pPr>
              <w:spacing w:after="0"/>
              <w:rPr>
                <w:rFonts w:ascii="Arial" w:hAnsi="Arial" w:cs="Arial"/>
                <w:color w:val="293947"/>
                <w:sz w:val="20"/>
                <w:szCs w:val="20"/>
              </w:rPr>
            </w:pPr>
          </w:p>
        </w:tc>
        <w:tc>
          <w:tcPr>
            <w:tcW w:w="2516" w:type="dxa"/>
          </w:tcPr>
          <w:p w14:paraId="7E8FE00B" w14:textId="77777777" w:rsidR="00FF6E56" w:rsidRPr="00960F58" w:rsidRDefault="00FF6E56" w:rsidP="0070603A">
            <w:pPr>
              <w:spacing w:after="0"/>
              <w:rPr>
                <w:rFonts w:ascii="Arial" w:hAnsi="Arial" w:cs="Arial"/>
                <w:color w:val="293947"/>
                <w:sz w:val="20"/>
                <w:szCs w:val="20"/>
              </w:rPr>
            </w:pPr>
          </w:p>
        </w:tc>
        <w:tc>
          <w:tcPr>
            <w:tcW w:w="2505" w:type="dxa"/>
            <w:shd w:val="clear" w:color="auto" w:fill="63BE7B"/>
          </w:tcPr>
          <w:p w14:paraId="70930419" w14:textId="77777777" w:rsidR="00FF6E56" w:rsidRPr="00960F58" w:rsidRDefault="00FF6E56" w:rsidP="0070603A">
            <w:pPr>
              <w:spacing w:after="0"/>
              <w:rPr>
                <w:rFonts w:ascii="Arial" w:hAnsi="Arial" w:cs="Arial"/>
                <w:color w:val="293947"/>
                <w:sz w:val="20"/>
                <w:szCs w:val="20"/>
              </w:rPr>
            </w:pPr>
          </w:p>
        </w:tc>
      </w:tr>
      <w:tr w:rsidR="00FF6E56" w:rsidRPr="00960F58" w14:paraId="547C090C" w14:textId="77777777" w:rsidTr="0070603A">
        <w:trPr>
          <w:cantSplit/>
        </w:trPr>
        <w:tc>
          <w:tcPr>
            <w:tcW w:w="1714" w:type="dxa"/>
          </w:tcPr>
          <w:p w14:paraId="54345CEC" w14:textId="77777777" w:rsidR="00FF6E56" w:rsidRPr="00A40BA5" w:rsidRDefault="00FF6E56" w:rsidP="0070603A">
            <w:pPr>
              <w:spacing w:after="0"/>
              <w:ind w:left="142"/>
              <w:contextualSpacing/>
              <w:rPr>
                <w:rFonts w:ascii="Arial" w:hAnsi="Arial" w:cs="Arial"/>
                <w:sz w:val="20"/>
                <w:szCs w:val="20"/>
              </w:rPr>
            </w:pPr>
            <w:r w:rsidRPr="00A40BA5">
              <w:rPr>
                <w:rFonts w:ascii="Arial" w:hAnsi="Arial" w:cs="Arial"/>
                <w:sz w:val="20"/>
                <w:szCs w:val="20"/>
              </w:rPr>
              <w:t>Clinical</w:t>
            </w:r>
          </w:p>
        </w:tc>
        <w:tc>
          <w:tcPr>
            <w:tcW w:w="2507" w:type="dxa"/>
          </w:tcPr>
          <w:p w14:paraId="77DDB6AD" w14:textId="77777777" w:rsidR="00FF6E56" w:rsidRPr="00960F58" w:rsidRDefault="00FF6E56" w:rsidP="0070603A">
            <w:pPr>
              <w:spacing w:after="0"/>
              <w:rPr>
                <w:rFonts w:ascii="Arial" w:hAnsi="Arial" w:cs="Arial"/>
                <w:color w:val="293947"/>
                <w:sz w:val="20"/>
                <w:szCs w:val="20"/>
              </w:rPr>
            </w:pPr>
            <w:r w:rsidRPr="00960F58">
              <w:rPr>
                <w:rFonts w:ascii="Arial" w:hAnsi="Arial" w:cs="Arial"/>
                <w:color w:val="293947"/>
                <w:sz w:val="20"/>
                <w:szCs w:val="20"/>
              </w:rPr>
              <w:t>‘Business as usual’</w:t>
            </w:r>
          </w:p>
        </w:tc>
        <w:tc>
          <w:tcPr>
            <w:tcW w:w="2516" w:type="dxa"/>
          </w:tcPr>
          <w:p w14:paraId="0FB60F19" w14:textId="77777777" w:rsidR="00FF6E56" w:rsidRPr="00960F58" w:rsidRDefault="00FF6E56" w:rsidP="0070603A">
            <w:pPr>
              <w:spacing w:after="0"/>
              <w:rPr>
                <w:rFonts w:ascii="Arial" w:hAnsi="Arial" w:cs="Arial"/>
                <w:color w:val="293947"/>
                <w:sz w:val="20"/>
                <w:szCs w:val="20"/>
              </w:rPr>
            </w:pPr>
            <w:r w:rsidRPr="00960F58">
              <w:rPr>
                <w:rFonts w:ascii="Arial" w:hAnsi="Arial" w:cs="Arial"/>
                <w:color w:val="293947"/>
                <w:sz w:val="20"/>
                <w:szCs w:val="20"/>
              </w:rPr>
              <w:t>‘Business as usual’ and future system care model need to be further considered at OBC</w:t>
            </w:r>
          </w:p>
        </w:tc>
        <w:tc>
          <w:tcPr>
            <w:tcW w:w="2505" w:type="dxa"/>
            <w:shd w:val="clear" w:color="auto" w:fill="63BE7B"/>
          </w:tcPr>
          <w:p w14:paraId="566DFC7C" w14:textId="77777777" w:rsidR="00FF6E56" w:rsidRPr="00960F58" w:rsidRDefault="00FF6E56" w:rsidP="0070603A">
            <w:pPr>
              <w:spacing w:after="0"/>
              <w:rPr>
                <w:rFonts w:ascii="Arial" w:hAnsi="Arial" w:cs="Arial"/>
                <w:sz w:val="20"/>
                <w:szCs w:val="20"/>
              </w:rPr>
            </w:pPr>
            <w:r w:rsidRPr="00960F58">
              <w:rPr>
                <w:rFonts w:ascii="Arial" w:hAnsi="Arial" w:cs="Arial"/>
                <w:sz w:val="20"/>
                <w:szCs w:val="20"/>
              </w:rPr>
              <w:t>‘Business as usual’ and future system care model need to be further considered at OBC</w:t>
            </w:r>
          </w:p>
        </w:tc>
      </w:tr>
      <w:tr w:rsidR="00FF6E56" w:rsidRPr="00960F58" w14:paraId="3D2B527A" w14:textId="77777777" w:rsidTr="0070603A">
        <w:trPr>
          <w:cantSplit/>
        </w:trPr>
        <w:tc>
          <w:tcPr>
            <w:tcW w:w="1714" w:type="dxa"/>
          </w:tcPr>
          <w:p w14:paraId="3573EFB2" w14:textId="77777777" w:rsidR="00FF6E56" w:rsidRPr="00A40BA5" w:rsidRDefault="00FF6E56" w:rsidP="0070603A">
            <w:pPr>
              <w:spacing w:after="0"/>
              <w:ind w:left="142"/>
              <w:contextualSpacing/>
              <w:rPr>
                <w:rFonts w:ascii="Arial" w:hAnsi="Arial" w:cs="Arial"/>
                <w:sz w:val="20"/>
                <w:szCs w:val="20"/>
              </w:rPr>
            </w:pPr>
            <w:r w:rsidRPr="00A40BA5">
              <w:rPr>
                <w:rFonts w:ascii="Arial" w:hAnsi="Arial" w:cs="Arial"/>
                <w:sz w:val="20"/>
                <w:szCs w:val="20"/>
              </w:rPr>
              <w:t>Research and development</w:t>
            </w:r>
          </w:p>
        </w:tc>
        <w:tc>
          <w:tcPr>
            <w:tcW w:w="2507" w:type="dxa"/>
          </w:tcPr>
          <w:p w14:paraId="3BBF4D71" w14:textId="77777777" w:rsidR="00FF6E56" w:rsidRPr="00960F58" w:rsidRDefault="00FF6E56" w:rsidP="0070603A">
            <w:pPr>
              <w:spacing w:after="0"/>
              <w:rPr>
                <w:rFonts w:ascii="Arial" w:hAnsi="Arial" w:cs="Arial"/>
                <w:color w:val="293947"/>
                <w:sz w:val="20"/>
                <w:szCs w:val="20"/>
              </w:rPr>
            </w:pPr>
            <w:r w:rsidRPr="00960F58">
              <w:rPr>
                <w:rFonts w:ascii="Arial" w:hAnsi="Arial" w:cs="Arial"/>
                <w:color w:val="293947"/>
                <w:sz w:val="20"/>
                <w:szCs w:val="20"/>
              </w:rPr>
              <w:t>‘Business as usual’</w:t>
            </w:r>
          </w:p>
        </w:tc>
        <w:tc>
          <w:tcPr>
            <w:tcW w:w="2516" w:type="dxa"/>
          </w:tcPr>
          <w:p w14:paraId="350AB05C" w14:textId="77777777" w:rsidR="00FF6E56" w:rsidRPr="00960F58" w:rsidRDefault="00FF6E56" w:rsidP="0070603A">
            <w:pPr>
              <w:spacing w:after="0"/>
              <w:rPr>
                <w:rFonts w:ascii="Arial" w:hAnsi="Arial" w:cs="Arial"/>
                <w:color w:val="293947"/>
                <w:sz w:val="20"/>
                <w:szCs w:val="20"/>
              </w:rPr>
            </w:pPr>
            <w:r w:rsidRPr="00960F58">
              <w:rPr>
                <w:rFonts w:ascii="Arial" w:hAnsi="Arial" w:cs="Arial"/>
                <w:color w:val="293947"/>
                <w:sz w:val="20"/>
                <w:szCs w:val="20"/>
              </w:rPr>
              <w:t>Future research and development model</w:t>
            </w:r>
          </w:p>
        </w:tc>
        <w:tc>
          <w:tcPr>
            <w:tcW w:w="2505" w:type="dxa"/>
            <w:shd w:val="clear" w:color="auto" w:fill="63BE7B"/>
          </w:tcPr>
          <w:p w14:paraId="761C77C2" w14:textId="77777777" w:rsidR="00FF6E56" w:rsidRPr="00960F58" w:rsidRDefault="00FF6E56" w:rsidP="0070603A">
            <w:pPr>
              <w:spacing w:after="0"/>
              <w:rPr>
                <w:rFonts w:ascii="Arial" w:hAnsi="Arial" w:cs="Arial"/>
                <w:color w:val="293947"/>
                <w:sz w:val="20"/>
                <w:szCs w:val="20"/>
              </w:rPr>
            </w:pPr>
            <w:r w:rsidRPr="00960F58">
              <w:rPr>
                <w:rFonts w:ascii="Arial" w:hAnsi="Arial" w:cs="Arial"/>
                <w:color w:val="293947"/>
                <w:sz w:val="20"/>
                <w:szCs w:val="20"/>
              </w:rPr>
              <w:t>Future research and development model</w:t>
            </w:r>
          </w:p>
        </w:tc>
      </w:tr>
      <w:tr w:rsidR="00FF6E56" w:rsidRPr="00960F58" w14:paraId="65F43878" w14:textId="77777777" w:rsidTr="0070603A">
        <w:trPr>
          <w:cantSplit/>
        </w:trPr>
        <w:tc>
          <w:tcPr>
            <w:tcW w:w="1714" w:type="dxa"/>
          </w:tcPr>
          <w:p w14:paraId="4207D5AE" w14:textId="77777777" w:rsidR="00FF6E56" w:rsidRPr="00A40BA5" w:rsidRDefault="00FF6E56" w:rsidP="0070603A">
            <w:pPr>
              <w:spacing w:after="0"/>
              <w:ind w:left="284" w:hanging="284"/>
              <w:contextualSpacing/>
              <w:rPr>
                <w:rFonts w:ascii="Arial" w:hAnsi="Arial" w:cs="Arial"/>
                <w:sz w:val="20"/>
                <w:szCs w:val="20"/>
              </w:rPr>
            </w:pPr>
            <w:r w:rsidRPr="00A40BA5">
              <w:rPr>
                <w:rFonts w:ascii="Arial" w:hAnsi="Arial" w:cs="Arial"/>
                <w:sz w:val="20"/>
                <w:szCs w:val="20"/>
              </w:rPr>
              <w:t>Education</w:t>
            </w:r>
          </w:p>
        </w:tc>
        <w:tc>
          <w:tcPr>
            <w:tcW w:w="2507" w:type="dxa"/>
          </w:tcPr>
          <w:p w14:paraId="419D595D" w14:textId="77777777" w:rsidR="00FF6E56" w:rsidRPr="00960F58" w:rsidRDefault="00FF6E56" w:rsidP="0070603A">
            <w:pPr>
              <w:spacing w:after="0"/>
              <w:rPr>
                <w:rFonts w:ascii="Arial" w:hAnsi="Arial" w:cs="Arial"/>
                <w:color w:val="293947"/>
                <w:sz w:val="20"/>
                <w:szCs w:val="20"/>
              </w:rPr>
            </w:pPr>
            <w:r w:rsidRPr="00960F58">
              <w:rPr>
                <w:rFonts w:ascii="Arial" w:hAnsi="Arial" w:cs="Arial"/>
                <w:color w:val="293947"/>
                <w:sz w:val="20"/>
                <w:szCs w:val="20"/>
              </w:rPr>
              <w:t>‘Business as usual’</w:t>
            </w:r>
          </w:p>
        </w:tc>
        <w:tc>
          <w:tcPr>
            <w:tcW w:w="2516" w:type="dxa"/>
          </w:tcPr>
          <w:p w14:paraId="4C7A26DE" w14:textId="77777777" w:rsidR="00FF6E56" w:rsidRPr="00960F58" w:rsidRDefault="00FF6E56" w:rsidP="0070603A">
            <w:pPr>
              <w:spacing w:after="0"/>
              <w:rPr>
                <w:rFonts w:ascii="Arial" w:hAnsi="Arial" w:cs="Arial"/>
                <w:color w:val="293947"/>
                <w:sz w:val="20"/>
                <w:szCs w:val="20"/>
              </w:rPr>
            </w:pPr>
            <w:r w:rsidRPr="00960F58">
              <w:rPr>
                <w:rFonts w:ascii="Arial" w:hAnsi="Arial" w:cs="Arial"/>
                <w:color w:val="293947"/>
                <w:sz w:val="20"/>
                <w:szCs w:val="20"/>
              </w:rPr>
              <w:t>Future education model</w:t>
            </w:r>
          </w:p>
        </w:tc>
        <w:tc>
          <w:tcPr>
            <w:tcW w:w="2505" w:type="dxa"/>
            <w:shd w:val="clear" w:color="auto" w:fill="63BE7B"/>
          </w:tcPr>
          <w:p w14:paraId="0531E393" w14:textId="77777777" w:rsidR="00FF6E56" w:rsidRPr="00960F58" w:rsidRDefault="00FF6E56" w:rsidP="0070603A">
            <w:pPr>
              <w:spacing w:after="0"/>
              <w:rPr>
                <w:rFonts w:ascii="Arial" w:hAnsi="Arial" w:cs="Arial"/>
                <w:color w:val="293947"/>
                <w:sz w:val="20"/>
                <w:szCs w:val="20"/>
              </w:rPr>
            </w:pPr>
            <w:r w:rsidRPr="00960F58">
              <w:rPr>
                <w:rFonts w:ascii="Arial" w:hAnsi="Arial" w:cs="Arial"/>
                <w:color w:val="293947"/>
                <w:sz w:val="20"/>
                <w:szCs w:val="20"/>
              </w:rPr>
              <w:t>Future education model</w:t>
            </w:r>
          </w:p>
        </w:tc>
      </w:tr>
      <w:tr w:rsidR="00FF6E56" w:rsidRPr="00960F58" w14:paraId="00245E14" w14:textId="77777777" w:rsidTr="0070603A">
        <w:trPr>
          <w:cantSplit/>
        </w:trPr>
        <w:tc>
          <w:tcPr>
            <w:tcW w:w="1714" w:type="dxa"/>
          </w:tcPr>
          <w:p w14:paraId="65274B07" w14:textId="77777777" w:rsidR="00FF6E56" w:rsidRPr="00A40BA5" w:rsidRDefault="00FF6E56" w:rsidP="0070603A">
            <w:pPr>
              <w:spacing w:after="0"/>
              <w:rPr>
                <w:rFonts w:ascii="Arial" w:hAnsi="Arial" w:cs="Arial"/>
                <w:b/>
                <w:sz w:val="20"/>
                <w:szCs w:val="20"/>
              </w:rPr>
            </w:pPr>
            <w:r w:rsidRPr="00A40BA5">
              <w:rPr>
                <w:rFonts w:ascii="Arial" w:hAnsi="Arial" w:cs="Arial"/>
                <w:b/>
                <w:sz w:val="20"/>
                <w:szCs w:val="20"/>
              </w:rPr>
              <w:t>Service solution</w:t>
            </w:r>
          </w:p>
        </w:tc>
        <w:tc>
          <w:tcPr>
            <w:tcW w:w="2507" w:type="dxa"/>
          </w:tcPr>
          <w:p w14:paraId="2F7639EA" w14:textId="77777777" w:rsidR="00FF6E56" w:rsidRPr="00960F58" w:rsidRDefault="00FF6E56" w:rsidP="0070603A">
            <w:pPr>
              <w:spacing w:after="0"/>
              <w:rPr>
                <w:rFonts w:ascii="Arial" w:hAnsi="Arial" w:cs="Arial"/>
                <w:color w:val="293947"/>
                <w:sz w:val="20"/>
                <w:szCs w:val="20"/>
              </w:rPr>
            </w:pPr>
            <w:r w:rsidRPr="00960F58">
              <w:rPr>
                <w:rFonts w:ascii="Arial" w:hAnsi="Arial" w:cs="Arial"/>
                <w:color w:val="293947"/>
                <w:sz w:val="20"/>
                <w:szCs w:val="20"/>
              </w:rPr>
              <w:t>‘Business as usual’: all occupants remain in existing estate and works undertaken to enable premises usage for 50 years</w:t>
            </w:r>
          </w:p>
        </w:tc>
        <w:tc>
          <w:tcPr>
            <w:tcW w:w="2516" w:type="dxa"/>
          </w:tcPr>
          <w:p w14:paraId="65988ED6" w14:textId="77777777" w:rsidR="00FF6E56" w:rsidRPr="00960F58" w:rsidRDefault="00FF6E56" w:rsidP="0070603A">
            <w:pPr>
              <w:spacing w:after="0"/>
              <w:rPr>
                <w:rFonts w:ascii="Arial" w:hAnsi="Arial" w:cs="Arial"/>
                <w:color w:val="293947"/>
                <w:sz w:val="20"/>
                <w:szCs w:val="20"/>
              </w:rPr>
            </w:pPr>
            <w:r w:rsidRPr="00960F58">
              <w:rPr>
                <w:rFonts w:ascii="Arial" w:hAnsi="Arial" w:cs="Arial"/>
                <w:color w:val="293947"/>
                <w:sz w:val="20"/>
                <w:szCs w:val="20"/>
              </w:rPr>
              <w:t>Development of the easternmost end of the current hospital site bordering City Road</w:t>
            </w:r>
          </w:p>
        </w:tc>
        <w:tc>
          <w:tcPr>
            <w:tcW w:w="2505" w:type="dxa"/>
            <w:shd w:val="clear" w:color="auto" w:fill="63BE7B"/>
          </w:tcPr>
          <w:p w14:paraId="28AC96DD" w14:textId="77777777" w:rsidR="00FF6E56" w:rsidRPr="00960F58" w:rsidRDefault="00FF6E56" w:rsidP="0070603A">
            <w:pPr>
              <w:spacing w:after="0"/>
              <w:rPr>
                <w:rFonts w:ascii="Arial" w:hAnsi="Arial" w:cs="Arial"/>
                <w:color w:val="293947"/>
                <w:sz w:val="20"/>
                <w:szCs w:val="20"/>
              </w:rPr>
            </w:pPr>
            <w:r w:rsidRPr="00960F58">
              <w:rPr>
                <w:rFonts w:ascii="Arial" w:hAnsi="Arial" w:cs="Arial"/>
                <w:color w:val="293947"/>
                <w:sz w:val="20"/>
                <w:szCs w:val="20"/>
              </w:rPr>
              <w:t>Relocation to St Pancras Hospital</w:t>
            </w:r>
          </w:p>
        </w:tc>
      </w:tr>
      <w:tr w:rsidR="00FF6E56" w:rsidRPr="00960F58" w14:paraId="00A1742B" w14:textId="77777777" w:rsidTr="0070603A">
        <w:trPr>
          <w:cantSplit/>
        </w:trPr>
        <w:tc>
          <w:tcPr>
            <w:tcW w:w="1714" w:type="dxa"/>
          </w:tcPr>
          <w:p w14:paraId="0E39C4D0" w14:textId="77777777" w:rsidR="00FF6E56" w:rsidRPr="00A40BA5" w:rsidRDefault="00FF6E56" w:rsidP="0070603A">
            <w:pPr>
              <w:spacing w:after="0"/>
              <w:rPr>
                <w:rFonts w:ascii="Arial" w:hAnsi="Arial" w:cs="Arial"/>
                <w:b/>
                <w:sz w:val="20"/>
                <w:szCs w:val="20"/>
              </w:rPr>
            </w:pPr>
            <w:r w:rsidRPr="00A40BA5">
              <w:rPr>
                <w:rFonts w:ascii="Arial" w:hAnsi="Arial" w:cs="Arial"/>
                <w:b/>
                <w:sz w:val="20"/>
                <w:szCs w:val="20"/>
              </w:rPr>
              <w:t>Service delivery</w:t>
            </w:r>
          </w:p>
        </w:tc>
        <w:tc>
          <w:tcPr>
            <w:tcW w:w="2507" w:type="dxa"/>
          </w:tcPr>
          <w:p w14:paraId="59402519" w14:textId="77777777" w:rsidR="00FF6E56" w:rsidRPr="00960F58" w:rsidRDefault="00FF6E56" w:rsidP="0070603A">
            <w:pPr>
              <w:spacing w:after="0"/>
              <w:rPr>
                <w:rFonts w:ascii="Arial" w:hAnsi="Arial" w:cs="Arial"/>
                <w:color w:val="293947"/>
                <w:sz w:val="20"/>
                <w:szCs w:val="20"/>
              </w:rPr>
            </w:pPr>
            <w:r w:rsidRPr="00960F58">
              <w:rPr>
                <w:rFonts w:ascii="Arial" w:hAnsi="Arial" w:cs="Arial"/>
                <w:color w:val="293947"/>
                <w:sz w:val="20"/>
                <w:szCs w:val="20"/>
              </w:rPr>
              <w:t>n/a</w:t>
            </w:r>
          </w:p>
        </w:tc>
        <w:tc>
          <w:tcPr>
            <w:tcW w:w="2516" w:type="dxa"/>
          </w:tcPr>
          <w:p w14:paraId="0CDC0782" w14:textId="77777777" w:rsidR="00FF6E56" w:rsidRPr="00960F58" w:rsidRDefault="00FF6E56" w:rsidP="0070603A">
            <w:pPr>
              <w:spacing w:after="0"/>
              <w:rPr>
                <w:rFonts w:ascii="Arial" w:hAnsi="Arial" w:cs="Arial"/>
                <w:color w:val="293947"/>
                <w:sz w:val="20"/>
                <w:szCs w:val="20"/>
              </w:rPr>
            </w:pPr>
            <w:r w:rsidRPr="00960F58">
              <w:rPr>
                <w:rFonts w:ascii="Arial" w:hAnsi="Arial" w:cs="Arial"/>
                <w:color w:val="293947"/>
                <w:sz w:val="20"/>
                <w:szCs w:val="20"/>
              </w:rPr>
              <w:t>Design and build</w:t>
            </w:r>
          </w:p>
        </w:tc>
        <w:tc>
          <w:tcPr>
            <w:tcW w:w="2505" w:type="dxa"/>
            <w:shd w:val="clear" w:color="auto" w:fill="63BE7B"/>
          </w:tcPr>
          <w:p w14:paraId="7018C098" w14:textId="77777777" w:rsidR="00FF6E56" w:rsidRPr="00960F58" w:rsidRDefault="00FF6E56" w:rsidP="0070603A">
            <w:pPr>
              <w:spacing w:after="0"/>
              <w:rPr>
                <w:rFonts w:ascii="Arial" w:hAnsi="Arial" w:cs="Arial"/>
                <w:color w:val="293947"/>
                <w:sz w:val="20"/>
                <w:szCs w:val="20"/>
              </w:rPr>
            </w:pPr>
            <w:r w:rsidRPr="00960F58">
              <w:rPr>
                <w:rFonts w:ascii="Arial" w:hAnsi="Arial" w:cs="Arial"/>
                <w:color w:val="293947"/>
                <w:sz w:val="20"/>
                <w:szCs w:val="20"/>
              </w:rPr>
              <w:t>Design, build and operate (DBOF and ProCure 22 to be further considered at OBC)</w:t>
            </w:r>
          </w:p>
        </w:tc>
      </w:tr>
      <w:tr w:rsidR="00FF6E56" w:rsidRPr="00960F58" w14:paraId="506F710B" w14:textId="77777777" w:rsidTr="0070603A">
        <w:trPr>
          <w:cantSplit/>
        </w:trPr>
        <w:tc>
          <w:tcPr>
            <w:tcW w:w="1714" w:type="dxa"/>
          </w:tcPr>
          <w:p w14:paraId="4CF24D4B" w14:textId="77777777" w:rsidR="00FF6E56" w:rsidRPr="00A40BA5" w:rsidRDefault="00FF6E56" w:rsidP="0070603A">
            <w:pPr>
              <w:spacing w:after="0"/>
              <w:rPr>
                <w:rFonts w:ascii="Arial" w:hAnsi="Arial" w:cs="Arial"/>
                <w:b/>
                <w:sz w:val="20"/>
                <w:szCs w:val="20"/>
              </w:rPr>
            </w:pPr>
            <w:r w:rsidRPr="00A40BA5">
              <w:rPr>
                <w:rFonts w:ascii="Arial" w:hAnsi="Arial" w:cs="Arial"/>
                <w:b/>
                <w:sz w:val="20"/>
                <w:szCs w:val="20"/>
              </w:rPr>
              <w:t>Implementation</w:t>
            </w:r>
          </w:p>
        </w:tc>
        <w:tc>
          <w:tcPr>
            <w:tcW w:w="2507" w:type="dxa"/>
          </w:tcPr>
          <w:p w14:paraId="068C0E84" w14:textId="77777777" w:rsidR="00FF6E56" w:rsidRPr="00960F58" w:rsidRDefault="00FF6E56" w:rsidP="0070603A">
            <w:pPr>
              <w:spacing w:after="0"/>
              <w:rPr>
                <w:rFonts w:ascii="Arial" w:hAnsi="Arial" w:cs="Arial"/>
                <w:color w:val="293947"/>
                <w:sz w:val="20"/>
                <w:szCs w:val="20"/>
              </w:rPr>
            </w:pPr>
          </w:p>
        </w:tc>
        <w:tc>
          <w:tcPr>
            <w:tcW w:w="2516" w:type="dxa"/>
          </w:tcPr>
          <w:p w14:paraId="46159BD8" w14:textId="77777777" w:rsidR="00FF6E56" w:rsidRPr="00960F58" w:rsidRDefault="00FF6E56" w:rsidP="0070603A">
            <w:pPr>
              <w:spacing w:after="0"/>
              <w:rPr>
                <w:rFonts w:ascii="Arial" w:hAnsi="Arial" w:cs="Arial"/>
                <w:color w:val="293947"/>
                <w:sz w:val="20"/>
                <w:szCs w:val="20"/>
              </w:rPr>
            </w:pPr>
          </w:p>
        </w:tc>
        <w:tc>
          <w:tcPr>
            <w:tcW w:w="2505" w:type="dxa"/>
            <w:shd w:val="clear" w:color="auto" w:fill="63BE7B"/>
          </w:tcPr>
          <w:p w14:paraId="460888A8" w14:textId="77777777" w:rsidR="00FF6E56" w:rsidRPr="00960F58" w:rsidRDefault="00FF6E56" w:rsidP="0070603A">
            <w:pPr>
              <w:spacing w:after="0"/>
              <w:rPr>
                <w:rFonts w:ascii="Arial" w:hAnsi="Arial" w:cs="Arial"/>
                <w:color w:val="293947"/>
                <w:sz w:val="20"/>
                <w:szCs w:val="20"/>
              </w:rPr>
            </w:pPr>
          </w:p>
        </w:tc>
      </w:tr>
      <w:tr w:rsidR="00FF6E56" w:rsidRPr="00960F58" w14:paraId="5818F1BD" w14:textId="77777777" w:rsidTr="0070603A">
        <w:trPr>
          <w:cantSplit/>
        </w:trPr>
        <w:tc>
          <w:tcPr>
            <w:tcW w:w="1714" w:type="dxa"/>
          </w:tcPr>
          <w:p w14:paraId="5E508EEE" w14:textId="77777777" w:rsidR="00FF6E56" w:rsidRPr="00A40BA5" w:rsidRDefault="00FF6E56" w:rsidP="0070603A">
            <w:pPr>
              <w:spacing w:after="0"/>
              <w:ind w:left="142" w:hanging="22"/>
              <w:rPr>
                <w:rFonts w:ascii="Arial" w:hAnsi="Arial" w:cs="Arial"/>
                <w:sz w:val="20"/>
                <w:szCs w:val="20"/>
              </w:rPr>
            </w:pPr>
            <w:r w:rsidRPr="00A40BA5">
              <w:rPr>
                <w:rFonts w:ascii="Arial" w:hAnsi="Arial" w:cs="Arial"/>
                <w:sz w:val="20"/>
                <w:szCs w:val="20"/>
              </w:rPr>
              <w:t>Refurbishment/ build phasing</w:t>
            </w:r>
          </w:p>
        </w:tc>
        <w:tc>
          <w:tcPr>
            <w:tcW w:w="2507" w:type="dxa"/>
          </w:tcPr>
          <w:p w14:paraId="53883BCB" w14:textId="77777777" w:rsidR="00FF6E56" w:rsidRPr="00960F58" w:rsidRDefault="00FF6E56" w:rsidP="0070603A">
            <w:pPr>
              <w:spacing w:after="0"/>
              <w:rPr>
                <w:rFonts w:ascii="Arial" w:hAnsi="Arial" w:cs="Arial"/>
                <w:color w:val="293947"/>
                <w:sz w:val="20"/>
                <w:szCs w:val="20"/>
              </w:rPr>
            </w:pPr>
            <w:r w:rsidRPr="00960F58">
              <w:rPr>
                <w:rFonts w:ascii="Arial" w:hAnsi="Arial" w:cs="Arial"/>
                <w:color w:val="293947"/>
                <w:sz w:val="20"/>
                <w:szCs w:val="20"/>
              </w:rPr>
              <w:t>‘Business as usual’ – backlog maintenance</w:t>
            </w:r>
          </w:p>
        </w:tc>
        <w:tc>
          <w:tcPr>
            <w:tcW w:w="2516" w:type="dxa"/>
          </w:tcPr>
          <w:p w14:paraId="2C6AB3D6" w14:textId="77777777" w:rsidR="00FF6E56" w:rsidRPr="00960F58" w:rsidRDefault="00FF6E56" w:rsidP="0070603A">
            <w:pPr>
              <w:spacing w:after="0"/>
              <w:rPr>
                <w:rFonts w:ascii="Arial" w:hAnsi="Arial" w:cs="Arial"/>
                <w:color w:val="293947"/>
                <w:sz w:val="20"/>
                <w:szCs w:val="20"/>
              </w:rPr>
            </w:pPr>
            <w:r w:rsidRPr="00960F58">
              <w:rPr>
                <w:rFonts w:ascii="Arial" w:hAnsi="Arial" w:cs="Arial"/>
                <w:color w:val="293947"/>
                <w:sz w:val="20"/>
                <w:szCs w:val="20"/>
              </w:rPr>
              <w:t>Phased build</w:t>
            </w:r>
          </w:p>
        </w:tc>
        <w:tc>
          <w:tcPr>
            <w:tcW w:w="2505" w:type="dxa"/>
            <w:shd w:val="clear" w:color="auto" w:fill="63BE7B"/>
          </w:tcPr>
          <w:p w14:paraId="1481F176" w14:textId="77777777" w:rsidR="00FF6E56" w:rsidRPr="00960F58" w:rsidRDefault="00FF6E56" w:rsidP="0070603A">
            <w:pPr>
              <w:spacing w:after="0"/>
              <w:rPr>
                <w:rFonts w:ascii="Arial" w:hAnsi="Arial" w:cs="Arial"/>
                <w:color w:val="293947"/>
                <w:sz w:val="20"/>
                <w:szCs w:val="20"/>
              </w:rPr>
            </w:pPr>
            <w:r w:rsidRPr="00960F58">
              <w:rPr>
                <w:rFonts w:ascii="Arial" w:hAnsi="Arial" w:cs="Arial"/>
                <w:color w:val="293947"/>
                <w:sz w:val="20"/>
                <w:szCs w:val="20"/>
              </w:rPr>
              <w:t>All at once</w:t>
            </w:r>
          </w:p>
        </w:tc>
      </w:tr>
      <w:tr w:rsidR="00FF6E56" w:rsidRPr="00960F58" w14:paraId="4ECE867B" w14:textId="77777777" w:rsidTr="0070603A">
        <w:trPr>
          <w:cantSplit/>
        </w:trPr>
        <w:tc>
          <w:tcPr>
            <w:tcW w:w="1714" w:type="dxa"/>
          </w:tcPr>
          <w:p w14:paraId="4FFED080" w14:textId="77777777" w:rsidR="00FF6E56" w:rsidRPr="00A40BA5" w:rsidRDefault="00FF6E56" w:rsidP="0070603A">
            <w:pPr>
              <w:spacing w:after="0"/>
              <w:ind w:left="142"/>
              <w:rPr>
                <w:rFonts w:ascii="Arial" w:hAnsi="Arial" w:cs="Arial"/>
                <w:sz w:val="20"/>
                <w:szCs w:val="20"/>
              </w:rPr>
            </w:pPr>
            <w:r w:rsidRPr="00A40BA5">
              <w:rPr>
                <w:rFonts w:ascii="Arial" w:hAnsi="Arial" w:cs="Arial"/>
                <w:sz w:val="20"/>
                <w:szCs w:val="20"/>
              </w:rPr>
              <w:t>Transition</w:t>
            </w:r>
          </w:p>
        </w:tc>
        <w:tc>
          <w:tcPr>
            <w:tcW w:w="2507" w:type="dxa"/>
          </w:tcPr>
          <w:p w14:paraId="7D91AD77" w14:textId="77777777" w:rsidR="00FF6E56" w:rsidRPr="00960F58" w:rsidRDefault="00FF6E56" w:rsidP="0070603A">
            <w:pPr>
              <w:spacing w:after="0"/>
              <w:rPr>
                <w:rFonts w:ascii="Arial" w:hAnsi="Arial" w:cs="Arial"/>
                <w:color w:val="293947"/>
                <w:sz w:val="20"/>
                <w:szCs w:val="20"/>
              </w:rPr>
            </w:pPr>
            <w:r w:rsidRPr="00960F58">
              <w:rPr>
                <w:rFonts w:ascii="Arial" w:hAnsi="Arial" w:cs="Arial"/>
                <w:color w:val="293947"/>
                <w:sz w:val="20"/>
                <w:szCs w:val="20"/>
              </w:rPr>
              <w:t>n/a</w:t>
            </w:r>
          </w:p>
        </w:tc>
        <w:tc>
          <w:tcPr>
            <w:tcW w:w="2516" w:type="dxa"/>
          </w:tcPr>
          <w:p w14:paraId="58B8AECE" w14:textId="77777777" w:rsidR="00FF6E56" w:rsidRPr="00960F58" w:rsidRDefault="00FF6E56" w:rsidP="0070603A">
            <w:pPr>
              <w:spacing w:after="0"/>
              <w:rPr>
                <w:rFonts w:ascii="Arial" w:hAnsi="Arial" w:cs="Arial"/>
                <w:color w:val="293947"/>
                <w:sz w:val="20"/>
                <w:szCs w:val="20"/>
              </w:rPr>
            </w:pPr>
            <w:r w:rsidRPr="00960F58">
              <w:rPr>
                <w:rFonts w:ascii="Arial" w:hAnsi="Arial" w:cs="Arial"/>
                <w:color w:val="293947"/>
                <w:sz w:val="20"/>
                <w:szCs w:val="20"/>
              </w:rPr>
              <w:t>Transition phased according to individual build phases</w:t>
            </w:r>
          </w:p>
        </w:tc>
        <w:tc>
          <w:tcPr>
            <w:tcW w:w="2505" w:type="dxa"/>
            <w:shd w:val="clear" w:color="auto" w:fill="63BE7B"/>
          </w:tcPr>
          <w:p w14:paraId="4017095A" w14:textId="77777777" w:rsidR="00FF6E56" w:rsidRPr="00960F58" w:rsidRDefault="00FF6E56" w:rsidP="0070603A">
            <w:pPr>
              <w:spacing w:after="0"/>
              <w:rPr>
                <w:rFonts w:ascii="Arial" w:hAnsi="Arial" w:cs="Arial"/>
                <w:color w:val="293947"/>
                <w:sz w:val="20"/>
                <w:szCs w:val="20"/>
              </w:rPr>
            </w:pPr>
            <w:r w:rsidRPr="00960F58">
              <w:rPr>
                <w:rFonts w:ascii="Arial" w:hAnsi="Arial" w:cs="Arial"/>
                <w:color w:val="293947"/>
                <w:sz w:val="20"/>
                <w:szCs w:val="20"/>
              </w:rPr>
              <w:t>NHS and UCL both phased over 6 months according to adjacencies</w:t>
            </w:r>
          </w:p>
        </w:tc>
      </w:tr>
      <w:tr w:rsidR="00FF6E56" w:rsidRPr="00960F58" w14:paraId="14BBFE00" w14:textId="77777777" w:rsidTr="0070603A">
        <w:trPr>
          <w:cantSplit/>
        </w:trPr>
        <w:tc>
          <w:tcPr>
            <w:tcW w:w="1714" w:type="dxa"/>
          </w:tcPr>
          <w:p w14:paraId="6409ECC8" w14:textId="77777777" w:rsidR="00FF6E56" w:rsidRPr="00A40BA5" w:rsidRDefault="00FF6E56" w:rsidP="0070603A">
            <w:pPr>
              <w:spacing w:after="0"/>
              <w:rPr>
                <w:rFonts w:ascii="Arial" w:hAnsi="Arial" w:cs="Arial"/>
                <w:b/>
                <w:sz w:val="20"/>
                <w:szCs w:val="20"/>
              </w:rPr>
            </w:pPr>
            <w:r w:rsidRPr="00A40BA5">
              <w:rPr>
                <w:rFonts w:ascii="Arial" w:hAnsi="Arial" w:cs="Arial"/>
                <w:b/>
                <w:sz w:val="20"/>
                <w:szCs w:val="20"/>
              </w:rPr>
              <w:t>Funding</w:t>
            </w:r>
          </w:p>
        </w:tc>
        <w:tc>
          <w:tcPr>
            <w:tcW w:w="2507" w:type="dxa"/>
          </w:tcPr>
          <w:p w14:paraId="6BCD9529" w14:textId="77777777" w:rsidR="00FF6E56" w:rsidRPr="00960F58" w:rsidRDefault="00FF6E56" w:rsidP="0070603A">
            <w:pPr>
              <w:spacing w:after="0"/>
              <w:rPr>
                <w:rFonts w:ascii="Arial" w:hAnsi="Arial" w:cs="Arial"/>
                <w:color w:val="293947"/>
                <w:sz w:val="20"/>
                <w:szCs w:val="20"/>
              </w:rPr>
            </w:pPr>
            <w:r>
              <w:rPr>
                <w:rFonts w:ascii="Arial" w:hAnsi="Arial" w:cs="Arial"/>
                <w:color w:val="293947"/>
                <w:sz w:val="20"/>
                <w:szCs w:val="20"/>
              </w:rPr>
              <w:t>I</w:t>
            </w:r>
            <w:r w:rsidRPr="00960F58">
              <w:rPr>
                <w:rFonts w:ascii="Arial" w:hAnsi="Arial" w:cs="Arial"/>
                <w:color w:val="293947"/>
                <w:sz w:val="20"/>
                <w:szCs w:val="20"/>
              </w:rPr>
              <w:t>nternal financing; with PDC as most affordable alternative source</w:t>
            </w:r>
            <w:r>
              <w:rPr>
                <w:rFonts w:ascii="Arial" w:hAnsi="Arial" w:cs="Arial"/>
                <w:color w:val="293947"/>
                <w:sz w:val="20"/>
                <w:szCs w:val="20"/>
              </w:rPr>
              <w:t>. No option for land receipts or charitable donations.</w:t>
            </w:r>
          </w:p>
        </w:tc>
        <w:tc>
          <w:tcPr>
            <w:tcW w:w="2516" w:type="dxa"/>
          </w:tcPr>
          <w:p w14:paraId="48E0444C" w14:textId="77777777" w:rsidR="00FF6E56" w:rsidRPr="00960F58" w:rsidRDefault="00FF6E56" w:rsidP="0070603A">
            <w:pPr>
              <w:spacing w:after="0"/>
              <w:rPr>
                <w:rFonts w:ascii="Arial" w:hAnsi="Arial" w:cs="Arial"/>
                <w:color w:val="293947"/>
                <w:sz w:val="20"/>
                <w:szCs w:val="20"/>
              </w:rPr>
            </w:pPr>
            <w:r>
              <w:rPr>
                <w:rFonts w:ascii="Arial" w:hAnsi="Arial" w:cs="Arial"/>
                <w:color w:val="293947"/>
                <w:sz w:val="20"/>
                <w:szCs w:val="20"/>
              </w:rPr>
              <w:t>I</w:t>
            </w:r>
            <w:r w:rsidRPr="00960F58">
              <w:rPr>
                <w:rFonts w:ascii="Arial" w:hAnsi="Arial" w:cs="Arial"/>
                <w:color w:val="293947"/>
                <w:sz w:val="20"/>
                <w:szCs w:val="20"/>
              </w:rPr>
              <w:t>nternal financing; with PDC as most affordable alternative source</w:t>
            </w:r>
            <w:r>
              <w:rPr>
                <w:rFonts w:ascii="Arial" w:hAnsi="Arial" w:cs="Arial"/>
                <w:color w:val="293947"/>
                <w:sz w:val="20"/>
                <w:szCs w:val="20"/>
              </w:rPr>
              <w:t>. No option for land receipts or charitable donations.</w:t>
            </w:r>
          </w:p>
        </w:tc>
        <w:tc>
          <w:tcPr>
            <w:tcW w:w="2505" w:type="dxa"/>
            <w:shd w:val="clear" w:color="auto" w:fill="63BE7B"/>
          </w:tcPr>
          <w:p w14:paraId="5EA901EE" w14:textId="77777777" w:rsidR="00FF6E56" w:rsidRPr="00960F58" w:rsidRDefault="00FF6E56" w:rsidP="0070603A">
            <w:pPr>
              <w:spacing w:after="0"/>
              <w:rPr>
                <w:rFonts w:ascii="Arial" w:hAnsi="Arial" w:cs="Arial"/>
                <w:color w:val="293947"/>
                <w:sz w:val="20"/>
                <w:szCs w:val="20"/>
              </w:rPr>
            </w:pPr>
            <w:r w:rsidRPr="00960F58">
              <w:rPr>
                <w:rFonts w:ascii="Arial" w:hAnsi="Arial" w:cs="Arial"/>
                <w:color w:val="293947"/>
                <w:sz w:val="20"/>
                <w:szCs w:val="20"/>
              </w:rPr>
              <w:t>Land receipts, internal financing and charitable donations preferred; with PDC as most affordable alternative source</w:t>
            </w:r>
          </w:p>
        </w:tc>
      </w:tr>
    </w:tbl>
    <w:p w14:paraId="0B0C071E" w14:textId="77777777" w:rsidR="00FF6E56" w:rsidRPr="00587DF1" w:rsidRDefault="00FF6E56" w:rsidP="00FF6E56">
      <w:pPr>
        <w:pBdr>
          <w:top w:val="nil"/>
          <w:left w:val="nil"/>
          <w:bottom w:val="nil"/>
          <w:right w:val="nil"/>
          <w:between w:val="nil"/>
        </w:pBdr>
        <w:tabs>
          <w:tab w:val="left" w:pos="567"/>
        </w:tabs>
        <w:rPr>
          <w:rFonts w:ascii="Arial" w:eastAsia="Arial" w:hAnsi="Arial" w:cs="Arial"/>
          <w:bCs/>
          <w:color w:val="000000"/>
          <w:highlight w:val="yellow"/>
        </w:rPr>
      </w:pPr>
    </w:p>
    <w:p w14:paraId="6779B774" w14:textId="77777777" w:rsidR="00FF6E56" w:rsidRPr="00587DF1" w:rsidRDefault="00FF6E56" w:rsidP="00FF6E56">
      <w:pPr>
        <w:pStyle w:val="Heading2"/>
        <w:numPr>
          <w:ilvl w:val="1"/>
          <w:numId w:val="1"/>
        </w:numPr>
        <w:rPr>
          <w:rFonts w:ascii="Arial" w:eastAsia="Arial" w:hAnsi="Arial" w:cs="Arial"/>
        </w:rPr>
      </w:pPr>
      <w:bookmarkStart w:id="189" w:name="_Toc413331336"/>
      <w:bookmarkStart w:id="190" w:name="_Toc409771205"/>
      <w:bookmarkStart w:id="191" w:name="_Ref30415195"/>
      <w:bookmarkStart w:id="192" w:name="_Toc32842709"/>
      <w:bookmarkStart w:id="193" w:name="_Ref33018968"/>
      <w:r w:rsidRPr="00587DF1">
        <w:rPr>
          <w:rFonts w:ascii="Arial" w:eastAsia="Arial" w:hAnsi="Arial" w:cs="Arial"/>
        </w:rPr>
        <w:t>Shortlist of options</w:t>
      </w:r>
      <w:bookmarkEnd w:id="189"/>
      <w:bookmarkEnd w:id="190"/>
      <w:bookmarkEnd w:id="191"/>
      <w:bookmarkEnd w:id="192"/>
      <w:bookmarkEnd w:id="193"/>
    </w:p>
    <w:p w14:paraId="437FC7C4" w14:textId="77777777" w:rsidR="00FF6E56" w:rsidRDefault="00FF6E56" w:rsidP="00FF6E56">
      <w:pPr>
        <w:pBdr>
          <w:top w:val="nil"/>
          <w:left w:val="nil"/>
          <w:bottom w:val="nil"/>
          <w:right w:val="nil"/>
          <w:between w:val="nil"/>
        </w:pBdr>
        <w:tabs>
          <w:tab w:val="left" w:pos="567"/>
        </w:tabs>
        <w:spacing w:after="0"/>
        <w:rPr>
          <w:rFonts w:ascii="Arial" w:eastAsia="Arial" w:hAnsi="Arial" w:cs="Arial"/>
          <w:bCs/>
          <w:color w:val="000000"/>
        </w:rPr>
      </w:pPr>
      <w:bookmarkStart w:id="194" w:name="_Toc413331337"/>
      <w:bookmarkStart w:id="195" w:name="_Toc409771206"/>
    </w:p>
    <w:p w14:paraId="181F6FE4" w14:textId="77777777" w:rsidR="00FF6E56" w:rsidRPr="00587DF1" w:rsidRDefault="00FF6E56" w:rsidP="00FF6E56">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The</w:t>
      </w:r>
      <w:r>
        <w:rPr>
          <w:rFonts w:ascii="Arial" w:eastAsia="Arial" w:hAnsi="Arial" w:cs="Arial"/>
          <w:bCs/>
          <w:color w:val="000000"/>
        </w:rPr>
        <w:t>se</w:t>
      </w:r>
      <w:r w:rsidRPr="00587DF1">
        <w:rPr>
          <w:rFonts w:ascii="Arial" w:eastAsia="Arial" w:hAnsi="Arial" w:cs="Arial"/>
          <w:bCs/>
          <w:color w:val="000000"/>
        </w:rPr>
        <w:t xml:space="preserve"> three options </w:t>
      </w:r>
      <w:r>
        <w:rPr>
          <w:rFonts w:ascii="Arial" w:eastAsia="Arial" w:hAnsi="Arial" w:cs="Arial"/>
          <w:bCs/>
          <w:color w:val="000000"/>
        </w:rPr>
        <w:t xml:space="preserve">were </w:t>
      </w:r>
      <w:r w:rsidRPr="00587DF1">
        <w:rPr>
          <w:rFonts w:ascii="Arial" w:eastAsia="Arial" w:hAnsi="Arial" w:cs="Arial"/>
          <w:bCs/>
          <w:color w:val="000000"/>
        </w:rPr>
        <w:t>shortlisted at SOC stage</w:t>
      </w:r>
      <w:r>
        <w:rPr>
          <w:rFonts w:ascii="Arial" w:eastAsia="Arial" w:hAnsi="Arial" w:cs="Arial"/>
          <w:bCs/>
          <w:color w:val="000000"/>
        </w:rPr>
        <w:t xml:space="preserve">, and </w:t>
      </w:r>
      <w:r w:rsidRPr="00587DF1">
        <w:rPr>
          <w:rFonts w:ascii="Arial" w:eastAsia="Arial" w:hAnsi="Arial" w:cs="Arial"/>
          <w:bCs/>
          <w:color w:val="000000"/>
        </w:rPr>
        <w:t xml:space="preserve">confirmed in the options refresh exercise described above for consideration at OBC stage. As more detailed work has been carried out in the development of the OBC, two </w:t>
      </w:r>
      <w:r>
        <w:rPr>
          <w:rFonts w:ascii="Arial" w:eastAsia="Arial" w:hAnsi="Arial" w:cs="Arial"/>
          <w:bCs/>
          <w:color w:val="000000"/>
        </w:rPr>
        <w:t xml:space="preserve">variants of these </w:t>
      </w:r>
      <w:r w:rsidRPr="00587DF1">
        <w:rPr>
          <w:rFonts w:ascii="Arial" w:eastAsia="Arial" w:hAnsi="Arial" w:cs="Arial"/>
          <w:bCs/>
          <w:color w:val="000000"/>
        </w:rPr>
        <w:t>options have been identified for inclusion on the shortlist</w:t>
      </w:r>
      <w:r>
        <w:rPr>
          <w:rFonts w:ascii="Arial" w:eastAsia="Arial" w:hAnsi="Arial" w:cs="Arial"/>
          <w:bCs/>
          <w:color w:val="000000"/>
        </w:rPr>
        <w:t>:</w:t>
      </w:r>
    </w:p>
    <w:p w14:paraId="09142E76" w14:textId="77777777" w:rsidR="00FF6E56" w:rsidRPr="00587DF1" w:rsidRDefault="00FF6E56" w:rsidP="00FF6E56">
      <w:pPr>
        <w:pStyle w:val="ListParagraph"/>
        <w:numPr>
          <w:ilvl w:val="2"/>
          <w:numId w:val="49"/>
        </w:numPr>
        <w:ind w:left="993"/>
        <w:rPr>
          <w:rFonts w:ascii="Arial" w:hAnsi="Arial" w:cs="Arial"/>
        </w:rPr>
      </w:pPr>
      <w:r>
        <w:rPr>
          <w:rFonts w:ascii="Arial" w:hAnsi="Arial" w:cs="Arial"/>
          <w:b/>
        </w:rPr>
        <w:t>Option 1</w:t>
      </w:r>
      <w:r w:rsidRPr="00587DF1">
        <w:rPr>
          <w:rFonts w:ascii="Arial" w:hAnsi="Arial" w:cs="Arial"/>
        </w:rPr>
        <w:t xml:space="preserve"> – </w:t>
      </w:r>
      <w:r>
        <w:rPr>
          <w:rFonts w:ascii="Arial" w:hAnsi="Arial" w:cs="Arial"/>
          <w:i/>
          <w:iCs/>
        </w:rPr>
        <w:t>V</w:t>
      </w:r>
      <w:r w:rsidRPr="00A40BA5">
        <w:rPr>
          <w:rFonts w:ascii="Arial" w:hAnsi="Arial" w:cs="Arial"/>
          <w:i/>
          <w:iCs/>
        </w:rPr>
        <w:t>ariant of Do Nothing (BAU)</w:t>
      </w:r>
      <w:r w:rsidRPr="00587DF1">
        <w:rPr>
          <w:rFonts w:ascii="Arial" w:hAnsi="Arial" w:cs="Arial"/>
        </w:rPr>
        <w:t xml:space="preserve"> option is a </w:t>
      </w:r>
      <w:r>
        <w:rPr>
          <w:rFonts w:ascii="Arial" w:hAnsi="Arial" w:cs="Arial"/>
          <w:b/>
        </w:rPr>
        <w:t>‘d</w:t>
      </w:r>
      <w:r w:rsidRPr="00587DF1">
        <w:rPr>
          <w:rFonts w:ascii="Arial" w:hAnsi="Arial" w:cs="Arial"/>
          <w:b/>
        </w:rPr>
        <w:t xml:space="preserve">o </w:t>
      </w:r>
      <w:r>
        <w:rPr>
          <w:rFonts w:ascii="Arial" w:hAnsi="Arial" w:cs="Arial"/>
          <w:b/>
        </w:rPr>
        <w:t>m</w:t>
      </w:r>
      <w:r w:rsidRPr="00587DF1">
        <w:rPr>
          <w:rFonts w:ascii="Arial" w:hAnsi="Arial" w:cs="Arial"/>
          <w:b/>
        </w:rPr>
        <w:t>inimum</w:t>
      </w:r>
      <w:r>
        <w:rPr>
          <w:rFonts w:ascii="Arial" w:hAnsi="Arial" w:cs="Arial"/>
          <w:b/>
        </w:rPr>
        <w:t>’</w:t>
      </w:r>
      <w:r w:rsidRPr="00587DF1">
        <w:rPr>
          <w:rFonts w:ascii="Arial" w:hAnsi="Arial" w:cs="Arial"/>
          <w:b/>
        </w:rPr>
        <w:t xml:space="preserve"> option</w:t>
      </w:r>
      <w:r w:rsidRPr="00587DF1">
        <w:rPr>
          <w:rFonts w:ascii="Arial" w:hAnsi="Arial" w:cs="Arial"/>
        </w:rPr>
        <w:t xml:space="preserve"> which describes the minimum investment required at the City Road site in order for Moorfields to remain in occupation for the long term. This reflects additional works </w:t>
      </w:r>
      <w:r w:rsidRPr="00587DF1">
        <w:rPr>
          <w:rFonts w:ascii="Arial" w:hAnsi="Arial" w:cs="Arial"/>
        </w:rPr>
        <w:lastRenderedPageBreak/>
        <w:t xml:space="preserve">above and beyond the </w:t>
      </w:r>
      <w:r>
        <w:rPr>
          <w:rFonts w:ascii="Arial" w:hAnsi="Arial" w:cs="Arial"/>
        </w:rPr>
        <w:t>‘</w:t>
      </w:r>
      <w:r w:rsidRPr="00587DF1">
        <w:rPr>
          <w:rFonts w:ascii="Arial" w:hAnsi="Arial" w:cs="Arial"/>
        </w:rPr>
        <w:t>mend and make do</w:t>
      </w:r>
      <w:r>
        <w:rPr>
          <w:rFonts w:ascii="Arial" w:hAnsi="Arial" w:cs="Arial"/>
        </w:rPr>
        <w:t>’</w:t>
      </w:r>
      <w:r w:rsidRPr="00587DF1">
        <w:rPr>
          <w:rFonts w:ascii="Arial" w:hAnsi="Arial" w:cs="Arial"/>
        </w:rPr>
        <w:t xml:space="preserve"> investment currently taking place on the site, </w:t>
      </w:r>
      <w:r>
        <w:rPr>
          <w:rFonts w:ascii="Arial" w:hAnsi="Arial" w:cs="Arial"/>
        </w:rPr>
        <w:t>and not considered to be operationally sustainable in the longer term.</w:t>
      </w:r>
      <w:r w:rsidRPr="00587DF1">
        <w:rPr>
          <w:rFonts w:ascii="Arial" w:hAnsi="Arial" w:cs="Arial"/>
        </w:rPr>
        <w:t xml:space="preserve"> </w:t>
      </w:r>
    </w:p>
    <w:p w14:paraId="664713EC" w14:textId="77777777" w:rsidR="00FF6E56" w:rsidRDefault="00FF6E56" w:rsidP="00FF6E56">
      <w:pPr>
        <w:pStyle w:val="ListParagraph"/>
        <w:numPr>
          <w:ilvl w:val="2"/>
          <w:numId w:val="49"/>
        </w:numPr>
        <w:ind w:left="993"/>
        <w:rPr>
          <w:rFonts w:ascii="Arial" w:hAnsi="Arial" w:cs="Arial"/>
        </w:rPr>
      </w:pPr>
      <w:r>
        <w:rPr>
          <w:rFonts w:ascii="Arial" w:hAnsi="Arial" w:cs="Arial"/>
          <w:b/>
        </w:rPr>
        <w:t>Option 4</w:t>
      </w:r>
      <w:r w:rsidRPr="00587DF1">
        <w:rPr>
          <w:rFonts w:ascii="Arial" w:hAnsi="Arial" w:cs="Arial"/>
        </w:rPr>
        <w:t xml:space="preserve"> – </w:t>
      </w:r>
      <w:r>
        <w:rPr>
          <w:rFonts w:ascii="Arial" w:hAnsi="Arial" w:cs="Arial"/>
          <w:i/>
          <w:iCs/>
        </w:rPr>
        <w:t>V</w:t>
      </w:r>
      <w:r w:rsidRPr="00A40BA5">
        <w:rPr>
          <w:rFonts w:ascii="Arial" w:hAnsi="Arial" w:cs="Arial"/>
          <w:i/>
          <w:iCs/>
        </w:rPr>
        <w:t>ariant on move to St Pancras</w:t>
      </w:r>
      <w:r w:rsidRPr="00587DF1">
        <w:rPr>
          <w:rFonts w:ascii="Arial" w:hAnsi="Arial" w:cs="Arial"/>
        </w:rPr>
        <w:t xml:space="preserve"> is a </w:t>
      </w:r>
      <w:r w:rsidRPr="00587DF1">
        <w:rPr>
          <w:rFonts w:ascii="Arial" w:hAnsi="Arial" w:cs="Arial"/>
          <w:b/>
        </w:rPr>
        <w:t>larger facility</w:t>
      </w:r>
      <w:r w:rsidRPr="00587DF1">
        <w:rPr>
          <w:rFonts w:ascii="Arial" w:hAnsi="Arial" w:cs="Arial"/>
        </w:rPr>
        <w:t xml:space="preserve"> (43,000sqm compared to the preferred way forward of 39,500sqm) in an upside scenario. The larger size </w:t>
      </w:r>
      <w:r>
        <w:rPr>
          <w:rFonts w:ascii="Arial" w:hAnsi="Arial" w:cs="Arial"/>
        </w:rPr>
        <w:t>would provide</w:t>
      </w:r>
      <w:r w:rsidRPr="00587DF1">
        <w:rPr>
          <w:rFonts w:ascii="Arial" w:hAnsi="Arial" w:cs="Arial"/>
        </w:rPr>
        <w:t xml:space="preserve"> space for commercial opportunities</w:t>
      </w:r>
      <w:r>
        <w:rPr>
          <w:rFonts w:ascii="Arial" w:hAnsi="Arial" w:cs="Arial"/>
        </w:rPr>
        <w:t xml:space="preserve">, such as </w:t>
      </w:r>
      <w:r w:rsidRPr="00587DF1">
        <w:rPr>
          <w:rFonts w:ascii="Arial" w:hAnsi="Arial" w:cs="Arial"/>
        </w:rPr>
        <w:t>expand</w:t>
      </w:r>
      <w:r>
        <w:rPr>
          <w:rFonts w:ascii="Arial" w:hAnsi="Arial" w:cs="Arial"/>
        </w:rPr>
        <w:t>ing</w:t>
      </w:r>
      <w:r w:rsidRPr="00587DF1">
        <w:rPr>
          <w:rFonts w:ascii="Arial" w:hAnsi="Arial" w:cs="Arial"/>
        </w:rPr>
        <w:t xml:space="preserve"> private patients, research and education where it is clear the additional contribution will cover the additional capital cost. For example, there is an opportunity to form commercial partnerships with pharmaceutical and biosciences companies</w:t>
      </w:r>
      <w:r>
        <w:rPr>
          <w:rFonts w:ascii="Arial" w:hAnsi="Arial" w:cs="Arial"/>
        </w:rPr>
        <w:t>,</w:t>
      </w:r>
      <w:r w:rsidRPr="00587DF1">
        <w:rPr>
          <w:rFonts w:ascii="Arial" w:hAnsi="Arial" w:cs="Arial"/>
        </w:rPr>
        <w:t xml:space="preserve"> however at OBC stage </w:t>
      </w:r>
      <w:r>
        <w:rPr>
          <w:rFonts w:ascii="Arial" w:hAnsi="Arial" w:cs="Arial"/>
        </w:rPr>
        <w:t>negotiations are not sufficiently advanced to provide adequate certainty that this is a viable option</w:t>
      </w:r>
      <w:r w:rsidRPr="00587DF1">
        <w:rPr>
          <w:rFonts w:ascii="Arial" w:hAnsi="Arial" w:cs="Arial"/>
        </w:rPr>
        <w:t>.</w:t>
      </w:r>
    </w:p>
    <w:p w14:paraId="4FD42145" w14:textId="14186340" w:rsidR="00FF6E56" w:rsidRPr="00B27835" w:rsidRDefault="00FF6E56" w:rsidP="00FF6E56">
      <w:pPr>
        <w:rPr>
          <w:rFonts w:ascii="Arial" w:hAnsi="Arial" w:cs="Arial"/>
        </w:rPr>
      </w:pPr>
      <w:r>
        <w:rPr>
          <w:rFonts w:ascii="Arial" w:hAnsi="Arial" w:cs="Arial"/>
        </w:rPr>
        <w:t xml:space="preserve">The shortlist of options to be assessed at OBC, compared to the shortlisted options at SOC </w:t>
      </w:r>
      <w:r w:rsidRPr="00B27835">
        <w:rPr>
          <w:rFonts w:ascii="Arial" w:hAnsi="Arial" w:cs="Arial"/>
        </w:rPr>
        <w:t xml:space="preserve">stage, are summarised in </w:t>
      </w:r>
      <w:r w:rsidRPr="00B27835">
        <w:rPr>
          <w:rFonts w:ascii="Arial" w:hAnsi="Arial" w:cs="Arial"/>
        </w:rPr>
        <w:fldChar w:fldCharType="begin"/>
      </w:r>
      <w:r w:rsidRPr="00B27835">
        <w:rPr>
          <w:rFonts w:ascii="Arial" w:hAnsi="Arial" w:cs="Arial"/>
        </w:rPr>
        <w:instrText xml:space="preserve"> REF _Ref30421789 \h </w:instrText>
      </w:r>
      <w:r>
        <w:rPr>
          <w:rFonts w:ascii="Arial" w:hAnsi="Arial" w:cs="Arial"/>
        </w:rPr>
        <w:instrText xml:space="preserve"> \* MERGEFORMAT </w:instrText>
      </w:r>
      <w:r w:rsidRPr="00B27835">
        <w:rPr>
          <w:rFonts w:ascii="Arial" w:hAnsi="Arial" w:cs="Arial"/>
        </w:rPr>
      </w:r>
      <w:r w:rsidRPr="00B27835">
        <w:rPr>
          <w:rFonts w:ascii="Arial" w:hAnsi="Arial" w:cs="Arial"/>
        </w:rPr>
        <w:fldChar w:fldCharType="separate"/>
      </w:r>
      <w:r w:rsidR="00A936CD" w:rsidRPr="00A936CD">
        <w:rPr>
          <w:rFonts w:ascii="Arial" w:hAnsi="Arial" w:cs="Arial"/>
        </w:rPr>
        <w:t xml:space="preserve">Table </w:t>
      </w:r>
      <w:r w:rsidR="00A936CD" w:rsidRPr="00A936CD">
        <w:rPr>
          <w:rFonts w:ascii="Arial" w:hAnsi="Arial" w:cs="Arial"/>
          <w:noProof/>
        </w:rPr>
        <w:t>19</w:t>
      </w:r>
      <w:r w:rsidRPr="00B27835">
        <w:rPr>
          <w:rFonts w:ascii="Arial" w:hAnsi="Arial" w:cs="Arial"/>
        </w:rPr>
        <w:fldChar w:fldCharType="end"/>
      </w:r>
      <w:r w:rsidRPr="00B27835">
        <w:rPr>
          <w:rFonts w:ascii="Arial" w:hAnsi="Arial" w:cs="Arial"/>
        </w:rPr>
        <w:t>.</w:t>
      </w:r>
    </w:p>
    <w:p w14:paraId="180D3A6C" w14:textId="0DE46E9F" w:rsidR="00FF6E56" w:rsidRPr="00B27835" w:rsidRDefault="00FF6E56" w:rsidP="00FF6E56">
      <w:pPr>
        <w:pStyle w:val="Caption"/>
        <w:rPr>
          <w:b w:val="0"/>
          <w:bCs w:val="0"/>
        </w:rPr>
      </w:pPr>
      <w:bookmarkStart w:id="196" w:name="_Ref30421789"/>
      <w:r>
        <w:t xml:space="preserve">Table </w:t>
      </w:r>
      <w:r>
        <w:fldChar w:fldCharType="begin"/>
      </w:r>
      <w:r>
        <w:instrText xml:space="preserve"> SEQ Table \* ARABIC </w:instrText>
      </w:r>
      <w:r>
        <w:fldChar w:fldCharType="separate"/>
      </w:r>
      <w:r w:rsidR="00A936CD">
        <w:rPr>
          <w:noProof/>
        </w:rPr>
        <w:t>19</w:t>
      </w:r>
      <w:r>
        <w:fldChar w:fldCharType="end"/>
      </w:r>
      <w:bookmarkEnd w:id="196"/>
      <w:r>
        <w:t xml:space="preserve">: </w:t>
      </w:r>
      <w:r w:rsidRPr="00B27835">
        <w:rPr>
          <w:b w:val="0"/>
          <w:bCs w:val="0"/>
        </w:rPr>
        <w:t>Summary of shortlisted options at OBC stage compared to SOC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843"/>
        <w:gridCol w:w="3543"/>
        <w:gridCol w:w="2694"/>
      </w:tblGrid>
      <w:tr w:rsidR="00FF6E56" w:rsidRPr="00C71B0D" w14:paraId="25AB7A50" w14:textId="77777777" w:rsidTr="0070603A">
        <w:tc>
          <w:tcPr>
            <w:tcW w:w="1526" w:type="dxa"/>
            <w:shd w:val="clear" w:color="auto" w:fill="4F81BD"/>
          </w:tcPr>
          <w:p w14:paraId="4E86F95B" w14:textId="77777777" w:rsidR="00FF6E56" w:rsidRPr="00C71B0D" w:rsidRDefault="00FF6E56" w:rsidP="0070603A">
            <w:pPr>
              <w:spacing w:after="0"/>
              <w:rPr>
                <w:rFonts w:ascii="Arial" w:hAnsi="Arial" w:cs="Arial"/>
                <w:b/>
                <w:color w:val="FFFFFF" w:themeColor="background1"/>
              </w:rPr>
            </w:pPr>
            <w:r w:rsidRPr="00C71B0D">
              <w:rPr>
                <w:rFonts w:ascii="Arial" w:hAnsi="Arial" w:cs="Arial"/>
                <w:b/>
                <w:color w:val="FFFFFF" w:themeColor="background1"/>
              </w:rPr>
              <w:t>Shortlisted option</w:t>
            </w:r>
          </w:p>
        </w:tc>
        <w:tc>
          <w:tcPr>
            <w:tcW w:w="1843" w:type="dxa"/>
            <w:shd w:val="clear" w:color="auto" w:fill="4F81BD"/>
          </w:tcPr>
          <w:p w14:paraId="2B18F3C6" w14:textId="77777777" w:rsidR="00FF6E56" w:rsidRPr="00C71B0D" w:rsidRDefault="00FF6E56" w:rsidP="0070603A">
            <w:pPr>
              <w:spacing w:after="0"/>
              <w:rPr>
                <w:rFonts w:ascii="Arial" w:hAnsi="Arial" w:cs="Arial"/>
                <w:b/>
                <w:color w:val="FFFFFF" w:themeColor="background1"/>
              </w:rPr>
            </w:pPr>
            <w:r w:rsidRPr="00C71B0D">
              <w:rPr>
                <w:rFonts w:ascii="Arial" w:hAnsi="Arial" w:cs="Arial"/>
                <w:b/>
                <w:color w:val="FFFFFF" w:themeColor="background1"/>
              </w:rPr>
              <w:t>SOC</w:t>
            </w:r>
          </w:p>
        </w:tc>
        <w:tc>
          <w:tcPr>
            <w:tcW w:w="3543" w:type="dxa"/>
            <w:shd w:val="clear" w:color="auto" w:fill="4F81BD"/>
          </w:tcPr>
          <w:p w14:paraId="774CB2FE" w14:textId="77777777" w:rsidR="00FF6E56" w:rsidRPr="00C71B0D" w:rsidRDefault="00FF6E56" w:rsidP="0070603A">
            <w:pPr>
              <w:spacing w:after="0"/>
              <w:rPr>
                <w:rFonts w:ascii="Arial" w:hAnsi="Arial" w:cs="Arial"/>
                <w:b/>
                <w:color w:val="FFFFFF" w:themeColor="background1"/>
              </w:rPr>
            </w:pPr>
            <w:r w:rsidRPr="00C71B0D">
              <w:rPr>
                <w:rFonts w:ascii="Arial" w:hAnsi="Arial" w:cs="Arial"/>
                <w:b/>
                <w:color w:val="FFFFFF" w:themeColor="background1"/>
              </w:rPr>
              <w:t>OBC</w:t>
            </w:r>
          </w:p>
        </w:tc>
        <w:tc>
          <w:tcPr>
            <w:tcW w:w="2694" w:type="dxa"/>
            <w:shd w:val="clear" w:color="auto" w:fill="4F81BD"/>
          </w:tcPr>
          <w:p w14:paraId="547B9FBA" w14:textId="77777777" w:rsidR="00FF6E56" w:rsidRPr="00C71B0D" w:rsidRDefault="00FF6E56" w:rsidP="0070603A">
            <w:pPr>
              <w:spacing w:after="0"/>
              <w:rPr>
                <w:rFonts w:ascii="Arial" w:hAnsi="Arial" w:cs="Arial"/>
                <w:b/>
                <w:color w:val="FFFFFF" w:themeColor="background1"/>
              </w:rPr>
            </w:pPr>
            <w:r w:rsidRPr="00C71B0D">
              <w:rPr>
                <w:rFonts w:ascii="Arial" w:hAnsi="Arial" w:cs="Arial"/>
                <w:b/>
                <w:color w:val="FFFFFF" w:themeColor="background1"/>
              </w:rPr>
              <w:t>Rationale for change from OBC</w:t>
            </w:r>
          </w:p>
        </w:tc>
      </w:tr>
      <w:tr w:rsidR="00FF6E56" w:rsidRPr="00587DF1" w14:paraId="1D3757FE" w14:textId="77777777" w:rsidTr="0070603A">
        <w:tc>
          <w:tcPr>
            <w:tcW w:w="1526" w:type="dxa"/>
          </w:tcPr>
          <w:p w14:paraId="3E801D70" w14:textId="77777777" w:rsidR="00FF6E56" w:rsidRPr="00587DF1" w:rsidRDefault="00FF6E56" w:rsidP="0070603A">
            <w:pPr>
              <w:spacing w:after="0"/>
              <w:rPr>
                <w:rFonts w:ascii="Arial" w:hAnsi="Arial" w:cs="Arial"/>
              </w:rPr>
            </w:pPr>
            <w:r>
              <w:rPr>
                <w:rFonts w:ascii="Arial" w:hAnsi="Arial" w:cs="Arial"/>
              </w:rPr>
              <w:t>‘</w:t>
            </w:r>
            <w:r w:rsidRPr="00587DF1">
              <w:rPr>
                <w:rFonts w:ascii="Arial" w:hAnsi="Arial" w:cs="Arial"/>
              </w:rPr>
              <w:t>Business as usual</w:t>
            </w:r>
            <w:r>
              <w:rPr>
                <w:rFonts w:ascii="Arial" w:hAnsi="Arial" w:cs="Arial"/>
              </w:rPr>
              <w:t>’ (BAU)</w:t>
            </w:r>
          </w:p>
        </w:tc>
        <w:tc>
          <w:tcPr>
            <w:tcW w:w="1843" w:type="dxa"/>
          </w:tcPr>
          <w:p w14:paraId="53F62B60" w14:textId="77777777" w:rsidR="00FF6E56" w:rsidRPr="00587DF1" w:rsidRDefault="00FF6E56" w:rsidP="0070603A">
            <w:pPr>
              <w:spacing w:after="0"/>
              <w:rPr>
                <w:rFonts w:ascii="Arial" w:hAnsi="Arial" w:cs="Arial"/>
              </w:rPr>
            </w:pPr>
            <w:r w:rsidRPr="00587DF1">
              <w:rPr>
                <w:rFonts w:ascii="Arial" w:hAnsi="Arial" w:cs="Arial"/>
              </w:rPr>
              <w:t>Address backlog maintenance and maintain compliance</w:t>
            </w:r>
          </w:p>
        </w:tc>
        <w:tc>
          <w:tcPr>
            <w:tcW w:w="3543" w:type="dxa"/>
          </w:tcPr>
          <w:p w14:paraId="25EAEBFA" w14:textId="77777777" w:rsidR="00FF6E56" w:rsidRPr="00587DF1" w:rsidRDefault="00FF6E56" w:rsidP="0070603A">
            <w:pPr>
              <w:pStyle w:val="ListParagraph"/>
              <w:numPr>
                <w:ilvl w:val="0"/>
                <w:numId w:val="50"/>
              </w:numPr>
              <w:spacing w:after="0"/>
              <w:ind w:left="316" w:hanging="316"/>
              <w:rPr>
                <w:rFonts w:ascii="Arial" w:hAnsi="Arial" w:cs="Arial"/>
              </w:rPr>
            </w:pPr>
            <w:r w:rsidRPr="00587DF1">
              <w:rPr>
                <w:rFonts w:ascii="Arial" w:hAnsi="Arial" w:cs="Arial"/>
              </w:rPr>
              <w:t xml:space="preserve">BAU option </w:t>
            </w:r>
            <w:r>
              <w:rPr>
                <w:rFonts w:ascii="Arial" w:hAnsi="Arial" w:cs="Arial"/>
              </w:rPr>
              <w:t>–</w:t>
            </w:r>
            <w:r w:rsidRPr="00587DF1">
              <w:rPr>
                <w:rFonts w:ascii="Arial" w:hAnsi="Arial" w:cs="Arial"/>
              </w:rPr>
              <w:t xml:space="preserve"> continue investment at historic rates. Not realistic or sustainable. </w:t>
            </w:r>
          </w:p>
          <w:p w14:paraId="406B9117" w14:textId="6FD0F6B2" w:rsidR="00FF6E56" w:rsidRPr="00587DF1" w:rsidRDefault="00FF6E56" w:rsidP="0070603A">
            <w:pPr>
              <w:pStyle w:val="ListParagraph"/>
              <w:numPr>
                <w:ilvl w:val="0"/>
                <w:numId w:val="50"/>
              </w:numPr>
              <w:spacing w:after="0"/>
              <w:ind w:left="316" w:hanging="316"/>
              <w:rPr>
                <w:rFonts w:ascii="Arial" w:hAnsi="Arial" w:cs="Arial"/>
              </w:rPr>
            </w:pPr>
            <w:r w:rsidRPr="00587DF1">
              <w:rPr>
                <w:rFonts w:ascii="Arial" w:hAnsi="Arial" w:cs="Arial"/>
                <w:b/>
                <w:i/>
                <w:color w:val="FF0000"/>
              </w:rPr>
              <w:t>Variant</w:t>
            </w:r>
            <w:r w:rsidRPr="00587DF1">
              <w:rPr>
                <w:rFonts w:ascii="Arial" w:hAnsi="Arial" w:cs="Arial"/>
                <w:color w:val="FF0000"/>
              </w:rPr>
              <w:t xml:space="preserve"> </w:t>
            </w:r>
            <w:r w:rsidRPr="00900902">
              <w:rPr>
                <w:rFonts w:ascii="Arial" w:hAnsi="Arial" w:cs="Arial"/>
              </w:rPr>
              <w:t xml:space="preserve">‘Do Minimum’ </w:t>
            </w:r>
            <w:r w:rsidRPr="00587DF1">
              <w:rPr>
                <w:rFonts w:ascii="Arial" w:hAnsi="Arial" w:cs="Arial"/>
              </w:rPr>
              <w:t>option of addressing additional investment requirements at City Road to remain in occupation for 60 years</w:t>
            </w:r>
            <w:r>
              <w:rPr>
                <w:rFonts w:ascii="Arial" w:hAnsi="Arial" w:cs="Arial"/>
              </w:rPr>
              <w:t xml:space="preserve">. </w:t>
            </w:r>
            <w:r w:rsidRPr="00DD5EC3">
              <w:rPr>
                <w:rFonts w:ascii="Arial" w:hAnsi="Arial" w:cs="Arial"/>
              </w:rPr>
              <w:t xml:space="preserve">Supporting information can be found at Appendix </w:t>
            </w:r>
            <w:r w:rsidR="00D10F47">
              <w:rPr>
                <w:rFonts w:ascii="Arial" w:hAnsi="Arial" w:cs="Arial"/>
              </w:rPr>
              <w:t>4</w:t>
            </w:r>
            <w:r w:rsidRPr="00DD5EC3">
              <w:rPr>
                <w:rFonts w:ascii="Arial" w:hAnsi="Arial" w:cs="Arial"/>
              </w:rPr>
              <w:t>B.</w:t>
            </w:r>
          </w:p>
        </w:tc>
        <w:tc>
          <w:tcPr>
            <w:tcW w:w="2694" w:type="dxa"/>
          </w:tcPr>
          <w:p w14:paraId="79A9ECD4" w14:textId="77777777" w:rsidR="00FF6E56" w:rsidRPr="00587DF1" w:rsidRDefault="00FF6E56" w:rsidP="0070603A">
            <w:pPr>
              <w:spacing w:after="0"/>
              <w:rPr>
                <w:rFonts w:ascii="Arial" w:hAnsi="Arial" w:cs="Arial"/>
              </w:rPr>
            </w:pPr>
            <w:r w:rsidRPr="00587DF1">
              <w:rPr>
                <w:rFonts w:ascii="Arial" w:hAnsi="Arial" w:cs="Arial"/>
              </w:rPr>
              <w:t xml:space="preserve">The BAU option is the baseline for comparing all other options against. </w:t>
            </w:r>
          </w:p>
          <w:p w14:paraId="06EF7A2E" w14:textId="77777777" w:rsidR="00FF6E56" w:rsidRPr="00587DF1" w:rsidRDefault="00FF6E56" w:rsidP="0070603A">
            <w:pPr>
              <w:spacing w:after="0"/>
              <w:rPr>
                <w:rFonts w:ascii="Arial" w:hAnsi="Arial" w:cs="Arial"/>
              </w:rPr>
            </w:pPr>
          </w:p>
          <w:p w14:paraId="2C2EDF40" w14:textId="77777777" w:rsidR="00FF6E56" w:rsidRPr="00587DF1" w:rsidRDefault="00FF6E56" w:rsidP="0070603A">
            <w:pPr>
              <w:spacing w:after="0"/>
              <w:rPr>
                <w:rFonts w:ascii="Arial" w:hAnsi="Arial" w:cs="Arial"/>
              </w:rPr>
            </w:pPr>
            <w:r w:rsidRPr="00FA67D3">
              <w:rPr>
                <w:rFonts w:ascii="Arial" w:hAnsi="Arial" w:cs="Arial"/>
              </w:rPr>
              <w:t>The do minimum option reflects a more realistic level of investment to maintain operations at the City Road site.</w:t>
            </w:r>
            <w:r w:rsidRPr="00587DF1">
              <w:rPr>
                <w:rFonts w:ascii="Arial" w:hAnsi="Arial" w:cs="Arial"/>
              </w:rPr>
              <w:t xml:space="preserve"> </w:t>
            </w:r>
          </w:p>
        </w:tc>
      </w:tr>
      <w:tr w:rsidR="00FF6E56" w:rsidRPr="00587DF1" w14:paraId="3056242A" w14:textId="77777777" w:rsidTr="0070603A">
        <w:tc>
          <w:tcPr>
            <w:tcW w:w="1526" w:type="dxa"/>
          </w:tcPr>
          <w:p w14:paraId="6F377886" w14:textId="77777777" w:rsidR="00FF6E56" w:rsidRPr="00587DF1" w:rsidRDefault="00FF6E56" w:rsidP="0070603A">
            <w:pPr>
              <w:spacing w:after="0"/>
              <w:rPr>
                <w:rFonts w:ascii="Arial" w:hAnsi="Arial" w:cs="Arial"/>
              </w:rPr>
            </w:pPr>
            <w:r w:rsidRPr="00587DF1">
              <w:rPr>
                <w:rFonts w:ascii="Arial" w:hAnsi="Arial" w:cs="Arial"/>
              </w:rPr>
              <w:t>Intermediate</w:t>
            </w:r>
          </w:p>
        </w:tc>
        <w:tc>
          <w:tcPr>
            <w:tcW w:w="1843" w:type="dxa"/>
          </w:tcPr>
          <w:p w14:paraId="3E1790EF" w14:textId="460C50F8" w:rsidR="00FF6E56" w:rsidRPr="00587DF1" w:rsidRDefault="00366594" w:rsidP="0070603A">
            <w:pPr>
              <w:spacing w:after="0"/>
              <w:rPr>
                <w:rFonts w:ascii="Arial" w:hAnsi="Arial" w:cs="Arial"/>
              </w:rPr>
            </w:pPr>
            <w:r>
              <w:rPr>
                <w:rFonts w:ascii="Arial" w:hAnsi="Arial" w:cs="Arial"/>
              </w:rPr>
              <w:t xml:space="preserve">46,200 </w:t>
            </w:r>
            <w:r w:rsidR="00FF6E56" w:rsidRPr="00587DF1">
              <w:rPr>
                <w:rFonts w:ascii="Arial" w:hAnsi="Arial" w:cs="Arial"/>
              </w:rPr>
              <w:t xml:space="preserve">sqm new build over 16 floors, phased build </w:t>
            </w:r>
          </w:p>
        </w:tc>
        <w:tc>
          <w:tcPr>
            <w:tcW w:w="3543" w:type="dxa"/>
          </w:tcPr>
          <w:p w14:paraId="291FFC2A" w14:textId="2D561563" w:rsidR="00FF6E56" w:rsidRPr="00587DF1" w:rsidRDefault="00FF6E56" w:rsidP="00366594">
            <w:pPr>
              <w:pStyle w:val="ListParagraph"/>
              <w:numPr>
                <w:ilvl w:val="0"/>
                <w:numId w:val="50"/>
              </w:numPr>
              <w:spacing w:after="0"/>
              <w:ind w:left="316" w:hanging="316"/>
              <w:rPr>
                <w:rFonts w:ascii="Arial" w:hAnsi="Arial" w:cs="Arial"/>
              </w:rPr>
            </w:pPr>
            <w:r w:rsidRPr="00587DF1">
              <w:rPr>
                <w:rFonts w:ascii="Arial" w:hAnsi="Arial" w:cs="Arial"/>
              </w:rPr>
              <w:t xml:space="preserve">Stay </w:t>
            </w:r>
            <w:r>
              <w:rPr>
                <w:rFonts w:ascii="Arial" w:hAnsi="Arial" w:cs="Arial"/>
              </w:rPr>
              <w:t xml:space="preserve">at City Road </w:t>
            </w:r>
            <w:r w:rsidR="00366594">
              <w:rPr>
                <w:rFonts w:ascii="Arial" w:hAnsi="Arial" w:cs="Arial"/>
              </w:rPr>
              <w:t xml:space="preserve">and redevelop - 46,200 </w:t>
            </w:r>
            <w:r w:rsidRPr="00587DF1">
              <w:rPr>
                <w:rFonts w:ascii="Arial" w:hAnsi="Arial" w:cs="Arial"/>
              </w:rPr>
              <w:t xml:space="preserve">sqm in a combination of redevelop and refurbish. Additional area built in </w:t>
            </w:r>
            <w:r w:rsidR="00366594">
              <w:rPr>
                <w:rFonts w:ascii="Arial" w:hAnsi="Arial" w:cs="Arial"/>
              </w:rPr>
              <w:t xml:space="preserve">compared to preferred way forward </w:t>
            </w:r>
            <w:r w:rsidRPr="00587DF1">
              <w:rPr>
                <w:rFonts w:ascii="Arial" w:hAnsi="Arial" w:cs="Arial"/>
              </w:rPr>
              <w:t>to reflect inherent space inefficiencies.</w:t>
            </w:r>
          </w:p>
        </w:tc>
        <w:tc>
          <w:tcPr>
            <w:tcW w:w="2694" w:type="dxa"/>
          </w:tcPr>
          <w:p w14:paraId="4B199AD8" w14:textId="77777777" w:rsidR="00FF6E56" w:rsidRPr="00587DF1" w:rsidRDefault="00FF6E56" w:rsidP="0070603A">
            <w:pPr>
              <w:spacing w:after="0"/>
              <w:rPr>
                <w:rFonts w:ascii="Arial" w:hAnsi="Arial" w:cs="Arial"/>
              </w:rPr>
            </w:pPr>
            <w:r w:rsidRPr="00587DF1">
              <w:rPr>
                <w:rFonts w:ascii="Arial" w:hAnsi="Arial" w:cs="Arial"/>
              </w:rPr>
              <w:t xml:space="preserve">This is a realistic, more ambitious version of the do minimum, where the aim is to achieve the maximum potential of the existing site. </w:t>
            </w:r>
          </w:p>
        </w:tc>
      </w:tr>
      <w:tr w:rsidR="00FF6E56" w:rsidRPr="00587DF1" w14:paraId="7F3BCD6A" w14:textId="77777777" w:rsidTr="0070603A">
        <w:tc>
          <w:tcPr>
            <w:tcW w:w="1526" w:type="dxa"/>
          </w:tcPr>
          <w:p w14:paraId="73B634F9" w14:textId="77777777" w:rsidR="00FF6E56" w:rsidRPr="00587DF1" w:rsidRDefault="00FF6E56" w:rsidP="0070603A">
            <w:pPr>
              <w:spacing w:after="0"/>
              <w:rPr>
                <w:rFonts w:ascii="Arial" w:hAnsi="Arial" w:cs="Arial"/>
              </w:rPr>
            </w:pPr>
            <w:r w:rsidRPr="00587DF1">
              <w:rPr>
                <w:rFonts w:ascii="Arial" w:hAnsi="Arial" w:cs="Arial"/>
              </w:rPr>
              <w:t>Preferred way forward</w:t>
            </w:r>
          </w:p>
        </w:tc>
        <w:tc>
          <w:tcPr>
            <w:tcW w:w="1843" w:type="dxa"/>
          </w:tcPr>
          <w:p w14:paraId="301B2CDE" w14:textId="77777777" w:rsidR="00FF6E56" w:rsidRPr="00587DF1" w:rsidRDefault="00FF6E56" w:rsidP="0070603A">
            <w:pPr>
              <w:spacing w:after="0"/>
              <w:rPr>
                <w:rFonts w:ascii="Arial" w:hAnsi="Arial" w:cs="Arial"/>
              </w:rPr>
            </w:pPr>
            <w:r w:rsidRPr="00587DF1">
              <w:rPr>
                <w:rFonts w:ascii="Arial" w:hAnsi="Arial" w:cs="Arial"/>
              </w:rPr>
              <w:t>43,000sqm new build over 8-12 floors</w:t>
            </w:r>
          </w:p>
        </w:tc>
        <w:tc>
          <w:tcPr>
            <w:tcW w:w="3543" w:type="dxa"/>
          </w:tcPr>
          <w:p w14:paraId="1D951698" w14:textId="77777777" w:rsidR="00FF6E56" w:rsidRPr="00587DF1" w:rsidRDefault="00FF6E56" w:rsidP="0070603A">
            <w:pPr>
              <w:pStyle w:val="ListParagraph"/>
              <w:numPr>
                <w:ilvl w:val="0"/>
                <w:numId w:val="50"/>
              </w:numPr>
              <w:spacing w:after="0"/>
              <w:ind w:left="316" w:hanging="316"/>
              <w:rPr>
                <w:rFonts w:ascii="Arial" w:hAnsi="Arial" w:cs="Arial"/>
              </w:rPr>
            </w:pPr>
            <w:r w:rsidRPr="00587DF1">
              <w:rPr>
                <w:rFonts w:ascii="Arial" w:hAnsi="Arial" w:cs="Arial"/>
              </w:rPr>
              <w:t xml:space="preserve">Move to St Pancras - 39,500sqm </w:t>
            </w:r>
            <w:r>
              <w:rPr>
                <w:rFonts w:ascii="Arial" w:hAnsi="Arial" w:cs="Arial"/>
              </w:rPr>
              <w:t xml:space="preserve">new build in line with </w:t>
            </w:r>
            <w:r w:rsidRPr="00587DF1">
              <w:rPr>
                <w:rFonts w:ascii="Arial" w:hAnsi="Arial" w:cs="Arial"/>
              </w:rPr>
              <w:t>affordability envelope. Off</w:t>
            </w:r>
            <w:r>
              <w:rPr>
                <w:rFonts w:ascii="Arial" w:hAnsi="Arial" w:cs="Arial"/>
              </w:rPr>
              <w:t>-</w:t>
            </w:r>
            <w:r w:rsidRPr="00587DF1">
              <w:rPr>
                <w:rFonts w:ascii="Arial" w:hAnsi="Arial" w:cs="Arial"/>
              </w:rPr>
              <w:t xml:space="preserve">site accommodation required for functions that cannot fit on site. </w:t>
            </w:r>
          </w:p>
          <w:p w14:paraId="7B9085CE" w14:textId="77777777" w:rsidR="00FF6E56" w:rsidRPr="00587DF1" w:rsidRDefault="00FF6E56" w:rsidP="0070603A">
            <w:pPr>
              <w:pStyle w:val="ListParagraph"/>
              <w:numPr>
                <w:ilvl w:val="0"/>
                <w:numId w:val="50"/>
              </w:numPr>
              <w:spacing w:after="0"/>
              <w:ind w:left="316" w:hanging="316"/>
              <w:rPr>
                <w:rFonts w:ascii="Arial" w:hAnsi="Arial" w:cs="Arial"/>
              </w:rPr>
            </w:pPr>
            <w:r w:rsidRPr="00587DF1">
              <w:rPr>
                <w:rFonts w:ascii="Arial" w:hAnsi="Arial" w:cs="Arial"/>
                <w:b/>
                <w:i/>
                <w:color w:val="FF0000"/>
              </w:rPr>
              <w:t>Variant</w:t>
            </w:r>
            <w:r w:rsidRPr="00587DF1">
              <w:rPr>
                <w:rFonts w:ascii="Arial" w:hAnsi="Arial" w:cs="Arial"/>
                <w:color w:val="FF0000"/>
              </w:rPr>
              <w:t xml:space="preserve"> </w:t>
            </w:r>
            <w:r>
              <w:rPr>
                <w:rFonts w:ascii="Arial" w:hAnsi="Arial" w:cs="Arial"/>
              </w:rPr>
              <w:t>– Move</w:t>
            </w:r>
            <w:r w:rsidRPr="00587DF1">
              <w:rPr>
                <w:rFonts w:ascii="Arial" w:hAnsi="Arial" w:cs="Arial"/>
              </w:rPr>
              <w:t xml:space="preserve"> to St Pancras </w:t>
            </w:r>
            <w:r>
              <w:rPr>
                <w:rFonts w:ascii="Arial" w:hAnsi="Arial" w:cs="Arial"/>
              </w:rPr>
              <w:t xml:space="preserve">- </w:t>
            </w:r>
            <w:r w:rsidRPr="00587DF1">
              <w:rPr>
                <w:rFonts w:ascii="Arial" w:hAnsi="Arial" w:cs="Arial"/>
              </w:rPr>
              <w:t>43,000sqm</w:t>
            </w:r>
            <w:r>
              <w:rPr>
                <w:rFonts w:ascii="Arial" w:hAnsi="Arial" w:cs="Arial"/>
              </w:rPr>
              <w:t xml:space="preserve"> new build</w:t>
            </w:r>
            <w:r w:rsidRPr="00587DF1">
              <w:rPr>
                <w:rFonts w:ascii="Arial" w:hAnsi="Arial" w:cs="Arial"/>
              </w:rPr>
              <w:t xml:space="preserve">, </w:t>
            </w:r>
            <w:r>
              <w:rPr>
                <w:rFonts w:ascii="Arial" w:hAnsi="Arial" w:cs="Arial"/>
              </w:rPr>
              <w:t xml:space="preserve">enabling </w:t>
            </w:r>
            <w:r w:rsidRPr="00587DF1">
              <w:rPr>
                <w:rFonts w:ascii="Arial" w:hAnsi="Arial" w:cs="Arial"/>
              </w:rPr>
              <w:t xml:space="preserve">commercial opportunities to be </w:t>
            </w:r>
            <w:r>
              <w:rPr>
                <w:rFonts w:ascii="Arial" w:hAnsi="Arial" w:cs="Arial"/>
              </w:rPr>
              <w:t>pursued</w:t>
            </w:r>
            <w:r w:rsidRPr="00587DF1">
              <w:rPr>
                <w:rFonts w:ascii="Arial" w:hAnsi="Arial" w:cs="Arial"/>
              </w:rPr>
              <w:t xml:space="preserve">. </w:t>
            </w:r>
          </w:p>
        </w:tc>
        <w:tc>
          <w:tcPr>
            <w:tcW w:w="2694" w:type="dxa"/>
          </w:tcPr>
          <w:p w14:paraId="726A1FB3" w14:textId="77777777" w:rsidR="00FF6E56" w:rsidRPr="00587DF1" w:rsidRDefault="00FF6E56" w:rsidP="0070603A">
            <w:pPr>
              <w:spacing w:after="0"/>
              <w:rPr>
                <w:rFonts w:ascii="Arial" w:hAnsi="Arial" w:cs="Arial"/>
              </w:rPr>
            </w:pPr>
          </w:p>
          <w:p w14:paraId="6C4F1D92" w14:textId="77777777" w:rsidR="00FF6E56" w:rsidRPr="00587DF1" w:rsidRDefault="00FF6E56" w:rsidP="0070603A">
            <w:pPr>
              <w:spacing w:after="0"/>
              <w:rPr>
                <w:rFonts w:ascii="Arial" w:hAnsi="Arial" w:cs="Arial"/>
              </w:rPr>
            </w:pPr>
          </w:p>
          <w:p w14:paraId="322E5A82" w14:textId="77777777" w:rsidR="00FF6E56" w:rsidRPr="00587DF1" w:rsidRDefault="00FF6E56" w:rsidP="0070603A">
            <w:pPr>
              <w:spacing w:after="0"/>
              <w:rPr>
                <w:rFonts w:ascii="Arial" w:hAnsi="Arial" w:cs="Arial"/>
              </w:rPr>
            </w:pPr>
          </w:p>
          <w:p w14:paraId="3752F96E" w14:textId="77777777" w:rsidR="00FF6E56" w:rsidRPr="00587DF1" w:rsidRDefault="00FF6E56" w:rsidP="0070603A">
            <w:pPr>
              <w:spacing w:after="0"/>
              <w:rPr>
                <w:rFonts w:ascii="Arial" w:hAnsi="Arial" w:cs="Arial"/>
              </w:rPr>
            </w:pPr>
          </w:p>
          <w:p w14:paraId="0537C064" w14:textId="77777777" w:rsidR="00FF6E56" w:rsidRPr="00587DF1" w:rsidRDefault="00FF6E56" w:rsidP="0070603A">
            <w:pPr>
              <w:spacing w:after="0"/>
              <w:rPr>
                <w:rFonts w:ascii="Arial" w:hAnsi="Arial" w:cs="Arial"/>
              </w:rPr>
            </w:pPr>
          </w:p>
          <w:p w14:paraId="46DC5E1F" w14:textId="77777777" w:rsidR="00FF6E56" w:rsidRDefault="00FF6E56" w:rsidP="0070603A">
            <w:pPr>
              <w:spacing w:after="0"/>
              <w:rPr>
                <w:rFonts w:ascii="Arial" w:hAnsi="Arial" w:cs="Arial"/>
              </w:rPr>
            </w:pPr>
          </w:p>
          <w:p w14:paraId="0F13A208" w14:textId="77777777" w:rsidR="00FF6E56" w:rsidRPr="00587DF1" w:rsidRDefault="00FF6E56" w:rsidP="0070603A">
            <w:pPr>
              <w:spacing w:after="0"/>
              <w:rPr>
                <w:rFonts w:ascii="Arial" w:hAnsi="Arial" w:cs="Arial"/>
              </w:rPr>
            </w:pPr>
            <w:r w:rsidRPr="00587DF1">
              <w:rPr>
                <w:rFonts w:ascii="Arial" w:hAnsi="Arial" w:cs="Arial"/>
              </w:rPr>
              <w:t>The variant option introduced in the OBC as a shortlisted option - only possible if t</w:t>
            </w:r>
            <w:r>
              <w:rPr>
                <w:rFonts w:ascii="Arial" w:hAnsi="Arial" w:cs="Arial"/>
              </w:rPr>
              <w:t xml:space="preserve">he funding exists to support it as not </w:t>
            </w:r>
            <w:r>
              <w:rPr>
                <w:rFonts w:ascii="Arial" w:hAnsi="Arial" w:cs="Arial"/>
              </w:rPr>
              <w:lastRenderedPageBreak/>
              <w:t>affordable under current budget assumptions.</w:t>
            </w:r>
            <w:r w:rsidRPr="00587DF1">
              <w:rPr>
                <w:rFonts w:ascii="Arial" w:hAnsi="Arial" w:cs="Arial"/>
              </w:rPr>
              <w:t xml:space="preserve"> </w:t>
            </w:r>
          </w:p>
        </w:tc>
      </w:tr>
    </w:tbl>
    <w:p w14:paraId="34446AC6" w14:textId="77777777" w:rsidR="00FF6E56" w:rsidRPr="00587DF1" w:rsidRDefault="00FF6E56" w:rsidP="00FF6E56">
      <w:pPr>
        <w:pBdr>
          <w:top w:val="nil"/>
          <w:left w:val="nil"/>
          <w:bottom w:val="nil"/>
          <w:right w:val="nil"/>
          <w:between w:val="nil"/>
        </w:pBdr>
        <w:tabs>
          <w:tab w:val="left" w:pos="567"/>
        </w:tabs>
        <w:rPr>
          <w:rFonts w:ascii="Arial" w:eastAsia="Arial" w:hAnsi="Arial" w:cs="Arial"/>
          <w:bCs/>
          <w:color w:val="000000"/>
        </w:rPr>
      </w:pPr>
    </w:p>
    <w:p w14:paraId="3FC0ECCB" w14:textId="77777777" w:rsidR="00FF6E56" w:rsidRDefault="00FF6E56" w:rsidP="00FF6E56">
      <w:pPr>
        <w:pStyle w:val="Heading2"/>
        <w:numPr>
          <w:ilvl w:val="1"/>
          <w:numId w:val="1"/>
        </w:numPr>
        <w:rPr>
          <w:rFonts w:ascii="Arial" w:eastAsia="Arial" w:hAnsi="Arial" w:cs="Arial"/>
        </w:rPr>
      </w:pPr>
      <w:bookmarkStart w:id="197" w:name="_Ref30415201"/>
      <w:bookmarkStart w:id="198" w:name="_Toc32842710"/>
      <w:r w:rsidRPr="00587DF1">
        <w:rPr>
          <w:rFonts w:ascii="Arial" w:eastAsia="Arial" w:hAnsi="Arial" w:cs="Arial"/>
        </w:rPr>
        <w:t>Economic appraisal</w:t>
      </w:r>
      <w:bookmarkEnd w:id="194"/>
      <w:bookmarkEnd w:id="195"/>
      <w:r w:rsidRPr="00587DF1">
        <w:rPr>
          <w:rFonts w:ascii="Arial" w:eastAsia="Arial" w:hAnsi="Arial" w:cs="Arial"/>
        </w:rPr>
        <w:t xml:space="preserve"> of shortlisted options</w:t>
      </w:r>
      <w:bookmarkEnd w:id="197"/>
      <w:bookmarkEnd w:id="198"/>
    </w:p>
    <w:p w14:paraId="674910CB" w14:textId="77777777" w:rsidR="00FF6E56" w:rsidRPr="00A8221D" w:rsidRDefault="00FF6E56" w:rsidP="00FF6E56">
      <w:pPr>
        <w:spacing w:after="0"/>
      </w:pPr>
    </w:p>
    <w:p w14:paraId="79162EE8" w14:textId="77777777" w:rsidR="00FF6E56" w:rsidRDefault="00FF6E56" w:rsidP="00FF6E56">
      <w:p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An e</w:t>
      </w:r>
      <w:r w:rsidRPr="00587DF1">
        <w:rPr>
          <w:rFonts w:ascii="Arial" w:eastAsia="Arial" w:hAnsi="Arial" w:cs="Arial"/>
          <w:bCs/>
          <w:color w:val="000000"/>
        </w:rPr>
        <w:t xml:space="preserve">conomic appraisal of the shortlisted options has been conducted using the </w:t>
      </w:r>
      <w:r>
        <w:rPr>
          <w:rFonts w:ascii="Arial" w:eastAsia="Arial" w:hAnsi="Arial" w:cs="Arial"/>
          <w:bCs/>
          <w:color w:val="000000"/>
        </w:rPr>
        <w:t>DHSC</w:t>
      </w:r>
      <w:r w:rsidRPr="00587DF1">
        <w:rPr>
          <w:rFonts w:ascii="Arial" w:eastAsia="Arial" w:hAnsi="Arial" w:cs="Arial"/>
          <w:bCs/>
          <w:color w:val="000000"/>
        </w:rPr>
        <w:t xml:space="preserve"> C</w:t>
      </w:r>
      <w:r>
        <w:rPr>
          <w:rFonts w:ascii="Arial" w:eastAsia="Arial" w:hAnsi="Arial" w:cs="Arial"/>
          <w:bCs/>
          <w:color w:val="000000"/>
        </w:rPr>
        <w:t>omprehensive</w:t>
      </w:r>
      <w:r w:rsidRPr="00587DF1">
        <w:rPr>
          <w:rFonts w:ascii="Arial" w:eastAsia="Arial" w:hAnsi="Arial" w:cs="Arial"/>
          <w:bCs/>
          <w:color w:val="000000"/>
        </w:rPr>
        <w:t xml:space="preserve"> Investment Appraisal </w:t>
      </w:r>
      <w:r>
        <w:rPr>
          <w:rFonts w:ascii="Arial" w:eastAsia="Arial" w:hAnsi="Arial" w:cs="Arial"/>
          <w:bCs/>
          <w:color w:val="000000"/>
        </w:rPr>
        <w:t xml:space="preserve">(CIA) </w:t>
      </w:r>
      <w:r w:rsidRPr="00587DF1">
        <w:rPr>
          <w:rFonts w:ascii="Arial" w:eastAsia="Arial" w:hAnsi="Arial" w:cs="Arial"/>
          <w:bCs/>
          <w:color w:val="000000"/>
        </w:rPr>
        <w:t>Model</w:t>
      </w:r>
      <w:r>
        <w:rPr>
          <w:rFonts w:ascii="Arial" w:eastAsia="Arial" w:hAnsi="Arial" w:cs="Arial"/>
          <w:bCs/>
          <w:color w:val="000000"/>
        </w:rPr>
        <w:t>, in line with the HM Treasury Green Book</w:t>
      </w:r>
      <w:r w:rsidRPr="00587DF1">
        <w:rPr>
          <w:rFonts w:ascii="Arial" w:eastAsia="Arial" w:hAnsi="Arial" w:cs="Arial"/>
          <w:bCs/>
          <w:color w:val="000000"/>
        </w:rPr>
        <w:t>.</w:t>
      </w:r>
      <w:r>
        <w:rPr>
          <w:rFonts w:ascii="Arial" w:eastAsia="Arial" w:hAnsi="Arial" w:cs="Arial"/>
          <w:bCs/>
          <w:color w:val="000000"/>
        </w:rPr>
        <w:t xml:space="preserve"> This economic appraisal approach looks beyond an individual organisation and aims to consider instead the value of options to the UK as a whole – referred to </w:t>
      </w:r>
      <w:r w:rsidRPr="00B93414">
        <w:rPr>
          <w:rFonts w:ascii="Arial" w:eastAsia="Arial" w:hAnsi="Arial" w:cs="Arial"/>
          <w:bCs/>
          <w:color w:val="000000"/>
        </w:rPr>
        <w:t xml:space="preserve">as </w:t>
      </w:r>
      <w:r>
        <w:rPr>
          <w:rFonts w:ascii="Arial" w:eastAsia="Arial" w:hAnsi="Arial" w:cs="Arial"/>
          <w:bCs/>
          <w:color w:val="000000"/>
        </w:rPr>
        <w:t>‘</w:t>
      </w:r>
      <w:r w:rsidRPr="00B93414">
        <w:rPr>
          <w:rFonts w:ascii="Arial" w:eastAsia="Arial" w:hAnsi="Arial" w:cs="Arial"/>
          <w:bCs/>
          <w:color w:val="000000"/>
        </w:rPr>
        <w:t>social value</w:t>
      </w:r>
      <w:r>
        <w:rPr>
          <w:rFonts w:ascii="Arial" w:eastAsia="Arial" w:hAnsi="Arial" w:cs="Arial"/>
          <w:bCs/>
          <w:color w:val="000000"/>
        </w:rPr>
        <w:t>’.  Value is analysed into costs, benefits and risk.</w:t>
      </w:r>
    </w:p>
    <w:p w14:paraId="63128173" w14:textId="2D4D0F4F" w:rsidR="00FF6E56" w:rsidRDefault="00FF6E56" w:rsidP="00FF6E56">
      <w:pPr>
        <w:pBdr>
          <w:top w:val="nil"/>
          <w:left w:val="nil"/>
          <w:bottom w:val="nil"/>
          <w:right w:val="nil"/>
          <w:between w:val="nil"/>
        </w:pBdr>
        <w:tabs>
          <w:tab w:val="left" w:pos="567"/>
        </w:tabs>
        <w:rPr>
          <w:rFonts w:ascii="Arial" w:eastAsia="Arial" w:hAnsi="Arial" w:cs="Arial"/>
          <w:bCs/>
          <w:color w:val="000000"/>
        </w:rPr>
      </w:pPr>
      <w:r w:rsidRPr="000E08B9">
        <w:rPr>
          <w:rFonts w:ascii="Arial" w:eastAsia="Arial" w:hAnsi="Arial" w:cs="Arial"/>
          <w:bCs/>
          <w:color w:val="000000"/>
        </w:rPr>
        <w:fldChar w:fldCharType="begin"/>
      </w:r>
      <w:r w:rsidRPr="000E08B9">
        <w:rPr>
          <w:rFonts w:ascii="Arial" w:eastAsia="Arial" w:hAnsi="Arial" w:cs="Arial"/>
          <w:bCs/>
          <w:color w:val="000000"/>
        </w:rPr>
        <w:instrText xml:space="preserve"> REF _Ref30426012 \h </w:instrText>
      </w:r>
      <w:r>
        <w:rPr>
          <w:rFonts w:ascii="Arial" w:eastAsia="Arial" w:hAnsi="Arial" w:cs="Arial"/>
          <w:bCs/>
          <w:color w:val="000000"/>
        </w:rPr>
        <w:instrText xml:space="preserve"> \* MERGEFORMAT </w:instrText>
      </w:r>
      <w:r w:rsidRPr="000E08B9">
        <w:rPr>
          <w:rFonts w:ascii="Arial" w:eastAsia="Arial" w:hAnsi="Arial" w:cs="Arial"/>
          <w:bCs/>
          <w:color w:val="000000"/>
        </w:rPr>
      </w:r>
      <w:r w:rsidRPr="000E08B9">
        <w:rPr>
          <w:rFonts w:ascii="Arial" w:eastAsia="Arial" w:hAnsi="Arial" w:cs="Arial"/>
          <w:bCs/>
          <w:color w:val="000000"/>
        </w:rPr>
        <w:fldChar w:fldCharType="separate"/>
      </w:r>
      <w:r w:rsidR="00A936CD" w:rsidRPr="00A936CD">
        <w:rPr>
          <w:rFonts w:ascii="Arial" w:hAnsi="Arial" w:cs="Arial"/>
        </w:rPr>
        <w:t xml:space="preserve">Table </w:t>
      </w:r>
      <w:r w:rsidR="00A936CD" w:rsidRPr="00A936CD">
        <w:rPr>
          <w:rFonts w:ascii="Arial" w:hAnsi="Arial" w:cs="Arial"/>
          <w:noProof/>
        </w:rPr>
        <w:t>20</w:t>
      </w:r>
      <w:r w:rsidRPr="000E08B9">
        <w:rPr>
          <w:rFonts w:ascii="Arial" w:eastAsia="Arial" w:hAnsi="Arial" w:cs="Arial"/>
          <w:bCs/>
          <w:color w:val="000000"/>
        </w:rPr>
        <w:fldChar w:fldCharType="end"/>
      </w:r>
      <w:r w:rsidRPr="000E08B9">
        <w:rPr>
          <w:rFonts w:ascii="Arial" w:eastAsia="Arial" w:hAnsi="Arial" w:cs="Arial"/>
          <w:bCs/>
          <w:color w:val="000000"/>
        </w:rPr>
        <w:t xml:space="preserve"> shows the risk</w:t>
      </w:r>
      <w:r>
        <w:rPr>
          <w:rFonts w:ascii="Arial" w:eastAsia="Arial" w:hAnsi="Arial" w:cs="Arial"/>
          <w:bCs/>
          <w:color w:val="000000"/>
        </w:rPr>
        <w:t>-</w:t>
      </w:r>
      <w:r w:rsidRPr="000E08B9">
        <w:rPr>
          <w:rFonts w:ascii="Arial" w:eastAsia="Arial" w:hAnsi="Arial" w:cs="Arial"/>
          <w:bCs/>
          <w:color w:val="000000"/>
        </w:rPr>
        <w:t>adjusted Net Present Social Value (NPSV) for each shortlisted</w:t>
      </w:r>
      <w:r w:rsidRPr="00587DF1">
        <w:rPr>
          <w:rFonts w:ascii="Arial" w:eastAsia="Arial" w:hAnsi="Arial" w:cs="Arial"/>
          <w:bCs/>
          <w:color w:val="000000"/>
        </w:rPr>
        <w:t xml:space="preserve"> opti</w:t>
      </w:r>
      <w:r>
        <w:rPr>
          <w:rFonts w:ascii="Arial" w:eastAsia="Arial" w:hAnsi="Arial" w:cs="Arial"/>
          <w:bCs/>
          <w:color w:val="000000"/>
        </w:rPr>
        <w:t xml:space="preserve">on, and the benefit-cost ratio.  NPSV is the total social value (including all costs, benefits and risks for the option), adjusted to take into account the time-value of money (following Green Book rules on discounting).  The appraisal covers a 60 year period, considered to be the useful economic life of the asset.  All costs are uninflated with the base year as 2019/20. </w:t>
      </w:r>
    </w:p>
    <w:p w14:paraId="57FD0CB1" w14:textId="300B1658" w:rsidR="00FF6E56" w:rsidRPr="00960F58" w:rsidRDefault="00FF6E56" w:rsidP="00FF6E56">
      <w:pPr>
        <w:pBdr>
          <w:top w:val="nil"/>
          <w:left w:val="nil"/>
          <w:bottom w:val="nil"/>
          <w:right w:val="nil"/>
          <w:between w:val="nil"/>
        </w:pBdr>
        <w:tabs>
          <w:tab w:val="left" w:pos="567"/>
        </w:tabs>
        <w:rPr>
          <w:rFonts w:ascii="Arial" w:eastAsia="Arial" w:hAnsi="Arial" w:cs="Arial"/>
          <w:bCs/>
          <w:color w:val="000000"/>
        </w:rPr>
      </w:pPr>
      <w:r w:rsidRPr="000E08B9">
        <w:rPr>
          <w:rFonts w:ascii="Arial" w:eastAsia="Arial" w:hAnsi="Arial" w:cs="Arial"/>
          <w:bCs/>
          <w:color w:val="000000"/>
        </w:rPr>
        <w:t xml:space="preserve">As shown in </w:t>
      </w:r>
      <w:r w:rsidRPr="000E08B9">
        <w:rPr>
          <w:rFonts w:ascii="Arial" w:eastAsia="Arial" w:hAnsi="Arial" w:cs="Arial"/>
          <w:bCs/>
          <w:color w:val="000000"/>
        </w:rPr>
        <w:fldChar w:fldCharType="begin"/>
      </w:r>
      <w:r w:rsidRPr="000E08B9">
        <w:rPr>
          <w:rFonts w:ascii="Arial" w:eastAsia="Arial" w:hAnsi="Arial" w:cs="Arial"/>
          <w:bCs/>
          <w:color w:val="000000"/>
        </w:rPr>
        <w:instrText xml:space="preserve"> REF _Ref30426012 \h </w:instrText>
      </w:r>
      <w:r>
        <w:rPr>
          <w:rFonts w:ascii="Arial" w:eastAsia="Arial" w:hAnsi="Arial" w:cs="Arial"/>
          <w:bCs/>
          <w:color w:val="000000"/>
        </w:rPr>
        <w:instrText xml:space="preserve"> \* MERGEFORMAT </w:instrText>
      </w:r>
      <w:r w:rsidRPr="000E08B9">
        <w:rPr>
          <w:rFonts w:ascii="Arial" w:eastAsia="Arial" w:hAnsi="Arial" w:cs="Arial"/>
          <w:bCs/>
          <w:color w:val="000000"/>
        </w:rPr>
      </w:r>
      <w:r w:rsidRPr="000E08B9">
        <w:rPr>
          <w:rFonts w:ascii="Arial" w:eastAsia="Arial" w:hAnsi="Arial" w:cs="Arial"/>
          <w:bCs/>
          <w:color w:val="000000"/>
        </w:rPr>
        <w:fldChar w:fldCharType="separate"/>
      </w:r>
      <w:r w:rsidR="00A936CD" w:rsidRPr="00A936CD">
        <w:rPr>
          <w:rFonts w:ascii="Arial" w:hAnsi="Arial" w:cs="Arial"/>
        </w:rPr>
        <w:t xml:space="preserve">Table </w:t>
      </w:r>
      <w:r w:rsidR="00A936CD" w:rsidRPr="00A936CD">
        <w:rPr>
          <w:rFonts w:ascii="Arial" w:hAnsi="Arial" w:cs="Arial"/>
          <w:noProof/>
        </w:rPr>
        <w:t>20</w:t>
      </w:r>
      <w:r w:rsidRPr="000E08B9">
        <w:rPr>
          <w:rFonts w:ascii="Arial" w:eastAsia="Arial" w:hAnsi="Arial" w:cs="Arial"/>
          <w:bCs/>
          <w:color w:val="000000"/>
        </w:rPr>
        <w:fldChar w:fldCharType="end"/>
      </w:r>
      <w:r w:rsidRPr="000E08B9">
        <w:rPr>
          <w:rFonts w:ascii="Arial" w:eastAsia="Arial" w:hAnsi="Arial" w:cs="Arial"/>
          <w:bCs/>
          <w:color w:val="000000"/>
        </w:rPr>
        <w:t>, Options 3 and 4 have the highest incremental NPSV and benefit-cost</w:t>
      </w:r>
      <w:r>
        <w:rPr>
          <w:rFonts w:ascii="Arial" w:eastAsia="Arial" w:hAnsi="Arial" w:cs="Arial"/>
          <w:bCs/>
          <w:color w:val="000000"/>
        </w:rPr>
        <w:t xml:space="preserve"> ratio.  The underpinning assumptions are explained in further detail below.</w:t>
      </w:r>
    </w:p>
    <w:p w14:paraId="21DCBC11" w14:textId="101A9298" w:rsidR="00FF6E56" w:rsidRPr="000E08B9" w:rsidRDefault="00FF6E56" w:rsidP="00FF6E56">
      <w:pPr>
        <w:pStyle w:val="Caption"/>
        <w:jc w:val="both"/>
        <w:rPr>
          <w:b w:val="0"/>
          <w:bCs w:val="0"/>
        </w:rPr>
      </w:pPr>
      <w:bookmarkStart w:id="199" w:name="_Ref30426012"/>
      <w:r>
        <w:t xml:space="preserve">Table </w:t>
      </w:r>
      <w:r>
        <w:fldChar w:fldCharType="begin"/>
      </w:r>
      <w:r>
        <w:instrText xml:space="preserve"> SEQ Table \* ARABIC </w:instrText>
      </w:r>
      <w:r>
        <w:fldChar w:fldCharType="separate"/>
      </w:r>
      <w:r w:rsidR="00A936CD">
        <w:rPr>
          <w:noProof/>
        </w:rPr>
        <w:t>20</w:t>
      </w:r>
      <w:r>
        <w:fldChar w:fldCharType="end"/>
      </w:r>
      <w:bookmarkEnd w:id="199"/>
      <w:r>
        <w:t xml:space="preserve">: </w:t>
      </w:r>
      <w:r w:rsidRPr="000E08B9">
        <w:rPr>
          <w:b w:val="0"/>
          <w:bCs w:val="0"/>
        </w:rPr>
        <w:t>Risk adjusted NPSV and benefit</w:t>
      </w:r>
      <w:r>
        <w:rPr>
          <w:b w:val="0"/>
          <w:bCs w:val="0"/>
        </w:rPr>
        <w:t>-</w:t>
      </w:r>
      <w:r w:rsidRPr="000E08B9">
        <w:rPr>
          <w:b w:val="0"/>
          <w:bCs w:val="0"/>
        </w:rPr>
        <w:t>cost ratio of shortlisted options</w:t>
      </w:r>
    </w:p>
    <w:p w14:paraId="317D7493" w14:textId="77777777" w:rsidR="00AC38C4" w:rsidRDefault="00AC38C4" w:rsidP="00FF6E56">
      <w:pPr>
        <w:spacing w:before="120" w:after="0"/>
        <w:jc w:val="both"/>
        <w:rPr>
          <w:rFonts w:ascii="Arial" w:hAnsi="Arial" w:cs="Arial"/>
          <w:noProof/>
        </w:rPr>
      </w:pPr>
    </w:p>
    <w:p w14:paraId="2C27A2E1" w14:textId="42092FB1" w:rsidR="00FF6E56" w:rsidRDefault="00AC38C4" w:rsidP="00FF6E56">
      <w:pPr>
        <w:spacing w:before="120" w:after="0"/>
        <w:jc w:val="both"/>
        <w:rPr>
          <w:rFonts w:ascii="Arial" w:hAnsi="Arial" w:cs="Arial"/>
          <w:noProof/>
        </w:rPr>
      </w:pPr>
      <w:r>
        <w:rPr>
          <w:rFonts w:ascii="Arial" w:hAnsi="Arial" w:cs="Arial"/>
          <w:noProof/>
        </w:rPr>
        <w:t>[Redacted]</w:t>
      </w:r>
    </w:p>
    <w:p w14:paraId="1E5DBA6A" w14:textId="77777777" w:rsidR="00AC38C4" w:rsidRDefault="00AC38C4" w:rsidP="00FF6E56">
      <w:pPr>
        <w:spacing w:before="120" w:after="0"/>
        <w:jc w:val="both"/>
        <w:rPr>
          <w:rFonts w:ascii="Arial" w:hAnsi="Arial" w:cs="Arial"/>
          <w:noProof/>
        </w:rPr>
      </w:pPr>
    </w:p>
    <w:p w14:paraId="07A06F41" w14:textId="574C1F68" w:rsidR="00FF6E56" w:rsidRDefault="00FF6E56" w:rsidP="00FF6E56">
      <w:pPr>
        <w:spacing w:before="120" w:after="0"/>
        <w:jc w:val="both"/>
        <w:rPr>
          <w:rFonts w:ascii="Arial" w:hAnsi="Arial" w:cs="Arial"/>
          <w:noProof/>
        </w:rPr>
      </w:pPr>
      <w:r>
        <w:rPr>
          <w:rFonts w:ascii="Arial" w:hAnsi="Arial" w:cs="Arial"/>
          <w:noProof/>
        </w:rPr>
        <w:t>The following sections explain each of the headings above and the key assumptions made under these.</w:t>
      </w:r>
      <w:r w:rsidR="00880F3B">
        <w:rPr>
          <w:rFonts w:ascii="Arial" w:hAnsi="Arial" w:cs="Arial"/>
          <w:noProof/>
        </w:rPr>
        <w:t xml:space="preserve">  A further breakdown is provided in Appendix 4D.</w:t>
      </w:r>
    </w:p>
    <w:p w14:paraId="30D8B81A" w14:textId="4B15CEED" w:rsidR="00FF6E56" w:rsidRDefault="00FF6E56" w:rsidP="00FF6E56">
      <w:pPr>
        <w:spacing w:before="120" w:after="0"/>
        <w:jc w:val="both"/>
        <w:rPr>
          <w:rFonts w:ascii="Arial" w:hAnsi="Arial" w:cs="Arial"/>
          <w:noProof/>
        </w:rPr>
      </w:pPr>
    </w:p>
    <w:p w14:paraId="1EB0245B" w14:textId="02A7299F" w:rsidR="006A1C5A" w:rsidRDefault="006A1C5A">
      <w:pPr>
        <w:rPr>
          <w:rFonts w:ascii="Arial" w:hAnsi="Arial" w:cs="Arial"/>
          <w:noProof/>
        </w:rPr>
      </w:pPr>
      <w:r>
        <w:rPr>
          <w:rFonts w:ascii="Arial" w:hAnsi="Arial" w:cs="Arial"/>
          <w:noProof/>
        </w:rPr>
        <w:br w:type="page"/>
      </w:r>
    </w:p>
    <w:p w14:paraId="61F47D05" w14:textId="77777777" w:rsidR="009B15A1" w:rsidRDefault="009B15A1" w:rsidP="00FF6E56">
      <w:pPr>
        <w:spacing w:before="120" w:after="0"/>
        <w:jc w:val="both"/>
        <w:rPr>
          <w:rFonts w:ascii="Arial" w:hAnsi="Arial" w:cs="Arial"/>
          <w:noProof/>
        </w:rPr>
      </w:pPr>
    </w:p>
    <w:p w14:paraId="051B8CB9" w14:textId="77777777" w:rsidR="00FF6E56" w:rsidRPr="00FF6E56" w:rsidRDefault="00FF6E56" w:rsidP="00FF6E56">
      <w:pPr>
        <w:pStyle w:val="Heading2"/>
        <w:numPr>
          <w:ilvl w:val="2"/>
          <w:numId w:val="1"/>
        </w:numPr>
        <w:rPr>
          <w:rFonts w:ascii="Arial" w:eastAsia="Arial" w:hAnsi="Arial" w:cs="Arial"/>
          <w:color w:val="000000"/>
        </w:rPr>
      </w:pPr>
      <w:bookmarkStart w:id="200" w:name="_Toc30670704"/>
      <w:bookmarkStart w:id="201" w:name="_Toc32842711"/>
      <w:r w:rsidRPr="00FF6E56">
        <w:rPr>
          <w:rFonts w:ascii="Arial" w:eastAsia="Arial" w:hAnsi="Arial" w:cs="Arial"/>
          <w:color w:val="000000"/>
        </w:rPr>
        <w:t>Economic costs of shortlisted options</w:t>
      </w:r>
      <w:bookmarkEnd w:id="200"/>
      <w:bookmarkEnd w:id="201"/>
    </w:p>
    <w:p w14:paraId="0CF24F6E" w14:textId="77777777" w:rsidR="00FF6E56" w:rsidRDefault="00FF6E56" w:rsidP="00FF6E56">
      <w:pPr>
        <w:pBdr>
          <w:top w:val="nil"/>
          <w:left w:val="nil"/>
          <w:bottom w:val="nil"/>
          <w:right w:val="nil"/>
          <w:between w:val="nil"/>
        </w:pBdr>
        <w:tabs>
          <w:tab w:val="left" w:pos="567"/>
        </w:tabs>
        <w:spacing w:after="0"/>
        <w:rPr>
          <w:rFonts w:ascii="Arial" w:eastAsia="Arial" w:hAnsi="Arial" w:cs="Arial"/>
          <w:bCs/>
          <w:color w:val="000000"/>
        </w:rPr>
      </w:pPr>
    </w:p>
    <w:p w14:paraId="46DDE79B" w14:textId="77777777" w:rsidR="00FF6E56" w:rsidRPr="000E08B9" w:rsidRDefault="00FF6E56" w:rsidP="00FF6E56">
      <w:pPr>
        <w:pBdr>
          <w:top w:val="nil"/>
          <w:left w:val="nil"/>
          <w:bottom w:val="nil"/>
          <w:right w:val="nil"/>
          <w:between w:val="nil"/>
        </w:pBdr>
        <w:tabs>
          <w:tab w:val="left" w:pos="567"/>
        </w:tabs>
        <w:spacing w:after="0"/>
        <w:rPr>
          <w:rFonts w:ascii="Arial" w:eastAsia="Arial" w:hAnsi="Arial" w:cs="Arial"/>
          <w:b/>
          <w:color w:val="000000"/>
        </w:rPr>
      </w:pPr>
      <w:r w:rsidRPr="000E08B9">
        <w:rPr>
          <w:rFonts w:ascii="Arial" w:eastAsia="Arial" w:hAnsi="Arial" w:cs="Arial"/>
          <w:b/>
          <w:color w:val="000000"/>
        </w:rPr>
        <w:t>Opportunity costs</w:t>
      </w:r>
    </w:p>
    <w:p w14:paraId="4A0B0B70" w14:textId="77777777" w:rsidR="00FF6E56" w:rsidRDefault="00FF6E56" w:rsidP="00FF6E56">
      <w:pPr>
        <w:pStyle w:val="ListParagraph"/>
        <w:numPr>
          <w:ilvl w:val="0"/>
          <w:numId w:val="126"/>
        </w:numPr>
        <w:pBdr>
          <w:top w:val="nil"/>
          <w:left w:val="nil"/>
          <w:bottom w:val="nil"/>
          <w:right w:val="nil"/>
          <w:between w:val="nil"/>
        </w:pBdr>
        <w:tabs>
          <w:tab w:val="left" w:pos="567"/>
        </w:tabs>
        <w:ind w:left="567" w:hanging="207"/>
        <w:rPr>
          <w:rFonts w:ascii="Arial" w:eastAsia="Arial" w:hAnsi="Arial" w:cs="Arial"/>
          <w:bCs/>
          <w:color w:val="000000"/>
        </w:rPr>
      </w:pPr>
      <w:r w:rsidRPr="00D03F7F">
        <w:rPr>
          <w:rFonts w:ascii="Arial" w:eastAsia="Arial" w:hAnsi="Arial" w:cs="Arial"/>
          <w:bCs/>
          <w:color w:val="000000"/>
        </w:rPr>
        <w:t xml:space="preserve">There is an opportunity cost to continuing with City Road in its current use – this is demonstrated by the valuation of the site for private sector use by CBRE.  </w:t>
      </w:r>
    </w:p>
    <w:p w14:paraId="24C29145" w14:textId="77777777" w:rsidR="00FF6E56" w:rsidRDefault="00FF6E56" w:rsidP="00FF6E56">
      <w:pPr>
        <w:pStyle w:val="ListParagraph"/>
        <w:numPr>
          <w:ilvl w:val="0"/>
          <w:numId w:val="126"/>
        </w:numPr>
        <w:pBdr>
          <w:top w:val="nil"/>
          <w:left w:val="nil"/>
          <w:bottom w:val="nil"/>
          <w:right w:val="nil"/>
          <w:between w:val="nil"/>
        </w:pBdr>
        <w:tabs>
          <w:tab w:val="left" w:pos="567"/>
        </w:tabs>
        <w:ind w:left="567" w:hanging="207"/>
        <w:rPr>
          <w:rFonts w:ascii="Arial" w:eastAsia="Arial" w:hAnsi="Arial" w:cs="Arial"/>
          <w:bCs/>
          <w:color w:val="000000"/>
        </w:rPr>
      </w:pPr>
      <w:r w:rsidRPr="00D03F7F">
        <w:rPr>
          <w:rFonts w:ascii="Arial" w:eastAsia="Arial" w:hAnsi="Arial" w:cs="Arial"/>
          <w:bCs/>
          <w:color w:val="000000"/>
        </w:rPr>
        <w:t>This is included as a cost in the BAU (</w:t>
      </w:r>
      <w:r>
        <w:rPr>
          <w:rFonts w:ascii="Arial" w:eastAsia="Arial" w:hAnsi="Arial" w:cs="Arial"/>
          <w:bCs/>
          <w:color w:val="000000"/>
        </w:rPr>
        <w:t>O</w:t>
      </w:r>
      <w:r w:rsidRPr="00D03F7F">
        <w:rPr>
          <w:rFonts w:ascii="Arial" w:eastAsia="Arial" w:hAnsi="Arial" w:cs="Arial"/>
          <w:bCs/>
          <w:color w:val="000000"/>
        </w:rPr>
        <w:t xml:space="preserve">ption 0), Do Minimum (Option 1) and Redevelopment of City Road (Option 2) where City Road is retained.  </w:t>
      </w:r>
    </w:p>
    <w:p w14:paraId="574BC5C7" w14:textId="77777777" w:rsidR="00FF6E56" w:rsidRPr="00D03F7F" w:rsidRDefault="00FF6E56" w:rsidP="00FF6E56">
      <w:pPr>
        <w:pStyle w:val="ListParagraph"/>
        <w:numPr>
          <w:ilvl w:val="0"/>
          <w:numId w:val="126"/>
        </w:numPr>
        <w:pBdr>
          <w:top w:val="nil"/>
          <w:left w:val="nil"/>
          <w:bottom w:val="nil"/>
          <w:right w:val="nil"/>
          <w:between w:val="nil"/>
        </w:pBdr>
        <w:tabs>
          <w:tab w:val="left" w:pos="567"/>
        </w:tabs>
        <w:ind w:left="567" w:hanging="207"/>
        <w:rPr>
          <w:rFonts w:ascii="Arial" w:eastAsia="Arial" w:hAnsi="Arial" w:cs="Arial"/>
          <w:bCs/>
          <w:color w:val="000000"/>
        </w:rPr>
      </w:pPr>
      <w:r w:rsidRPr="00D03F7F">
        <w:rPr>
          <w:rFonts w:ascii="Arial" w:eastAsia="Arial" w:hAnsi="Arial" w:cs="Arial"/>
          <w:bCs/>
          <w:color w:val="000000"/>
        </w:rPr>
        <w:t xml:space="preserve">In </w:t>
      </w:r>
      <w:r>
        <w:rPr>
          <w:rFonts w:ascii="Arial" w:eastAsia="Arial" w:hAnsi="Arial" w:cs="Arial"/>
          <w:bCs/>
          <w:color w:val="000000"/>
        </w:rPr>
        <w:t>O</w:t>
      </w:r>
      <w:r w:rsidRPr="00D03F7F">
        <w:rPr>
          <w:rFonts w:ascii="Arial" w:eastAsia="Arial" w:hAnsi="Arial" w:cs="Arial"/>
          <w:bCs/>
          <w:color w:val="000000"/>
        </w:rPr>
        <w:t>ptions 3 and 4, where City Road is sold and land on the St Pancras site is utilised instead, no opportunity cost is included, which represents an incremental benefit in these options compared to BAU.</w:t>
      </w:r>
    </w:p>
    <w:p w14:paraId="10EF4899" w14:textId="77777777" w:rsidR="00FF6E56" w:rsidRPr="000E08B9" w:rsidRDefault="00FF6E56" w:rsidP="00FF6E56">
      <w:pPr>
        <w:pBdr>
          <w:top w:val="nil"/>
          <w:left w:val="nil"/>
          <w:bottom w:val="nil"/>
          <w:right w:val="nil"/>
          <w:between w:val="nil"/>
        </w:pBdr>
        <w:tabs>
          <w:tab w:val="left" w:pos="567"/>
        </w:tabs>
        <w:spacing w:after="0"/>
        <w:rPr>
          <w:rFonts w:ascii="Arial" w:eastAsia="Arial" w:hAnsi="Arial" w:cs="Arial"/>
          <w:b/>
          <w:color w:val="000000"/>
        </w:rPr>
      </w:pPr>
      <w:r w:rsidRPr="000E08B9">
        <w:rPr>
          <w:rFonts w:ascii="Arial" w:eastAsia="Arial" w:hAnsi="Arial" w:cs="Arial"/>
          <w:b/>
          <w:color w:val="000000"/>
        </w:rPr>
        <w:t>BAU capex</w:t>
      </w:r>
    </w:p>
    <w:p w14:paraId="46C0DF3D" w14:textId="00D32AAB" w:rsidR="00FF6E56" w:rsidRDefault="00FF6E56" w:rsidP="00FF6E56">
      <w:pPr>
        <w:pStyle w:val="ListParagraph"/>
        <w:numPr>
          <w:ilvl w:val="0"/>
          <w:numId w:val="125"/>
        </w:numPr>
        <w:pBdr>
          <w:top w:val="nil"/>
          <w:left w:val="nil"/>
          <w:bottom w:val="nil"/>
          <w:right w:val="nil"/>
          <w:between w:val="nil"/>
        </w:pBdr>
        <w:tabs>
          <w:tab w:val="left" w:pos="567"/>
        </w:tabs>
        <w:ind w:left="567" w:hanging="207"/>
        <w:rPr>
          <w:rFonts w:ascii="Arial" w:eastAsia="Arial" w:hAnsi="Arial" w:cs="Arial"/>
          <w:bCs/>
          <w:color w:val="000000"/>
        </w:rPr>
      </w:pPr>
      <w:r w:rsidRPr="00F46284">
        <w:rPr>
          <w:rFonts w:ascii="Arial" w:eastAsia="Arial" w:hAnsi="Arial" w:cs="Arial"/>
          <w:bCs/>
          <w:color w:val="000000"/>
        </w:rPr>
        <w:t>A level of business</w:t>
      </w:r>
      <w:r w:rsidR="009300D3">
        <w:rPr>
          <w:rFonts w:ascii="Arial" w:eastAsia="Arial" w:hAnsi="Arial" w:cs="Arial"/>
          <w:bCs/>
          <w:color w:val="000000"/>
        </w:rPr>
        <w:t xml:space="preserve"> </w:t>
      </w:r>
      <w:r w:rsidRPr="00F46284">
        <w:rPr>
          <w:rFonts w:ascii="Arial" w:eastAsia="Arial" w:hAnsi="Arial" w:cs="Arial"/>
          <w:bCs/>
          <w:color w:val="000000"/>
        </w:rPr>
        <w:t>as</w:t>
      </w:r>
      <w:r w:rsidR="009300D3">
        <w:rPr>
          <w:rFonts w:ascii="Arial" w:eastAsia="Arial" w:hAnsi="Arial" w:cs="Arial"/>
          <w:bCs/>
          <w:color w:val="000000"/>
        </w:rPr>
        <w:t xml:space="preserve"> </w:t>
      </w:r>
      <w:r w:rsidRPr="00F46284">
        <w:rPr>
          <w:rFonts w:ascii="Arial" w:eastAsia="Arial" w:hAnsi="Arial" w:cs="Arial"/>
          <w:bCs/>
          <w:color w:val="000000"/>
        </w:rPr>
        <w:t xml:space="preserve">usual capex is required in addition to construction related capex. This is to cover costs on network sites and for equipment costs across all sites. </w:t>
      </w:r>
    </w:p>
    <w:p w14:paraId="7040EFD7" w14:textId="757780B3" w:rsidR="00FF6E56" w:rsidRDefault="00FF6E56" w:rsidP="00FF6E56">
      <w:pPr>
        <w:pStyle w:val="ListParagraph"/>
        <w:numPr>
          <w:ilvl w:val="0"/>
          <w:numId w:val="125"/>
        </w:numPr>
        <w:pBdr>
          <w:top w:val="nil"/>
          <w:left w:val="nil"/>
          <w:bottom w:val="nil"/>
          <w:right w:val="nil"/>
          <w:between w:val="nil"/>
        </w:pBdr>
        <w:tabs>
          <w:tab w:val="left" w:pos="567"/>
        </w:tabs>
        <w:ind w:left="567" w:hanging="207"/>
        <w:rPr>
          <w:rFonts w:ascii="Arial" w:eastAsia="Arial" w:hAnsi="Arial" w:cs="Arial"/>
          <w:bCs/>
          <w:color w:val="000000"/>
        </w:rPr>
      </w:pPr>
      <w:r w:rsidRPr="00F46284">
        <w:rPr>
          <w:rFonts w:ascii="Arial" w:eastAsia="Arial" w:hAnsi="Arial" w:cs="Arial"/>
          <w:bCs/>
          <w:color w:val="000000"/>
        </w:rPr>
        <w:t xml:space="preserve">In </w:t>
      </w:r>
      <w:r>
        <w:rPr>
          <w:rFonts w:ascii="Arial" w:eastAsia="Arial" w:hAnsi="Arial" w:cs="Arial"/>
          <w:bCs/>
          <w:color w:val="000000"/>
        </w:rPr>
        <w:t>O</w:t>
      </w:r>
      <w:r w:rsidRPr="00F46284">
        <w:rPr>
          <w:rFonts w:ascii="Arial" w:eastAsia="Arial" w:hAnsi="Arial" w:cs="Arial"/>
          <w:bCs/>
          <w:color w:val="000000"/>
        </w:rPr>
        <w:t>ption 0, BAU capex is held at underlying historical maintenance rates of c.£</w:t>
      </w:r>
      <w:r w:rsidR="002B2926">
        <w:rPr>
          <w:rFonts w:ascii="Arial" w:eastAsia="Arial" w:hAnsi="Arial" w:cs="Arial"/>
          <w:bCs/>
          <w:color w:val="000000"/>
        </w:rPr>
        <w:t>XXX</w:t>
      </w:r>
      <w:r w:rsidRPr="00F46284">
        <w:rPr>
          <w:rFonts w:ascii="Arial" w:eastAsia="Arial" w:hAnsi="Arial" w:cs="Arial"/>
          <w:bCs/>
          <w:color w:val="000000"/>
        </w:rPr>
        <w:t>m per annum</w:t>
      </w:r>
      <w:r>
        <w:rPr>
          <w:rFonts w:ascii="Arial" w:eastAsia="Arial" w:hAnsi="Arial" w:cs="Arial"/>
          <w:bCs/>
          <w:color w:val="000000"/>
        </w:rPr>
        <w:t>.</w:t>
      </w:r>
    </w:p>
    <w:p w14:paraId="063DEC4B" w14:textId="77777777" w:rsidR="00FF6E56" w:rsidRDefault="00FF6E56" w:rsidP="00FF6E56">
      <w:pPr>
        <w:pStyle w:val="ListParagraph"/>
        <w:numPr>
          <w:ilvl w:val="0"/>
          <w:numId w:val="125"/>
        </w:numPr>
        <w:pBdr>
          <w:top w:val="nil"/>
          <w:left w:val="nil"/>
          <w:bottom w:val="nil"/>
          <w:right w:val="nil"/>
          <w:between w:val="nil"/>
        </w:pBdr>
        <w:tabs>
          <w:tab w:val="left" w:pos="567"/>
        </w:tabs>
        <w:ind w:left="567" w:hanging="207"/>
        <w:rPr>
          <w:rFonts w:ascii="Arial" w:eastAsia="Arial" w:hAnsi="Arial" w:cs="Arial"/>
          <w:bCs/>
          <w:color w:val="000000"/>
        </w:rPr>
      </w:pPr>
      <w:r w:rsidRPr="00F46284">
        <w:rPr>
          <w:rFonts w:ascii="Arial" w:eastAsia="Arial" w:hAnsi="Arial" w:cs="Arial"/>
          <w:bCs/>
          <w:color w:val="000000"/>
        </w:rPr>
        <w:t xml:space="preserve">In </w:t>
      </w:r>
      <w:r>
        <w:rPr>
          <w:rFonts w:ascii="Arial" w:eastAsia="Arial" w:hAnsi="Arial" w:cs="Arial"/>
          <w:bCs/>
          <w:color w:val="000000"/>
        </w:rPr>
        <w:t>O</w:t>
      </w:r>
      <w:r w:rsidRPr="00F46284">
        <w:rPr>
          <w:rFonts w:ascii="Arial" w:eastAsia="Arial" w:hAnsi="Arial" w:cs="Arial"/>
          <w:bCs/>
          <w:color w:val="000000"/>
        </w:rPr>
        <w:t xml:space="preserve">ption 1, the element related to building maintenance on City Road is reduced, as this is covered instead by the increased investment to address impending backlog and subsequent lifecycle costs.  </w:t>
      </w:r>
    </w:p>
    <w:p w14:paraId="109E9CFD" w14:textId="1C664341" w:rsidR="00FF6E56" w:rsidRPr="00F46284" w:rsidRDefault="00FF6E56" w:rsidP="00FF6E56">
      <w:pPr>
        <w:pStyle w:val="ListParagraph"/>
        <w:numPr>
          <w:ilvl w:val="0"/>
          <w:numId w:val="125"/>
        </w:numPr>
        <w:pBdr>
          <w:top w:val="nil"/>
          <w:left w:val="nil"/>
          <w:bottom w:val="nil"/>
          <w:right w:val="nil"/>
          <w:between w:val="nil"/>
        </w:pBdr>
        <w:tabs>
          <w:tab w:val="left" w:pos="567"/>
        </w:tabs>
        <w:ind w:left="567" w:hanging="207"/>
        <w:rPr>
          <w:rFonts w:ascii="Arial" w:eastAsia="Arial" w:hAnsi="Arial" w:cs="Arial"/>
          <w:bCs/>
          <w:color w:val="000000"/>
        </w:rPr>
      </w:pPr>
      <w:r>
        <w:rPr>
          <w:rFonts w:ascii="Arial" w:eastAsia="Arial" w:hAnsi="Arial" w:cs="Arial"/>
          <w:bCs/>
          <w:color w:val="000000"/>
        </w:rPr>
        <w:t>O</w:t>
      </w:r>
      <w:r w:rsidRPr="00F46284">
        <w:rPr>
          <w:rFonts w:ascii="Arial" w:eastAsia="Arial" w:hAnsi="Arial" w:cs="Arial"/>
          <w:bCs/>
          <w:color w:val="000000"/>
        </w:rPr>
        <w:t>ption</w:t>
      </w:r>
      <w:r>
        <w:rPr>
          <w:rFonts w:ascii="Arial" w:eastAsia="Arial" w:hAnsi="Arial" w:cs="Arial"/>
          <w:bCs/>
          <w:color w:val="000000"/>
        </w:rPr>
        <w:t>s</w:t>
      </w:r>
      <w:r w:rsidRPr="00F46284">
        <w:rPr>
          <w:rFonts w:ascii="Arial" w:eastAsia="Arial" w:hAnsi="Arial" w:cs="Arial"/>
          <w:bCs/>
          <w:color w:val="000000"/>
        </w:rPr>
        <w:t xml:space="preserve"> 2, 3 and 4 </w:t>
      </w:r>
      <w:r>
        <w:rPr>
          <w:rFonts w:ascii="Arial" w:eastAsia="Arial" w:hAnsi="Arial" w:cs="Arial"/>
          <w:bCs/>
          <w:color w:val="000000"/>
        </w:rPr>
        <w:t xml:space="preserve">each include a significant capital investment to develop a new facility and the costing of this includes significant investment in IT and equipment.  For this reason, these options </w:t>
      </w:r>
      <w:r w:rsidR="00702F20">
        <w:rPr>
          <w:rFonts w:ascii="Arial" w:eastAsia="Arial" w:hAnsi="Arial" w:cs="Arial"/>
          <w:bCs/>
          <w:color w:val="000000"/>
        </w:rPr>
        <w:t xml:space="preserve">include a reduction in BAU </w:t>
      </w:r>
      <w:r>
        <w:rPr>
          <w:rFonts w:ascii="Arial" w:eastAsia="Arial" w:hAnsi="Arial" w:cs="Arial"/>
          <w:bCs/>
          <w:color w:val="000000"/>
        </w:rPr>
        <w:t>capex around the time of this investment (the capex of the investment is included within ‘design and construction’ capex).</w:t>
      </w:r>
    </w:p>
    <w:p w14:paraId="2FF9620A" w14:textId="77777777" w:rsidR="00FF6E56" w:rsidRPr="000E08B9" w:rsidRDefault="00FF6E56" w:rsidP="00FF6E56">
      <w:pPr>
        <w:pBdr>
          <w:top w:val="nil"/>
          <w:left w:val="nil"/>
          <w:bottom w:val="nil"/>
          <w:right w:val="nil"/>
          <w:between w:val="nil"/>
        </w:pBdr>
        <w:tabs>
          <w:tab w:val="left" w:pos="567"/>
        </w:tabs>
        <w:spacing w:after="0"/>
        <w:rPr>
          <w:rFonts w:ascii="Arial" w:eastAsia="Arial" w:hAnsi="Arial" w:cs="Arial"/>
          <w:b/>
          <w:color w:val="000000"/>
        </w:rPr>
      </w:pPr>
      <w:r w:rsidRPr="000E08B9">
        <w:rPr>
          <w:rFonts w:ascii="Arial" w:eastAsia="Arial" w:hAnsi="Arial" w:cs="Arial"/>
          <w:b/>
          <w:color w:val="000000"/>
        </w:rPr>
        <w:t>Design and construction capex (incl equipment)</w:t>
      </w:r>
    </w:p>
    <w:p w14:paraId="0D32E218" w14:textId="30C5C9B0" w:rsidR="00FF6E56" w:rsidRPr="00190CD0" w:rsidRDefault="00FF6E56" w:rsidP="00FF6E56">
      <w:pPr>
        <w:pStyle w:val="ListParagraph"/>
        <w:numPr>
          <w:ilvl w:val="0"/>
          <w:numId w:val="127"/>
        </w:numPr>
        <w:pBdr>
          <w:top w:val="nil"/>
          <w:left w:val="nil"/>
          <w:bottom w:val="nil"/>
          <w:right w:val="nil"/>
          <w:between w:val="nil"/>
        </w:pBdr>
        <w:tabs>
          <w:tab w:val="left" w:pos="567"/>
        </w:tabs>
        <w:ind w:left="567" w:hanging="207"/>
        <w:rPr>
          <w:rFonts w:ascii="Arial" w:eastAsia="Arial" w:hAnsi="Arial" w:cs="Arial"/>
          <w:bCs/>
          <w:color w:val="FF0000"/>
        </w:rPr>
      </w:pPr>
      <w:r w:rsidRPr="00D03F7F">
        <w:rPr>
          <w:rFonts w:ascii="Arial" w:eastAsia="Arial" w:hAnsi="Arial" w:cs="Arial"/>
          <w:bCs/>
          <w:color w:val="000000"/>
        </w:rPr>
        <w:t>The costs included here for each option are those as assessed by Gardiner and Theobald (G&amp;T) as the quantity surveyors for the project.  These costs are based on</w:t>
      </w:r>
      <w:r>
        <w:rPr>
          <w:rFonts w:ascii="Arial" w:eastAsia="Arial" w:hAnsi="Arial" w:cs="Arial"/>
          <w:bCs/>
          <w:color w:val="000000"/>
        </w:rPr>
        <w:t xml:space="preserve"> the</w:t>
      </w:r>
      <w:r w:rsidRPr="00D03F7F">
        <w:rPr>
          <w:rFonts w:ascii="Arial" w:eastAsia="Arial" w:hAnsi="Arial" w:cs="Arial"/>
          <w:bCs/>
          <w:color w:val="000000"/>
        </w:rPr>
        <w:t xml:space="preserve"> RIBA </w:t>
      </w:r>
      <w:r>
        <w:rPr>
          <w:rFonts w:ascii="Arial" w:eastAsia="Arial" w:hAnsi="Arial" w:cs="Arial"/>
          <w:bCs/>
          <w:color w:val="000000"/>
        </w:rPr>
        <w:t>S</w:t>
      </w:r>
      <w:r w:rsidRPr="00D03F7F">
        <w:rPr>
          <w:rFonts w:ascii="Arial" w:eastAsia="Arial" w:hAnsi="Arial" w:cs="Arial"/>
          <w:bCs/>
          <w:color w:val="000000"/>
        </w:rPr>
        <w:t>tage 1 design</w:t>
      </w:r>
      <w:r w:rsidR="00702F20">
        <w:rPr>
          <w:rFonts w:ascii="Arial" w:eastAsia="Arial" w:hAnsi="Arial" w:cs="Arial"/>
          <w:bCs/>
          <w:color w:val="000000"/>
        </w:rPr>
        <w:t xml:space="preserve"> information.  Cost</w:t>
      </w:r>
      <w:r>
        <w:rPr>
          <w:rFonts w:ascii="Arial" w:eastAsia="Arial" w:hAnsi="Arial" w:cs="Arial"/>
          <w:bCs/>
          <w:color w:val="000000"/>
        </w:rPr>
        <w:t xml:space="preserve"> forms for each option have been produced by G&amp;T following NHS capital costing guidance – included as </w:t>
      </w:r>
      <w:r w:rsidR="00D10F47">
        <w:rPr>
          <w:rFonts w:ascii="Arial" w:eastAsia="Arial" w:hAnsi="Arial" w:cs="Arial"/>
          <w:bCs/>
          <w:color w:val="000000"/>
        </w:rPr>
        <w:t>A</w:t>
      </w:r>
      <w:r>
        <w:rPr>
          <w:rFonts w:ascii="Arial" w:eastAsia="Arial" w:hAnsi="Arial" w:cs="Arial"/>
          <w:bCs/>
          <w:color w:val="000000"/>
        </w:rPr>
        <w:t xml:space="preserve">ppendix </w:t>
      </w:r>
      <w:r w:rsidR="00D10F47">
        <w:rPr>
          <w:rFonts w:ascii="Arial" w:eastAsia="Arial" w:hAnsi="Arial" w:cs="Arial"/>
          <w:bCs/>
          <w:color w:val="000000"/>
        </w:rPr>
        <w:t>4E</w:t>
      </w:r>
      <w:r>
        <w:rPr>
          <w:rFonts w:ascii="Arial" w:eastAsia="Arial" w:hAnsi="Arial" w:cs="Arial"/>
          <w:bCs/>
          <w:color w:val="000000"/>
        </w:rPr>
        <w:t xml:space="preserve">.  </w:t>
      </w:r>
    </w:p>
    <w:p w14:paraId="741858A1" w14:textId="77777777" w:rsidR="00FF6E56" w:rsidRPr="000E08B9" w:rsidRDefault="00FF6E56" w:rsidP="00FF6E56">
      <w:pPr>
        <w:pBdr>
          <w:top w:val="nil"/>
          <w:left w:val="nil"/>
          <w:bottom w:val="nil"/>
          <w:right w:val="nil"/>
          <w:between w:val="nil"/>
        </w:pBdr>
        <w:tabs>
          <w:tab w:val="left" w:pos="567"/>
        </w:tabs>
        <w:spacing w:after="0"/>
        <w:rPr>
          <w:rFonts w:ascii="Arial" w:eastAsia="Arial" w:hAnsi="Arial" w:cs="Arial"/>
          <w:b/>
          <w:color w:val="000000"/>
        </w:rPr>
      </w:pPr>
      <w:r w:rsidRPr="000E08B9">
        <w:rPr>
          <w:rFonts w:ascii="Arial" w:eastAsia="Arial" w:hAnsi="Arial" w:cs="Arial"/>
          <w:b/>
          <w:color w:val="000000"/>
        </w:rPr>
        <w:t>Lifecycle</w:t>
      </w:r>
    </w:p>
    <w:p w14:paraId="650D153E" w14:textId="77777777" w:rsidR="00FF6E56" w:rsidRDefault="00FF6E56" w:rsidP="00FF6E56">
      <w:pPr>
        <w:pStyle w:val="ListParagraph"/>
        <w:numPr>
          <w:ilvl w:val="0"/>
          <w:numId w:val="127"/>
        </w:numPr>
        <w:pBdr>
          <w:top w:val="nil"/>
          <w:left w:val="nil"/>
          <w:bottom w:val="nil"/>
          <w:right w:val="nil"/>
          <w:between w:val="nil"/>
        </w:pBdr>
        <w:tabs>
          <w:tab w:val="left" w:pos="567"/>
        </w:tabs>
        <w:ind w:left="567" w:hanging="207"/>
        <w:rPr>
          <w:rFonts w:ascii="Arial" w:eastAsia="Arial" w:hAnsi="Arial" w:cs="Arial"/>
          <w:bCs/>
          <w:color w:val="000000"/>
        </w:rPr>
      </w:pPr>
      <w:r w:rsidRPr="00D03F7F">
        <w:rPr>
          <w:rFonts w:ascii="Arial" w:eastAsia="Arial" w:hAnsi="Arial" w:cs="Arial"/>
          <w:bCs/>
          <w:color w:val="000000"/>
        </w:rPr>
        <w:t xml:space="preserve">Lifecycle cost estimates were prepared by G&amp;T using benchmark data to create an indicative spend profile. G&amp;T’s benchmark data is based on extensive life cycle analysis used to formulate benchmark rates for each building element. From this, a range of projects similar in scope and nature to Oriel were selected.  </w:t>
      </w:r>
    </w:p>
    <w:p w14:paraId="41F4D5FF" w14:textId="77777777" w:rsidR="00FF6E56" w:rsidRDefault="00FF6E56" w:rsidP="00FF6E56">
      <w:pPr>
        <w:pStyle w:val="ListParagraph"/>
        <w:numPr>
          <w:ilvl w:val="0"/>
          <w:numId w:val="127"/>
        </w:numPr>
        <w:pBdr>
          <w:top w:val="nil"/>
          <w:left w:val="nil"/>
          <w:bottom w:val="nil"/>
          <w:right w:val="nil"/>
          <w:between w:val="nil"/>
        </w:pBdr>
        <w:tabs>
          <w:tab w:val="left" w:pos="567"/>
        </w:tabs>
        <w:ind w:left="567" w:hanging="207"/>
        <w:rPr>
          <w:rFonts w:ascii="Arial" w:eastAsia="Arial" w:hAnsi="Arial" w:cs="Arial"/>
          <w:bCs/>
          <w:color w:val="000000"/>
        </w:rPr>
      </w:pPr>
      <w:r w:rsidRPr="00D03F7F">
        <w:rPr>
          <w:rFonts w:ascii="Arial" w:eastAsia="Arial" w:hAnsi="Arial" w:cs="Arial"/>
          <w:bCs/>
          <w:color w:val="000000"/>
        </w:rPr>
        <w:t>The benchmark data used is taken from comparator data from G&amp;T’s experience on similar developments either directly appointed and where G&amp;T have modelled costs from first principles using detailed cost plans; or where G&amp;T have undertaken previous benchmark reviews or published data from standard industry sources, such as BCIS.</w:t>
      </w:r>
    </w:p>
    <w:p w14:paraId="68C275BF" w14:textId="77777777" w:rsidR="00FF6E56" w:rsidRPr="00D03F7F" w:rsidRDefault="00FF6E56" w:rsidP="00FF6E56">
      <w:pPr>
        <w:pStyle w:val="ListParagraph"/>
        <w:numPr>
          <w:ilvl w:val="0"/>
          <w:numId w:val="127"/>
        </w:numPr>
        <w:pBdr>
          <w:top w:val="nil"/>
          <w:left w:val="nil"/>
          <w:bottom w:val="nil"/>
          <w:right w:val="nil"/>
          <w:between w:val="nil"/>
        </w:pBdr>
        <w:tabs>
          <w:tab w:val="left" w:pos="567"/>
        </w:tabs>
        <w:ind w:left="567" w:hanging="207"/>
        <w:rPr>
          <w:rFonts w:ascii="Arial" w:eastAsia="Arial" w:hAnsi="Arial" w:cs="Arial"/>
          <w:bCs/>
          <w:color w:val="000000"/>
        </w:rPr>
      </w:pPr>
      <w:r w:rsidRPr="00D03F7F">
        <w:rPr>
          <w:rFonts w:ascii="Arial" w:eastAsia="Arial" w:hAnsi="Arial" w:cs="Arial"/>
          <w:bCs/>
          <w:color w:val="000000"/>
        </w:rPr>
        <w:t>Lifecycle costs have been assessed by G&amp;T for options 1, 2, 3 and 4.</w:t>
      </w:r>
    </w:p>
    <w:p w14:paraId="072BFFA0" w14:textId="77777777" w:rsidR="00FF6E56" w:rsidRPr="000E08B9" w:rsidRDefault="00FF6E56" w:rsidP="00FF6E56">
      <w:pPr>
        <w:pBdr>
          <w:top w:val="nil"/>
          <w:left w:val="nil"/>
          <w:bottom w:val="nil"/>
          <w:right w:val="nil"/>
          <w:between w:val="nil"/>
        </w:pBdr>
        <w:tabs>
          <w:tab w:val="left" w:pos="567"/>
        </w:tabs>
        <w:spacing w:after="0"/>
        <w:rPr>
          <w:rFonts w:ascii="Arial" w:eastAsia="Arial" w:hAnsi="Arial" w:cs="Arial"/>
          <w:b/>
          <w:color w:val="000000"/>
        </w:rPr>
      </w:pPr>
      <w:r w:rsidRPr="000E08B9">
        <w:rPr>
          <w:rFonts w:ascii="Arial" w:eastAsia="Arial" w:hAnsi="Arial" w:cs="Arial"/>
          <w:b/>
          <w:color w:val="000000"/>
        </w:rPr>
        <w:t>Revenue costs</w:t>
      </w:r>
    </w:p>
    <w:p w14:paraId="3DFA4B6E" w14:textId="77777777" w:rsidR="00FF6E56" w:rsidRDefault="00FF6E56" w:rsidP="00FF6E56">
      <w:pPr>
        <w:pStyle w:val="ListParagraph"/>
        <w:numPr>
          <w:ilvl w:val="0"/>
          <w:numId w:val="128"/>
        </w:num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Revenue costs include the NHS clinical, non-clinical and building running costs</w:t>
      </w:r>
    </w:p>
    <w:p w14:paraId="462C9E8A" w14:textId="77777777" w:rsidR="00FF6E56" w:rsidRDefault="00FF6E56" w:rsidP="00FF6E56">
      <w:pPr>
        <w:pStyle w:val="ListParagraph"/>
        <w:numPr>
          <w:ilvl w:val="0"/>
          <w:numId w:val="128"/>
        </w:numPr>
        <w:pBdr>
          <w:top w:val="nil"/>
          <w:left w:val="nil"/>
          <w:bottom w:val="nil"/>
          <w:right w:val="nil"/>
          <w:between w:val="nil"/>
        </w:pBdr>
        <w:tabs>
          <w:tab w:val="left" w:pos="567"/>
        </w:tabs>
        <w:ind w:left="567" w:hanging="207"/>
        <w:rPr>
          <w:rFonts w:ascii="Arial" w:eastAsia="Arial" w:hAnsi="Arial" w:cs="Arial"/>
          <w:bCs/>
          <w:color w:val="000000"/>
        </w:rPr>
      </w:pPr>
      <w:r>
        <w:rPr>
          <w:rFonts w:ascii="Arial" w:eastAsia="Arial" w:hAnsi="Arial" w:cs="Arial"/>
          <w:bCs/>
          <w:color w:val="000000"/>
        </w:rPr>
        <w:lastRenderedPageBreak/>
        <w:t xml:space="preserve">Options 0 and 1 have lower costs because NHS growth, and therefore clinical costs, are constrained by operational capacity.  </w:t>
      </w:r>
    </w:p>
    <w:p w14:paraId="2C4090D7" w14:textId="145D8E99" w:rsidR="00D172A7" w:rsidRPr="00D172A7" w:rsidRDefault="00FF6E56" w:rsidP="00D172A7">
      <w:pPr>
        <w:pStyle w:val="ListParagraph"/>
        <w:numPr>
          <w:ilvl w:val="0"/>
          <w:numId w:val="128"/>
        </w:numPr>
        <w:pBdr>
          <w:top w:val="nil"/>
          <w:left w:val="nil"/>
          <w:bottom w:val="nil"/>
          <w:right w:val="nil"/>
          <w:between w:val="nil"/>
        </w:pBdr>
        <w:tabs>
          <w:tab w:val="left" w:pos="567"/>
        </w:tabs>
        <w:ind w:left="567" w:hanging="207"/>
        <w:rPr>
          <w:rFonts w:ascii="Arial" w:eastAsia="Arial" w:hAnsi="Arial" w:cs="Arial"/>
          <w:bCs/>
        </w:rPr>
      </w:pPr>
      <w:r>
        <w:rPr>
          <w:rFonts w:ascii="Arial" w:eastAsia="Arial" w:hAnsi="Arial" w:cs="Arial"/>
          <w:bCs/>
        </w:rPr>
        <w:t>Options 3 and 4</w:t>
      </w:r>
      <w:r w:rsidRPr="00035BF2">
        <w:rPr>
          <w:rFonts w:ascii="Arial" w:eastAsia="Arial" w:hAnsi="Arial" w:cs="Arial"/>
          <w:bCs/>
        </w:rPr>
        <w:t xml:space="preserve"> </w:t>
      </w:r>
      <w:r>
        <w:rPr>
          <w:rFonts w:ascii="Arial" w:eastAsia="Arial" w:hAnsi="Arial" w:cs="Arial"/>
          <w:bCs/>
        </w:rPr>
        <w:t>allow for an additional five years of growt</w:t>
      </w:r>
      <w:r w:rsidR="00D172A7">
        <w:rPr>
          <w:rFonts w:ascii="Arial" w:eastAsia="Arial" w:hAnsi="Arial" w:cs="Arial"/>
          <w:bCs/>
        </w:rPr>
        <w:t xml:space="preserve">h and therefore additional cost (and also benefit – see below).  The demand and capacity modelling that supports this assumption is set out in 3.11.3.  This concludes that there the new facility will reach capacity </w:t>
      </w:r>
      <w:r w:rsidR="00337FFD">
        <w:rPr>
          <w:rFonts w:ascii="Arial" w:eastAsia="Arial" w:hAnsi="Arial" w:cs="Arial"/>
          <w:bCs/>
        </w:rPr>
        <w:t>by the end of FY31</w:t>
      </w:r>
      <w:r w:rsidR="00D172A7">
        <w:rPr>
          <w:rFonts w:ascii="Arial" w:eastAsia="Arial" w:hAnsi="Arial" w:cs="Arial"/>
          <w:bCs/>
        </w:rPr>
        <w:t xml:space="preserve">. </w:t>
      </w:r>
    </w:p>
    <w:p w14:paraId="38CAFD55" w14:textId="1399028C" w:rsidR="00FF6E56" w:rsidRPr="00035BF2" w:rsidRDefault="00D67D1B" w:rsidP="00FF6E56">
      <w:pPr>
        <w:pStyle w:val="ListParagraph"/>
        <w:numPr>
          <w:ilvl w:val="0"/>
          <w:numId w:val="128"/>
        </w:numPr>
        <w:pBdr>
          <w:top w:val="nil"/>
          <w:left w:val="nil"/>
          <w:bottom w:val="nil"/>
          <w:right w:val="nil"/>
          <w:between w:val="nil"/>
        </w:pBdr>
        <w:tabs>
          <w:tab w:val="left" w:pos="567"/>
        </w:tabs>
        <w:ind w:left="567" w:hanging="207"/>
        <w:rPr>
          <w:rFonts w:ascii="Arial" w:eastAsia="Arial" w:hAnsi="Arial" w:cs="Arial"/>
          <w:bCs/>
        </w:rPr>
      </w:pPr>
      <w:r>
        <w:rPr>
          <w:rFonts w:ascii="Arial" w:eastAsia="Arial" w:hAnsi="Arial" w:cs="Arial"/>
          <w:bCs/>
        </w:rPr>
        <w:t>T</w:t>
      </w:r>
      <w:r w:rsidR="00D172A7">
        <w:rPr>
          <w:rFonts w:ascii="Arial" w:eastAsia="Arial" w:hAnsi="Arial" w:cs="Arial"/>
          <w:bCs/>
        </w:rPr>
        <w:t>he cost of this increased growth</w:t>
      </w:r>
      <w:r>
        <w:rPr>
          <w:rFonts w:ascii="Arial" w:eastAsia="Arial" w:hAnsi="Arial" w:cs="Arial"/>
          <w:bCs/>
        </w:rPr>
        <w:t xml:space="preserve"> is partially offset by cash releasing efficiencies assumed to be realised in the first five years after opening.</w:t>
      </w:r>
      <w:r w:rsidR="00FF6E56">
        <w:rPr>
          <w:rFonts w:ascii="Arial" w:eastAsia="Arial" w:hAnsi="Arial" w:cs="Arial"/>
          <w:bCs/>
        </w:rPr>
        <w:t xml:space="preserve">  </w:t>
      </w:r>
    </w:p>
    <w:p w14:paraId="5E65809E" w14:textId="3018AAD1" w:rsidR="00FF6E56" w:rsidRDefault="00FF6E56" w:rsidP="00FF6E56">
      <w:pPr>
        <w:pStyle w:val="ListParagraph"/>
        <w:numPr>
          <w:ilvl w:val="0"/>
          <w:numId w:val="128"/>
        </w:numPr>
        <w:pBdr>
          <w:top w:val="nil"/>
          <w:left w:val="nil"/>
          <w:bottom w:val="nil"/>
          <w:right w:val="nil"/>
          <w:between w:val="nil"/>
        </w:pBdr>
        <w:tabs>
          <w:tab w:val="left" w:pos="567"/>
        </w:tabs>
        <w:ind w:left="567" w:hanging="207"/>
        <w:rPr>
          <w:rFonts w:ascii="Arial" w:eastAsia="Arial" w:hAnsi="Arial" w:cs="Arial"/>
          <w:bCs/>
        </w:rPr>
      </w:pPr>
      <w:r w:rsidRPr="00035BF2">
        <w:rPr>
          <w:rFonts w:ascii="Arial" w:eastAsia="Arial" w:hAnsi="Arial" w:cs="Arial"/>
          <w:bCs/>
        </w:rPr>
        <w:t>Option 2 has the highest revenue cost because of additional running costs related to renting clinical space during the phased redevelopment of City Road.  The assumption is that 14,500 sqm of space will b</w:t>
      </w:r>
      <w:r>
        <w:rPr>
          <w:rFonts w:ascii="Arial" w:eastAsia="Arial" w:hAnsi="Arial" w:cs="Arial"/>
          <w:bCs/>
        </w:rPr>
        <w:t>e required for a 10 year period while construction work takes place on the City Road site.</w:t>
      </w:r>
      <w:r w:rsidR="00D67D1B">
        <w:rPr>
          <w:rFonts w:ascii="Arial" w:eastAsia="Arial" w:hAnsi="Arial" w:cs="Arial"/>
          <w:bCs/>
        </w:rPr>
        <w:t xml:space="preserve">  Revenue costs are also higher because cash releasing efficiency benefits are at 50% of option 3 and 4.  </w:t>
      </w:r>
    </w:p>
    <w:p w14:paraId="3D5DE06E" w14:textId="1830BCFA" w:rsidR="00D67D1B" w:rsidRDefault="00D172A7" w:rsidP="00FF6E56">
      <w:pPr>
        <w:pStyle w:val="ListParagraph"/>
        <w:numPr>
          <w:ilvl w:val="0"/>
          <w:numId w:val="128"/>
        </w:numPr>
        <w:pBdr>
          <w:top w:val="nil"/>
          <w:left w:val="nil"/>
          <w:bottom w:val="nil"/>
          <w:right w:val="nil"/>
          <w:between w:val="nil"/>
        </w:pBdr>
        <w:tabs>
          <w:tab w:val="left" w:pos="567"/>
        </w:tabs>
        <w:ind w:left="567" w:hanging="207"/>
        <w:rPr>
          <w:rFonts w:ascii="Arial" w:eastAsia="Arial" w:hAnsi="Arial" w:cs="Arial"/>
          <w:bCs/>
        </w:rPr>
      </w:pPr>
      <w:r>
        <w:rPr>
          <w:rFonts w:ascii="Arial" w:eastAsia="Arial" w:hAnsi="Arial" w:cs="Arial"/>
          <w:bCs/>
        </w:rPr>
        <w:t>The differences in running costs between the options</w:t>
      </w:r>
      <w:r w:rsidR="00D67D1B">
        <w:rPr>
          <w:rFonts w:ascii="Arial" w:eastAsia="Arial" w:hAnsi="Arial" w:cs="Arial"/>
          <w:bCs/>
        </w:rPr>
        <w:t xml:space="preserve"> is set out in further detail in appendix 4D.</w:t>
      </w:r>
    </w:p>
    <w:p w14:paraId="770405F6" w14:textId="77777777" w:rsidR="00FF6E56" w:rsidRPr="000E08B9" w:rsidRDefault="00FF6E56" w:rsidP="00FF6E56">
      <w:pPr>
        <w:pBdr>
          <w:top w:val="nil"/>
          <w:left w:val="nil"/>
          <w:bottom w:val="nil"/>
          <w:right w:val="nil"/>
          <w:between w:val="nil"/>
        </w:pBdr>
        <w:tabs>
          <w:tab w:val="left" w:pos="567"/>
        </w:tabs>
        <w:spacing w:after="0"/>
        <w:rPr>
          <w:rFonts w:ascii="Arial" w:eastAsia="Arial" w:hAnsi="Arial" w:cs="Arial"/>
          <w:b/>
          <w:color w:val="000000"/>
        </w:rPr>
      </w:pPr>
      <w:r w:rsidRPr="000E08B9">
        <w:rPr>
          <w:rFonts w:ascii="Arial" w:eastAsia="Arial" w:hAnsi="Arial" w:cs="Arial"/>
          <w:b/>
          <w:color w:val="000000"/>
        </w:rPr>
        <w:t>Transitional costs</w:t>
      </w:r>
    </w:p>
    <w:p w14:paraId="7065A307" w14:textId="77777777" w:rsidR="00FF6E56" w:rsidRDefault="00FF6E56" w:rsidP="00FF6E56">
      <w:pPr>
        <w:pStyle w:val="ListParagraph"/>
        <w:numPr>
          <w:ilvl w:val="0"/>
          <w:numId w:val="128"/>
        </w:numPr>
        <w:pBdr>
          <w:top w:val="nil"/>
          <w:left w:val="nil"/>
          <w:bottom w:val="nil"/>
          <w:right w:val="nil"/>
          <w:between w:val="nil"/>
        </w:pBdr>
        <w:tabs>
          <w:tab w:val="left" w:pos="567"/>
        </w:tabs>
        <w:ind w:left="567" w:hanging="207"/>
        <w:rPr>
          <w:rFonts w:ascii="Arial" w:eastAsia="Arial" w:hAnsi="Arial" w:cs="Arial"/>
          <w:bCs/>
          <w:color w:val="000000"/>
        </w:rPr>
      </w:pPr>
      <w:r>
        <w:rPr>
          <w:rFonts w:ascii="Arial" w:eastAsia="Arial" w:hAnsi="Arial" w:cs="Arial"/>
          <w:bCs/>
          <w:color w:val="000000"/>
        </w:rPr>
        <w:t>These costs reflect double running and decant costs, and also the costs of the transformation programme to ensure organisational readiness for the move to the new facility.</w:t>
      </w:r>
    </w:p>
    <w:p w14:paraId="062C3CB5" w14:textId="77777777" w:rsidR="00FF6E56" w:rsidRDefault="00FF6E56" w:rsidP="00FF6E56">
      <w:pPr>
        <w:pStyle w:val="ListParagraph"/>
        <w:numPr>
          <w:ilvl w:val="0"/>
          <w:numId w:val="128"/>
        </w:numPr>
        <w:pBdr>
          <w:top w:val="nil"/>
          <w:left w:val="nil"/>
          <w:bottom w:val="nil"/>
          <w:right w:val="nil"/>
          <w:between w:val="nil"/>
        </w:pBdr>
        <w:tabs>
          <w:tab w:val="left" w:pos="567"/>
        </w:tabs>
        <w:ind w:left="567" w:hanging="207"/>
        <w:rPr>
          <w:rFonts w:ascii="Arial" w:eastAsia="Arial" w:hAnsi="Arial" w:cs="Arial"/>
          <w:bCs/>
          <w:color w:val="000000"/>
        </w:rPr>
      </w:pPr>
      <w:r>
        <w:rPr>
          <w:rFonts w:ascii="Arial" w:eastAsia="Arial" w:hAnsi="Arial" w:cs="Arial"/>
          <w:bCs/>
          <w:color w:val="000000"/>
        </w:rPr>
        <w:t>No costs of this nature are incurred in Business as Usual (Option 0) or Do Minimum (Option 1).</w:t>
      </w:r>
    </w:p>
    <w:p w14:paraId="6A21944A" w14:textId="77777777" w:rsidR="00FF6E56" w:rsidRDefault="00FF6E56" w:rsidP="00FF6E56">
      <w:pPr>
        <w:pStyle w:val="ListParagraph"/>
        <w:numPr>
          <w:ilvl w:val="0"/>
          <w:numId w:val="128"/>
        </w:numPr>
        <w:pBdr>
          <w:top w:val="nil"/>
          <w:left w:val="nil"/>
          <w:bottom w:val="nil"/>
          <w:right w:val="nil"/>
          <w:between w:val="nil"/>
        </w:pBdr>
        <w:tabs>
          <w:tab w:val="left" w:pos="567"/>
        </w:tabs>
        <w:ind w:left="567" w:hanging="207"/>
        <w:rPr>
          <w:rFonts w:ascii="Arial" w:eastAsia="Arial" w:hAnsi="Arial" w:cs="Arial"/>
          <w:bCs/>
          <w:color w:val="000000"/>
        </w:rPr>
      </w:pPr>
      <w:r>
        <w:rPr>
          <w:rFonts w:ascii="Arial" w:eastAsia="Arial" w:hAnsi="Arial" w:cs="Arial"/>
          <w:bCs/>
          <w:color w:val="000000"/>
        </w:rPr>
        <w:t>Redevelopment of City Road (Option 2) has an increased level of costs as it requires three phases of decant.</w:t>
      </w:r>
    </w:p>
    <w:p w14:paraId="2542BEFD" w14:textId="77777777" w:rsidR="00FF6E56" w:rsidRPr="00686A28" w:rsidRDefault="00FF6E56" w:rsidP="00FF6E56">
      <w:pPr>
        <w:pStyle w:val="ListParagraph"/>
        <w:numPr>
          <w:ilvl w:val="0"/>
          <w:numId w:val="128"/>
        </w:numPr>
        <w:pBdr>
          <w:top w:val="nil"/>
          <w:left w:val="nil"/>
          <w:bottom w:val="nil"/>
          <w:right w:val="nil"/>
          <w:between w:val="nil"/>
        </w:pBdr>
        <w:tabs>
          <w:tab w:val="left" w:pos="567"/>
        </w:tabs>
        <w:ind w:left="567" w:hanging="207"/>
        <w:rPr>
          <w:rFonts w:ascii="Arial" w:eastAsia="Arial" w:hAnsi="Arial" w:cs="Arial"/>
          <w:bCs/>
          <w:color w:val="000000"/>
        </w:rPr>
      </w:pPr>
      <w:r>
        <w:rPr>
          <w:rFonts w:ascii="Arial" w:eastAsia="Arial" w:hAnsi="Arial" w:cs="Arial"/>
          <w:bCs/>
          <w:color w:val="000000"/>
        </w:rPr>
        <w:t xml:space="preserve">The St Pancras options (Options 3 and 4) have </w:t>
      </w:r>
      <w:r w:rsidRPr="00686A28">
        <w:rPr>
          <w:rFonts w:ascii="Arial" w:eastAsia="Arial" w:hAnsi="Arial" w:cs="Arial"/>
          <w:bCs/>
          <w:color w:val="000000"/>
        </w:rPr>
        <w:t>an additional provision for accessibility works on the new facility (a key priority which reflects feedbac</w:t>
      </w:r>
      <w:r>
        <w:rPr>
          <w:rFonts w:ascii="Arial" w:eastAsia="Arial" w:hAnsi="Arial" w:cs="Arial"/>
          <w:bCs/>
          <w:color w:val="000000"/>
        </w:rPr>
        <w:t>k from the public consultation).</w:t>
      </w:r>
    </w:p>
    <w:p w14:paraId="0CA5BD2A" w14:textId="77777777" w:rsidR="00FF6E56" w:rsidRPr="000E08B9" w:rsidRDefault="00FF6E56" w:rsidP="00FF6E56">
      <w:pPr>
        <w:pBdr>
          <w:top w:val="nil"/>
          <w:left w:val="nil"/>
          <w:bottom w:val="nil"/>
          <w:right w:val="nil"/>
          <w:between w:val="nil"/>
        </w:pBdr>
        <w:tabs>
          <w:tab w:val="left" w:pos="567"/>
        </w:tabs>
        <w:spacing w:after="0"/>
        <w:rPr>
          <w:rFonts w:ascii="Arial" w:eastAsia="Arial" w:hAnsi="Arial" w:cs="Arial"/>
          <w:b/>
          <w:color w:val="000000"/>
        </w:rPr>
      </w:pPr>
      <w:r w:rsidRPr="000E08B9">
        <w:rPr>
          <w:rFonts w:ascii="Arial" w:eastAsia="Arial" w:hAnsi="Arial" w:cs="Arial"/>
          <w:b/>
          <w:color w:val="000000"/>
        </w:rPr>
        <w:t>Net contribution</w:t>
      </w:r>
    </w:p>
    <w:p w14:paraId="4D56B226" w14:textId="4CF59ECB" w:rsidR="00FF6E56" w:rsidRDefault="00FF6E56" w:rsidP="00FF6E56">
      <w:pPr>
        <w:pStyle w:val="ListParagraph"/>
        <w:numPr>
          <w:ilvl w:val="0"/>
          <w:numId w:val="129"/>
        </w:numPr>
        <w:pBdr>
          <w:top w:val="nil"/>
          <w:left w:val="nil"/>
          <w:bottom w:val="nil"/>
          <w:right w:val="nil"/>
          <w:between w:val="nil"/>
        </w:pBdr>
        <w:tabs>
          <w:tab w:val="left" w:pos="567"/>
        </w:tabs>
        <w:ind w:left="567" w:hanging="207"/>
        <w:rPr>
          <w:rFonts w:ascii="Arial" w:eastAsia="Arial" w:hAnsi="Arial" w:cs="Arial"/>
          <w:bCs/>
          <w:color w:val="000000"/>
        </w:rPr>
      </w:pPr>
      <w:r>
        <w:rPr>
          <w:rFonts w:ascii="Arial" w:eastAsia="Arial" w:hAnsi="Arial" w:cs="Arial"/>
          <w:bCs/>
          <w:color w:val="000000"/>
        </w:rPr>
        <w:t xml:space="preserve">Following HM Treasury CIA guidance, contribution </w:t>
      </w:r>
      <w:r w:rsidR="00392C0A">
        <w:rPr>
          <w:rFonts w:ascii="Arial" w:eastAsia="Arial" w:hAnsi="Arial" w:cs="Arial"/>
          <w:bCs/>
          <w:color w:val="000000"/>
        </w:rPr>
        <w:t xml:space="preserve">is </w:t>
      </w:r>
      <w:r>
        <w:rPr>
          <w:rFonts w:ascii="Arial" w:eastAsia="Arial" w:hAnsi="Arial" w:cs="Arial"/>
          <w:bCs/>
          <w:color w:val="000000"/>
        </w:rPr>
        <w:t>included from commercial sources of income – relating to private patient activity in London and the UAE.</w:t>
      </w:r>
    </w:p>
    <w:p w14:paraId="10438492" w14:textId="77777777" w:rsidR="00702F20" w:rsidRDefault="00FF6E56" w:rsidP="00FF6E56">
      <w:pPr>
        <w:pStyle w:val="ListParagraph"/>
        <w:numPr>
          <w:ilvl w:val="0"/>
          <w:numId w:val="129"/>
        </w:numPr>
        <w:pBdr>
          <w:top w:val="nil"/>
          <w:left w:val="nil"/>
          <w:bottom w:val="nil"/>
          <w:right w:val="nil"/>
          <w:between w:val="nil"/>
        </w:pBdr>
        <w:tabs>
          <w:tab w:val="left" w:pos="567"/>
        </w:tabs>
        <w:ind w:left="567" w:hanging="207"/>
        <w:rPr>
          <w:rFonts w:ascii="Arial" w:eastAsia="Arial" w:hAnsi="Arial" w:cs="Arial"/>
          <w:bCs/>
          <w:color w:val="000000"/>
        </w:rPr>
      </w:pPr>
      <w:r>
        <w:rPr>
          <w:rFonts w:ascii="Arial" w:eastAsia="Arial" w:hAnsi="Arial" w:cs="Arial"/>
          <w:bCs/>
          <w:color w:val="000000"/>
        </w:rPr>
        <w:t>The schedule of accommodation for the new St Pancras facility includes capacity for London private patient activity.  Additional London private patient growth is reflected in Options 2 to 4 due to utilisation of this additional capacity.</w:t>
      </w:r>
    </w:p>
    <w:p w14:paraId="11FD36FF" w14:textId="063FAFC8" w:rsidR="00FF6E56" w:rsidRPr="002C3C29" w:rsidRDefault="00702F20" w:rsidP="00FF6E56">
      <w:pPr>
        <w:pStyle w:val="ListParagraph"/>
        <w:numPr>
          <w:ilvl w:val="0"/>
          <w:numId w:val="129"/>
        </w:numPr>
        <w:pBdr>
          <w:top w:val="nil"/>
          <w:left w:val="nil"/>
          <w:bottom w:val="nil"/>
          <w:right w:val="nil"/>
          <w:between w:val="nil"/>
        </w:pBdr>
        <w:tabs>
          <w:tab w:val="left" w:pos="567"/>
        </w:tabs>
        <w:ind w:left="567" w:hanging="207"/>
        <w:rPr>
          <w:rFonts w:ascii="Arial" w:eastAsia="Arial" w:hAnsi="Arial" w:cs="Arial"/>
          <w:bCs/>
          <w:color w:val="000000"/>
        </w:rPr>
      </w:pPr>
      <w:r>
        <w:rPr>
          <w:rFonts w:ascii="Arial" w:eastAsia="Arial" w:hAnsi="Arial" w:cs="Arial"/>
          <w:bCs/>
          <w:color w:val="000000"/>
        </w:rPr>
        <w:t>Option 4 includes an assumption of commercial benefit from the additional 3,500 sqm of space.  This offsets the additional capital cost of this option.</w:t>
      </w:r>
      <w:r w:rsidR="00FF6E56" w:rsidRPr="0001145F">
        <w:rPr>
          <w:rFonts w:ascii="Arial" w:eastAsia="Arial" w:hAnsi="Arial" w:cs="Arial"/>
          <w:bCs/>
          <w:color w:val="FF0000"/>
        </w:rPr>
        <w:t xml:space="preserve"> </w:t>
      </w:r>
    </w:p>
    <w:p w14:paraId="3A338A49" w14:textId="77777777" w:rsidR="00FF6E56" w:rsidRPr="00FF6E56" w:rsidRDefault="00FF6E56" w:rsidP="00FF6E56">
      <w:pPr>
        <w:pStyle w:val="Heading2"/>
        <w:numPr>
          <w:ilvl w:val="2"/>
          <w:numId w:val="1"/>
        </w:numPr>
        <w:rPr>
          <w:rFonts w:ascii="Arial" w:eastAsia="Arial" w:hAnsi="Arial" w:cs="Arial"/>
          <w:color w:val="000000"/>
        </w:rPr>
      </w:pPr>
      <w:bookmarkStart w:id="202" w:name="_Toc30670705"/>
      <w:bookmarkStart w:id="203" w:name="_Toc32842712"/>
      <w:r w:rsidRPr="00FF6E56">
        <w:rPr>
          <w:rFonts w:ascii="Arial" w:eastAsia="Arial" w:hAnsi="Arial" w:cs="Arial"/>
          <w:color w:val="000000"/>
        </w:rPr>
        <w:t>Economic benefits of shortlisted options</w:t>
      </w:r>
      <w:bookmarkEnd w:id="202"/>
      <w:bookmarkEnd w:id="203"/>
    </w:p>
    <w:p w14:paraId="664CEE74" w14:textId="77777777" w:rsidR="00FF6E56" w:rsidRDefault="00FF6E56" w:rsidP="00FF6E56">
      <w:pPr>
        <w:pBdr>
          <w:top w:val="nil"/>
          <w:left w:val="nil"/>
          <w:bottom w:val="nil"/>
          <w:right w:val="nil"/>
          <w:between w:val="nil"/>
        </w:pBdr>
        <w:tabs>
          <w:tab w:val="left" w:pos="567"/>
        </w:tabs>
        <w:spacing w:after="0"/>
        <w:rPr>
          <w:rFonts w:ascii="Arial" w:eastAsia="Arial" w:hAnsi="Arial" w:cs="Arial"/>
          <w:bCs/>
          <w:color w:val="000000"/>
        </w:rPr>
      </w:pPr>
    </w:p>
    <w:p w14:paraId="3064D379" w14:textId="77777777" w:rsidR="00FF6E56" w:rsidRPr="00587DF1" w:rsidRDefault="00FF6E56" w:rsidP="00FF6E56">
      <w:p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E</w:t>
      </w:r>
      <w:r w:rsidRPr="00587DF1">
        <w:rPr>
          <w:rFonts w:ascii="Arial" w:eastAsia="Arial" w:hAnsi="Arial" w:cs="Arial"/>
          <w:bCs/>
          <w:color w:val="000000"/>
        </w:rPr>
        <w:t xml:space="preserve">conomists </w:t>
      </w:r>
      <w:r>
        <w:rPr>
          <w:rFonts w:ascii="Arial" w:eastAsia="Arial" w:hAnsi="Arial" w:cs="Arial"/>
          <w:bCs/>
          <w:color w:val="000000"/>
        </w:rPr>
        <w:t xml:space="preserve">from Ernst &amp; Young (EY) </w:t>
      </w:r>
      <w:r w:rsidRPr="00587DF1">
        <w:rPr>
          <w:rFonts w:ascii="Arial" w:eastAsia="Arial" w:hAnsi="Arial" w:cs="Arial"/>
          <w:bCs/>
          <w:color w:val="000000"/>
        </w:rPr>
        <w:t xml:space="preserve">were engaged to conduct a detailed economic benefits identification and quantification exercise for Oriel. Their work is the basis of the economic benefits used in the shortlisted options appraisal.  </w:t>
      </w:r>
    </w:p>
    <w:p w14:paraId="7DDDA78E" w14:textId="1F09DDDC" w:rsidR="00FF6E56" w:rsidRPr="00587DF1" w:rsidRDefault="00FF6E56" w:rsidP="00FF6E56">
      <w:pPr>
        <w:pStyle w:val="ListParagraph"/>
        <w:numPr>
          <w:ilvl w:val="0"/>
          <w:numId w:val="52"/>
        </w:numPr>
        <w:pBdr>
          <w:top w:val="nil"/>
          <w:left w:val="nil"/>
          <w:bottom w:val="nil"/>
          <w:right w:val="nil"/>
          <w:between w:val="nil"/>
        </w:pBdr>
        <w:tabs>
          <w:tab w:val="left" w:pos="567"/>
        </w:tabs>
        <w:ind w:left="567" w:hanging="207"/>
        <w:rPr>
          <w:rFonts w:ascii="Arial" w:eastAsia="Arial" w:hAnsi="Arial" w:cs="Arial"/>
          <w:bCs/>
          <w:color w:val="000000"/>
        </w:rPr>
      </w:pPr>
      <w:r w:rsidRPr="00587DF1">
        <w:rPr>
          <w:rFonts w:ascii="Arial" w:eastAsia="Arial" w:hAnsi="Arial" w:cs="Arial"/>
          <w:bCs/>
          <w:color w:val="000000"/>
        </w:rPr>
        <w:t>Improved clinical outcomes from Oriel will result in improvement in quality of life for patients</w:t>
      </w:r>
      <w:r>
        <w:rPr>
          <w:rFonts w:ascii="Arial" w:eastAsia="Arial" w:hAnsi="Arial" w:cs="Arial"/>
          <w:bCs/>
          <w:color w:val="000000"/>
        </w:rPr>
        <w:t xml:space="preserve"> who have been</w:t>
      </w:r>
      <w:r w:rsidRPr="00587DF1">
        <w:rPr>
          <w:rFonts w:ascii="Arial" w:eastAsia="Arial" w:hAnsi="Arial" w:cs="Arial"/>
          <w:bCs/>
          <w:color w:val="000000"/>
        </w:rPr>
        <w:t xml:space="preserve"> prevented from</w:t>
      </w:r>
      <w:r>
        <w:rPr>
          <w:rFonts w:ascii="Arial" w:eastAsia="Arial" w:hAnsi="Arial" w:cs="Arial"/>
          <w:bCs/>
          <w:color w:val="000000"/>
        </w:rPr>
        <w:t xml:space="preserve"> going blind</w:t>
      </w:r>
      <w:r w:rsidRPr="00587DF1">
        <w:rPr>
          <w:rFonts w:ascii="Arial" w:eastAsia="Arial" w:hAnsi="Arial" w:cs="Arial"/>
          <w:bCs/>
          <w:color w:val="000000"/>
        </w:rPr>
        <w:t xml:space="preserve">. This has been quantified using the value of an eye sight </w:t>
      </w:r>
      <w:r>
        <w:rPr>
          <w:rFonts w:ascii="Arial" w:eastAsia="Arial" w:hAnsi="Arial" w:cs="Arial"/>
          <w:bCs/>
          <w:color w:val="000000"/>
        </w:rPr>
        <w:t>Q</w:t>
      </w:r>
      <w:r w:rsidRPr="00587DF1">
        <w:rPr>
          <w:rFonts w:ascii="Arial" w:eastAsia="Arial" w:hAnsi="Arial" w:cs="Arial"/>
          <w:bCs/>
          <w:color w:val="000000"/>
        </w:rPr>
        <w:t xml:space="preserve">uality </w:t>
      </w:r>
      <w:r>
        <w:rPr>
          <w:rFonts w:ascii="Arial" w:eastAsia="Arial" w:hAnsi="Arial" w:cs="Arial"/>
          <w:bCs/>
          <w:color w:val="000000"/>
        </w:rPr>
        <w:t>A</w:t>
      </w:r>
      <w:r w:rsidRPr="00587DF1">
        <w:rPr>
          <w:rFonts w:ascii="Arial" w:eastAsia="Arial" w:hAnsi="Arial" w:cs="Arial"/>
          <w:bCs/>
          <w:color w:val="000000"/>
        </w:rPr>
        <w:t xml:space="preserve">djusted </w:t>
      </w:r>
      <w:r>
        <w:rPr>
          <w:rFonts w:ascii="Arial" w:eastAsia="Arial" w:hAnsi="Arial" w:cs="Arial"/>
          <w:bCs/>
          <w:color w:val="000000"/>
        </w:rPr>
        <w:t>L</w:t>
      </w:r>
      <w:r w:rsidRPr="00587DF1">
        <w:rPr>
          <w:rFonts w:ascii="Arial" w:eastAsia="Arial" w:hAnsi="Arial" w:cs="Arial"/>
          <w:bCs/>
          <w:color w:val="000000"/>
        </w:rPr>
        <w:t xml:space="preserve">ife </w:t>
      </w:r>
      <w:r>
        <w:rPr>
          <w:rFonts w:ascii="Arial" w:eastAsia="Arial" w:hAnsi="Arial" w:cs="Arial"/>
          <w:bCs/>
          <w:color w:val="000000"/>
        </w:rPr>
        <w:t>Y</w:t>
      </w:r>
      <w:r w:rsidRPr="00587DF1">
        <w:rPr>
          <w:rFonts w:ascii="Arial" w:eastAsia="Arial" w:hAnsi="Arial" w:cs="Arial"/>
          <w:bCs/>
          <w:color w:val="000000"/>
        </w:rPr>
        <w:t>ear (QALY) from</w:t>
      </w:r>
      <w:r>
        <w:rPr>
          <w:rFonts w:ascii="Arial" w:eastAsia="Arial" w:hAnsi="Arial" w:cs="Arial"/>
          <w:bCs/>
          <w:color w:val="000000"/>
        </w:rPr>
        <w:t xml:space="preserve"> an academic</w:t>
      </w:r>
      <w:r w:rsidR="00D67D1B">
        <w:rPr>
          <w:rFonts w:ascii="Arial" w:eastAsia="Arial" w:hAnsi="Arial" w:cs="Arial"/>
          <w:bCs/>
          <w:color w:val="000000"/>
        </w:rPr>
        <w:t xml:space="preserve"> </w:t>
      </w:r>
      <w:r w:rsidR="00D67D1B">
        <w:rPr>
          <w:rFonts w:ascii="Arial" w:eastAsia="Arial" w:hAnsi="Arial" w:cs="Arial"/>
          <w:bCs/>
          <w:color w:val="000000"/>
        </w:rPr>
        <w:lastRenderedPageBreak/>
        <w:t>literature review.  Each QALY has been valued using the Green Book standard value of £60,000.</w:t>
      </w:r>
    </w:p>
    <w:p w14:paraId="63AC5DE0" w14:textId="16B1AD0C" w:rsidR="00392C0A" w:rsidRDefault="00392C0A" w:rsidP="00FF6E56">
      <w:pPr>
        <w:pStyle w:val="ListParagraph"/>
        <w:numPr>
          <w:ilvl w:val="0"/>
          <w:numId w:val="52"/>
        </w:numPr>
        <w:pBdr>
          <w:top w:val="nil"/>
          <w:left w:val="nil"/>
          <w:bottom w:val="nil"/>
          <w:right w:val="nil"/>
          <w:between w:val="nil"/>
        </w:pBdr>
        <w:tabs>
          <w:tab w:val="left" w:pos="567"/>
        </w:tabs>
        <w:ind w:left="567" w:hanging="207"/>
        <w:rPr>
          <w:rFonts w:ascii="Arial" w:eastAsia="Arial" w:hAnsi="Arial" w:cs="Arial"/>
          <w:bCs/>
          <w:color w:val="000000"/>
        </w:rPr>
      </w:pPr>
      <w:r>
        <w:rPr>
          <w:rFonts w:ascii="Arial" w:eastAsia="Arial" w:hAnsi="Arial" w:cs="Arial"/>
          <w:bCs/>
          <w:color w:val="000000"/>
        </w:rPr>
        <w:t>Additional clinical capacity – as set out above, demand and capacity modelling (section 3.11.3) demonstrates that the new facility will provide (at least) five years of growth after opening, up to</w:t>
      </w:r>
      <w:r w:rsidR="00337FFD">
        <w:rPr>
          <w:rFonts w:ascii="Arial" w:eastAsia="Arial" w:hAnsi="Arial" w:cs="Arial"/>
          <w:bCs/>
          <w:color w:val="000000"/>
        </w:rPr>
        <w:t xml:space="preserve"> the end of</w:t>
      </w:r>
      <w:r>
        <w:rPr>
          <w:rFonts w:ascii="Arial" w:eastAsia="Arial" w:hAnsi="Arial" w:cs="Arial"/>
          <w:bCs/>
          <w:color w:val="000000"/>
        </w:rPr>
        <w:t xml:space="preserve"> FY31</w:t>
      </w:r>
      <w:r w:rsidR="00E73077">
        <w:rPr>
          <w:rFonts w:ascii="Arial" w:eastAsia="Arial" w:hAnsi="Arial" w:cs="Arial"/>
          <w:bCs/>
          <w:color w:val="000000"/>
        </w:rPr>
        <w:t>.  The benefit of this activity has been valued using NHS tariff (in real terms) as a proxy for the health benefits that accrue as a result of this activity.  The calculation is based on the additional activity that occurs in each option beyond the level of the Business as Usual option.</w:t>
      </w:r>
    </w:p>
    <w:p w14:paraId="1AE6DEE1" w14:textId="116ED349" w:rsidR="00FF6E56" w:rsidRPr="00587DF1" w:rsidRDefault="00FF6E56" w:rsidP="00FF6E56">
      <w:pPr>
        <w:pStyle w:val="ListParagraph"/>
        <w:numPr>
          <w:ilvl w:val="0"/>
          <w:numId w:val="52"/>
        </w:numPr>
        <w:pBdr>
          <w:top w:val="nil"/>
          <w:left w:val="nil"/>
          <w:bottom w:val="nil"/>
          <w:right w:val="nil"/>
          <w:between w:val="nil"/>
        </w:pBdr>
        <w:tabs>
          <w:tab w:val="left" w:pos="567"/>
        </w:tabs>
        <w:ind w:left="567" w:hanging="207"/>
        <w:rPr>
          <w:rFonts w:ascii="Arial" w:eastAsia="Arial" w:hAnsi="Arial" w:cs="Arial"/>
          <w:bCs/>
          <w:color w:val="000000"/>
        </w:rPr>
      </w:pPr>
      <w:r w:rsidRPr="00587DF1">
        <w:rPr>
          <w:rFonts w:ascii="Arial" w:eastAsia="Arial" w:hAnsi="Arial" w:cs="Arial"/>
          <w:bCs/>
          <w:color w:val="000000"/>
        </w:rPr>
        <w:t xml:space="preserve">Reduction in CO2 emissions from a new building compared to the existing City Road site. This has been quantified based on the planned CO2 emissions in the latest design, and the cost per tonne of CO2 from the National Grid. </w:t>
      </w:r>
    </w:p>
    <w:p w14:paraId="359363E7" w14:textId="1AB2C08B" w:rsidR="00D67D1B" w:rsidRDefault="00D67D1B" w:rsidP="00FF6E56">
      <w:pPr>
        <w:pStyle w:val="ListParagraph"/>
        <w:numPr>
          <w:ilvl w:val="0"/>
          <w:numId w:val="52"/>
        </w:numPr>
        <w:pBdr>
          <w:top w:val="nil"/>
          <w:left w:val="nil"/>
          <w:bottom w:val="nil"/>
          <w:right w:val="nil"/>
          <w:between w:val="nil"/>
        </w:pBdr>
        <w:tabs>
          <w:tab w:val="left" w:pos="567"/>
        </w:tabs>
        <w:ind w:left="567" w:hanging="207"/>
        <w:rPr>
          <w:rFonts w:ascii="Arial" w:eastAsia="Arial" w:hAnsi="Arial" w:cs="Arial"/>
          <w:bCs/>
          <w:color w:val="000000"/>
        </w:rPr>
      </w:pPr>
      <w:r>
        <w:rPr>
          <w:rFonts w:ascii="Arial" w:eastAsia="Arial" w:hAnsi="Arial" w:cs="Arial"/>
          <w:bCs/>
          <w:color w:val="000000"/>
        </w:rPr>
        <w:t>Patient time saving – calculated based on a study of glaucoma patients and the savings in time generated by more efficiency pathways in the new facility.</w:t>
      </w:r>
    </w:p>
    <w:p w14:paraId="26010C7F" w14:textId="582720A2" w:rsidR="00FF6E56" w:rsidRPr="00587DF1" w:rsidRDefault="00FF6E56" w:rsidP="00FF6E56">
      <w:pPr>
        <w:pStyle w:val="ListParagraph"/>
        <w:numPr>
          <w:ilvl w:val="0"/>
          <w:numId w:val="52"/>
        </w:numPr>
        <w:pBdr>
          <w:top w:val="nil"/>
          <w:left w:val="nil"/>
          <w:bottom w:val="nil"/>
          <w:right w:val="nil"/>
          <w:between w:val="nil"/>
        </w:pBdr>
        <w:tabs>
          <w:tab w:val="left" w:pos="567"/>
        </w:tabs>
        <w:ind w:left="567" w:hanging="207"/>
        <w:rPr>
          <w:rFonts w:ascii="Arial" w:eastAsia="Arial" w:hAnsi="Arial" w:cs="Arial"/>
          <w:bCs/>
          <w:color w:val="000000"/>
        </w:rPr>
      </w:pPr>
      <w:r w:rsidRPr="00587DF1">
        <w:rPr>
          <w:rFonts w:ascii="Arial" w:eastAsia="Arial" w:hAnsi="Arial" w:cs="Arial"/>
          <w:bCs/>
          <w:color w:val="000000"/>
        </w:rPr>
        <w:t>Increased research output has a benefit to society as described in a Frontier economics paper for the department of business, innovation, and skills.</w:t>
      </w:r>
      <w:r w:rsidR="00D67D1B">
        <w:rPr>
          <w:rFonts w:ascii="Arial" w:eastAsia="Arial" w:hAnsi="Arial" w:cs="Arial"/>
          <w:bCs/>
          <w:color w:val="000000"/>
        </w:rPr>
        <w:t xml:space="preserve">  Increased research output as a result of the enhanced collaboration between MEH and UCL has been assessed using a number of studies into the impact of collaboration in other countries.</w:t>
      </w:r>
      <w:r w:rsidRPr="00587DF1">
        <w:rPr>
          <w:rFonts w:ascii="Arial" w:eastAsia="Arial" w:hAnsi="Arial" w:cs="Arial"/>
          <w:bCs/>
          <w:color w:val="000000"/>
        </w:rPr>
        <w:t xml:space="preserve"> </w:t>
      </w:r>
    </w:p>
    <w:p w14:paraId="114924CE" w14:textId="2ED4D763" w:rsidR="00FF6E56" w:rsidRPr="007749AF" w:rsidRDefault="00FF6E56" w:rsidP="00FF6E56">
      <w:p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 xml:space="preserve">The economic appraisal assumes that each of the options involving a significant capital investment can achieve </w:t>
      </w:r>
      <w:r w:rsidR="00E73077">
        <w:rPr>
          <w:rFonts w:ascii="Arial" w:eastAsia="Arial" w:hAnsi="Arial" w:cs="Arial"/>
          <w:bCs/>
          <w:color w:val="000000"/>
        </w:rPr>
        <w:t>these</w:t>
      </w:r>
      <w:r>
        <w:rPr>
          <w:rFonts w:ascii="Arial" w:eastAsia="Arial" w:hAnsi="Arial" w:cs="Arial"/>
          <w:bCs/>
          <w:color w:val="000000"/>
        </w:rPr>
        <w:t xml:space="preserve"> benefits (Options 2, 3 and 4) but that the other Options (0 and 1) do not.</w:t>
      </w:r>
      <w:r w:rsidR="00E73077">
        <w:rPr>
          <w:rFonts w:ascii="Arial" w:eastAsia="Arial" w:hAnsi="Arial" w:cs="Arial"/>
          <w:bCs/>
          <w:color w:val="000000"/>
        </w:rPr>
        <w:t xml:space="preserve">  The timing of Option 2 means that the benefits achieved are slightly lower in that option compared to Option 3 and 4.</w:t>
      </w:r>
    </w:p>
    <w:p w14:paraId="3E159CF2" w14:textId="77777777" w:rsidR="00FF6E56" w:rsidRPr="00FF6E56" w:rsidRDefault="00FF6E56" w:rsidP="00FF6E56">
      <w:pPr>
        <w:pStyle w:val="Heading2"/>
        <w:numPr>
          <w:ilvl w:val="2"/>
          <w:numId w:val="1"/>
        </w:numPr>
        <w:rPr>
          <w:rFonts w:ascii="Arial" w:eastAsia="Arial" w:hAnsi="Arial" w:cs="Arial"/>
          <w:color w:val="000000"/>
        </w:rPr>
      </w:pPr>
      <w:bookmarkStart w:id="204" w:name="_Toc30670706"/>
      <w:bookmarkStart w:id="205" w:name="_Toc32842713"/>
      <w:r w:rsidRPr="00FF6E56">
        <w:rPr>
          <w:rFonts w:ascii="Arial" w:eastAsia="Arial" w:hAnsi="Arial" w:cs="Arial"/>
          <w:color w:val="000000"/>
        </w:rPr>
        <w:t>Risk of shortlisted options</w:t>
      </w:r>
      <w:bookmarkEnd w:id="204"/>
      <w:bookmarkEnd w:id="205"/>
    </w:p>
    <w:p w14:paraId="5E32CCE6" w14:textId="77777777" w:rsidR="00FF6E56" w:rsidRDefault="00FF6E56" w:rsidP="00FF6E56">
      <w:pPr>
        <w:spacing w:after="0"/>
        <w:rPr>
          <w:rFonts w:ascii="Arial" w:hAnsi="Arial" w:cs="Arial"/>
        </w:rPr>
      </w:pPr>
    </w:p>
    <w:p w14:paraId="336005B1" w14:textId="3D51F1E9" w:rsidR="00D67D1B" w:rsidRDefault="00D67D1B" w:rsidP="00FF6E56">
      <w:pPr>
        <w:pBdr>
          <w:top w:val="nil"/>
          <w:left w:val="nil"/>
          <w:bottom w:val="nil"/>
          <w:right w:val="nil"/>
          <w:between w:val="nil"/>
        </w:pBdr>
        <w:tabs>
          <w:tab w:val="left" w:pos="567"/>
        </w:tabs>
        <w:spacing w:after="0"/>
        <w:rPr>
          <w:rFonts w:ascii="Arial" w:eastAsia="Arial" w:hAnsi="Arial" w:cs="Arial"/>
          <w:color w:val="000000"/>
        </w:rPr>
      </w:pPr>
      <w:r>
        <w:rPr>
          <w:rFonts w:ascii="Arial" w:eastAsia="Arial" w:hAnsi="Arial" w:cs="Arial"/>
          <w:color w:val="000000"/>
        </w:rPr>
        <w:t>Quantified risk has been assessed for each option and included in the CIAM.  Following CIAM guidance, this risk has been adjusted to reflect contingency included in the initial capital costs so as not to double count risk.</w:t>
      </w:r>
    </w:p>
    <w:p w14:paraId="4D37AC14" w14:textId="77777777" w:rsidR="00D67D1B" w:rsidRDefault="00D67D1B" w:rsidP="00FF6E56">
      <w:pPr>
        <w:pBdr>
          <w:top w:val="nil"/>
          <w:left w:val="nil"/>
          <w:bottom w:val="nil"/>
          <w:right w:val="nil"/>
          <w:between w:val="nil"/>
        </w:pBdr>
        <w:tabs>
          <w:tab w:val="left" w:pos="567"/>
        </w:tabs>
        <w:spacing w:after="0"/>
        <w:rPr>
          <w:rFonts w:ascii="Arial" w:eastAsia="Arial" w:hAnsi="Arial" w:cs="Arial"/>
          <w:color w:val="000000"/>
        </w:rPr>
      </w:pPr>
    </w:p>
    <w:p w14:paraId="57570D14" w14:textId="2A9FBD8E" w:rsidR="00D67D1B" w:rsidRDefault="00D67D1B" w:rsidP="00FF6E56">
      <w:pPr>
        <w:pBdr>
          <w:top w:val="nil"/>
          <w:left w:val="nil"/>
          <w:bottom w:val="nil"/>
          <w:right w:val="nil"/>
          <w:between w:val="nil"/>
        </w:pBdr>
        <w:tabs>
          <w:tab w:val="left" w:pos="567"/>
        </w:tabs>
        <w:spacing w:after="0"/>
        <w:rPr>
          <w:rFonts w:ascii="Arial" w:eastAsia="Arial" w:hAnsi="Arial" w:cs="Arial"/>
          <w:color w:val="000000"/>
        </w:rPr>
      </w:pPr>
      <w:r>
        <w:rPr>
          <w:rFonts w:ascii="Arial" w:eastAsia="Arial" w:hAnsi="Arial" w:cs="Arial"/>
          <w:color w:val="000000"/>
        </w:rPr>
        <w:t>The methodology for assessing risk is set out in Appendix 4C.</w:t>
      </w:r>
    </w:p>
    <w:p w14:paraId="552C9432" w14:textId="3D3C4967" w:rsidR="00D67D1B" w:rsidRDefault="00D67D1B" w:rsidP="00FF6E56">
      <w:pPr>
        <w:pBdr>
          <w:top w:val="nil"/>
          <w:left w:val="nil"/>
          <w:bottom w:val="nil"/>
          <w:right w:val="nil"/>
          <w:between w:val="nil"/>
        </w:pBdr>
        <w:tabs>
          <w:tab w:val="left" w:pos="567"/>
        </w:tabs>
        <w:spacing w:after="0"/>
        <w:rPr>
          <w:rFonts w:ascii="Arial" w:eastAsia="Arial" w:hAnsi="Arial" w:cs="Arial"/>
          <w:b/>
          <w:color w:val="000000"/>
        </w:rPr>
      </w:pPr>
    </w:p>
    <w:p w14:paraId="5DEB7D5A" w14:textId="24EA8CE9" w:rsidR="00FF6E56" w:rsidRPr="000E08B9" w:rsidRDefault="00FF6E56" w:rsidP="00FF6E56">
      <w:pPr>
        <w:pBdr>
          <w:top w:val="nil"/>
          <w:left w:val="nil"/>
          <w:bottom w:val="nil"/>
          <w:right w:val="nil"/>
          <w:between w:val="nil"/>
        </w:pBdr>
        <w:tabs>
          <w:tab w:val="left" w:pos="567"/>
        </w:tabs>
        <w:spacing w:after="0"/>
        <w:rPr>
          <w:rFonts w:ascii="Arial" w:eastAsia="Arial" w:hAnsi="Arial" w:cs="Arial"/>
          <w:b/>
          <w:color w:val="000000"/>
        </w:rPr>
      </w:pPr>
      <w:r w:rsidRPr="000E08B9">
        <w:rPr>
          <w:rFonts w:ascii="Arial" w:eastAsia="Arial" w:hAnsi="Arial" w:cs="Arial"/>
          <w:b/>
          <w:color w:val="000000"/>
        </w:rPr>
        <w:t xml:space="preserve">Option 0: Business as Usual </w:t>
      </w:r>
    </w:p>
    <w:p w14:paraId="2E34D1D1" w14:textId="5F1A2FE0" w:rsidR="00FF6E56" w:rsidRDefault="00FF6E56" w:rsidP="00FF6E56">
      <w:pPr>
        <w:rPr>
          <w:rFonts w:ascii="Arial" w:hAnsi="Arial" w:cs="Arial"/>
        </w:rPr>
      </w:pPr>
      <w:r w:rsidRPr="005A148B">
        <w:rPr>
          <w:rFonts w:ascii="Arial" w:hAnsi="Arial" w:cs="Arial"/>
        </w:rPr>
        <w:t>Business as Usual is presented for comparison purposes.  It assumes underlying historical trends in maintenance expenditure.  However, this is not considered a realistic option due to the level of impending backlog.  An assessment of the investment required to maintain operations at the City Road site has been undertaken and this is represented in the Do Minimum (</w:t>
      </w:r>
      <w:r>
        <w:rPr>
          <w:rFonts w:ascii="Arial" w:hAnsi="Arial" w:cs="Arial"/>
        </w:rPr>
        <w:t>O</w:t>
      </w:r>
      <w:r w:rsidRPr="005A148B">
        <w:rPr>
          <w:rFonts w:ascii="Arial" w:hAnsi="Arial" w:cs="Arial"/>
        </w:rPr>
        <w:t xml:space="preserve">ption 1).  </w:t>
      </w:r>
      <w:r>
        <w:rPr>
          <w:rFonts w:ascii="Arial" w:hAnsi="Arial" w:cs="Arial"/>
        </w:rPr>
        <w:t>The operational risk represented by continuing at BAU levels of capex has been quantified at between £</w:t>
      </w:r>
      <w:r w:rsidR="00AC38C4">
        <w:rPr>
          <w:rFonts w:ascii="Arial" w:hAnsi="Arial" w:cs="Arial"/>
        </w:rPr>
        <w:t>XXX</w:t>
      </w:r>
      <w:r>
        <w:rPr>
          <w:rFonts w:ascii="Arial" w:hAnsi="Arial" w:cs="Arial"/>
        </w:rPr>
        <w:t>m and £</w:t>
      </w:r>
      <w:r w:rsidR="00AC38C4">
        <w:rPr>
          <w:rFonts w:ascii="Arial" w:hAnsi="Arial" w:cs="Arial"/>
        </w:rPr>
        <w:t>XXX</w:t>
      </w:r>
      <w:r>
        <w:rPr>
          <w:rFonts w:ascii="Arial" w:hAnsi="Arial" w:cs="Arial"/>
        </w:rPr>
        <w:t>m per annum.  In disco</w:t>
      </w:r>
      <w:r w:rsidR="00D67D1B">
        <w:rPr>
          <w:rFonts w:ascii="Arial" w:hAnsi="Arial" w:cs="Arial"/>
        </w:rPr>
        <w:t>unted terms, this equates to £</w:t>
      </w:r>
      <w:r w:rsidR="00AC38C4">
        <w:rPr>
          <w:rFonts w:ascii="Arial" w:hAnsi="Arial" w:cs="Arial"/>
        </w:rPr>
        <w:t>XXX</w:t>
      </w:r>
      <w:r w:rsidRPr="005A148B">
        <w:rPr>
          <w:rFonts w:ascii="Arial" w:hAnsi="Arial" w:cs="Arial"/>
        </w:rPr>
        <w:t>m</w:t>
      </w:r>
      <w:r>
        <w:rPr>
          <w:rFonts w:ascii="Arial" w:hAnsi="Arial" w:cs="Arial"/>
        </w:rPr>
        <w:t xml:space="preserve"> of risk shown against Option 1</w:t>
      </w:r>
      <w:r w:rsidR="00D67D1B">
        <w:rPr>
          <w:rFonts w:ascii="Arial" w:hAnsi="Arial" w:cs="Arial"/>
        </w:rPr>
        <w:t>.  This is the option with the highest quantified risk.</w:t>
      </w:r>
    </w:p>
    <w:p w14:paraId="3B621CE3" w14:textId="77777777" w:rsidR="00FF6E56" w:rsidRPr="000E08B9" w:rsidRDefault="00FF6E56" w:rsidP="00FF6E56">
      <w:pPr>
        <w:pBdr>
          <w:top w:val="nil"/>
          <w:left w:val="nil"/>
          <w:bottom w:val="nil"/>
          <w:right w:val="nil"/>
          <w:between w:val="nil"/>
        </w:pBdr>
        <w:tabs>
          <w:tab w:val="left" w:pos="567"/>
        </w:tabs>
        <w:spacing w:after="0"/>
        <w:rPr>
          <w:rFonts w:ascii="Arial" w:eastAsia="Arial" w:hAnsi="Arial" w:cs="Arial"/>
          <w:b/>
          <w:color w:val="000000"/>
        </w:rPr>
      </w:pPr>
      <w:r w:rsidRPr="000E08B9">
        <w:rPr>
          <w:rFonts w:ascii="Arial" w:eastAsia="Arial" w:hAnsi="Arial" w:cs="Arial"/>
          <w:b/>
          <w:color w:val="000000"/>
        </w:rPr>
        <w:t>Option 1: Do minimum</w:t>
      </w:r>
    </w:p>
    <w:p w14:paraId="3DFB01C3" w14:textId="712D86CB" w:rsidR="00FF6E56" w:rsidRPr="005A148B" w:rsidRDefault="000A18C4" w:rsidP="00FF6E56">
      <w:pPr>
        <w:rPr>
          <w:rFonts w:ascii="Arial" w:hAnsi="Arial" w:cs="Arial"/>
        </w:rPr>
      </w:pPr>
      <w:r>
        <w:rPr>
          <w:rFonts w:ascii="Arial" w:hAnsi="Arial" w:cs="Arial"/>
        </w:rPr>
        <w:t xml:space="preserve">Design and construction risk is included in the contingency within capital costs as assessed by the trust’s cost consultants.  A number of additional risks are quantified here beyond this. This option has the lowest additional quantified risk given the </w:t>
      </w:r>
      <w:r w:rsidR="00E73077">
        <w:rPr>
          <w:rFonts w:ascii="Arial" w:hAnsi="Arial" w:cs="Arial"/>
        </w:rPr>
        <w:t>simpler</w:t>
      </w:r>
      <w:r>
        <w:rPr>
          <w:rFonts w:ascii="Arial" w:hAnsi="Arial" w:cs="Arial"/>
        </w:rPr>
        <w:t xml:space="preserve"> project this involves.  However, it also has the lowest benefit-cost ratio.</w:t>
      </w:r>
    </w:p>
    <w:p w14:paraId="617F72C0" w14:textId="77777777" w:rsidR="00FF6E56" w:rsidRPr="000E08B9" w:rsidRDefault="00FF6E56" w:rsidP="00FF6E56">
      <w:pPr>
        <w:pBdr>
          <w:top w:val="nil"/>
          <w:left w:val="nil"/>
          <w:bottom w:val="nil"/>
          <w:right w:val="nil"/>
          <w:between w:val="nil"/>
        </w:pBdr>
        <w:tabs>
          <w:tab w:val="left" w:pos="567"/>
        </w:tabs>
        <w:spacing w:after="0"/>
        <w:rPr>
          <w:rFonts w:ascii="Arial" w:eastAsia="Arial" w:hAnsi="Arial" w:cs="Arial"/>
          <w:b/>
          <w:color w:val="000000"/>
        </w:rPr>
      </w:pPr>
      <w:r w:rsidRPr="000E08B9">
        <w:rPr>
          <w:rFonts w:ascii="Arial" w:eastAsia="Arial" w:hAnsi="Arial" w:cs="Arial"/>
          <w:b/>
          <w:color w:val="000000"/>
        </w:rPr>
        <w:lastRenderedPageBreak/>
        <w:t>Option 2: Redevelopment of City Road</w:t>
      </w:r>
    </w:p>
    <w:p w14:paraId="5A6FA802" w14:textId="727B39D9" w:rsidR="00FF6E56" w:rsidRDefault="000A18C4" w:rsidP="00FF6E56">
      <w:pPr>
        <w:pBdr>
          <w:top w:val="nil"/>
          <w:left w:val="nil"/>
          <w:bottom w:val="nil"/>
          <w:right w:val="nil"/>
          <w:between w:val="nil"/>
        </w:pBdr>
        <w:tabs>
          <w:tab w:val="left" w:pos="567"/>
        </w:tabs>
        <w:rPr>
          <w:rFonts w:ascii="Arial" w:eastAsia="Arial" w:hAnsi="Arial" w:cs="Arial"/>
          <w:bCs/>
          <w:color w:val="000000"/>
        </w:rPr>
      </w:pPr>
      <w:r>
        <w:rPr>
          <w:rFonts w:ascii="Arial" w:hAnsi="Arial" w:cs="Arial"/>
        </w:rPr>
        <w:t xml:space="preserve">Design and construction risk are included in </w:t>
      </w:r>
      <w:r w:rsidR="00E73077">
        <w:rPr>
          <w:rFonts w:ascii="Arial" w:hAnsi="Arial" w:cs="Arial"/>
        </w:rPr>
        <w:t xml:space="preserve">a 10% </w:t>
      </w:r>
      <w:r w:rsidR="00FF6E56">
        <w:rPr>
          <w:rFonts w:ascii="Arial" w:eastAsia="Arial" w:hAnsi="Arial" w:cs="Arial"/>
          <w:bCs/>
          <w:color w:val="000000"/>
        </w:rPr>
        <w:t>contingency</w:t>
      </w:r>
      <w:r w:rsidR="00E73077">
        <w:rPr>
          <w:rFonts w:ascii="Arial" w:eastAsia="Arial" w:hAnsi="Arial" w:cs="Arial"/>
          <w:bCs/>
          <w:color w:val="000000"/>
        </w:rPr>
        <w:t xml:space="preserve"> (as part of the capital costs)</w:t>
      </w:r>
      <w:r w:rsidR="00FF6E56">
        <w:rPr>
          <w:rFonts w:ascii="Arial" w:eastAsia="Arial" w:hAnsi="Arial" w:cs="Arial"/>
          <w:bCs/>
          <w:color w:val="000000"/>
        </w:rPr>
        <w:t xml:space="preserve"> and</w:t>
      </w:r>
      <w:r>
        <w:rPr>
          <w:rFonts w:ascii="Arial" w:eastAsia="Arial" w:hAnsi="Arial" w:cs="Arial"/>
          <w:bCs/>
          <w:color w:val="000000"/>
        </w:rPr>
        <w:t xml:space="preserve"> a 37% optimism bias</w:t>
      </w:r>
      <w:r w:rsidR="00FF6E56">
        <w:rPr>
          <w:rFonts w:ascii="Arial" w:eastAsia="Arial" w:hAnsi="Arial" w:cs="Arial"/>
          <w:bCs/>
          <w:color w:val="000000"/>
        </w:rPr>
        <w:t>.  The significantly increased optimism bias over other options reflects key factors highlighted as relevant in the DHSC Comprehensive Investment Appraisal model, including:</w:t>
      </w:r>
    </w:p>
    <w:p w14:paraId="088D3277" w14:textId="77777777" w:rsidR="00FF6E56" w:rsidRDefault="00FF6E56" w:rsidP="004F4B79">
      <w:pPr>
        <w:pStyle w:val="ListParagraph"/>
        <w:numPr>
          <w:ilvl w:val="0"/>
          <w:numId w:val="145"/>
        </w:num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Length of build.</w:t>
      </w:r>
    </w:p>
    <w:p w14:paraId="2BD5BBA0" w14:textId="77777777" w:rsidR="00FF6E56" w:rsidRDefault="00FF6E56" w:rsidP="004F4B79">
      <w:pPr>
        <w:pStyle w:val="ListParagraph"/>
        <w:numPr>
          <w:ilvl w:val="0"/>
          <w:numId w:val="145"/>
        </w:num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Number of construction phases.</w:t>
      </w:r>
    </w:p>
    <w:p w14:paraId="418BAC09" w14:textId="77777777" w:rsidR="00FF6E56" w:rsidRDefault="00FF6E56" w:rsidP="004F4B79">
      <w:pPr>
        <w:pStyle w:val="ListParagraph"/>
        <w:numPr>
          <w:ilvl w:val="0"/>
          <w:numId w:val="145"/>
        </w:num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That it is a redevelopment of an existing site as opposed to new build.</w:t>
      </w:r>
    </w:p>
    <w:p w14:paraId="2653B6FA" w14:textId="77777777" w:rsidR="00FF6E56" w:rsidRDefault="00FF6E56" w:rsidP="004F4B79">
      <w:pPr>
        <w:pStyle w:val="ListParagraph"/>
        <w:numPr>
          <w:ilvl w:val="0"/>
          <w:numId w:val="145"/>
        </w:num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Design complexity.</w:t>
      </w:r>
    </w:p>
    <w:p w14:paraId="749F6943" w14:textId="32E28442" w:rsidR="00FF6E56" w:rsidRDefault="00C81F96" w:rsidP="00FF6E56">
      <w:p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 xml:space="preserve">The quantified risk section of the CIAM includes risks in </w:t>
      </w:r>
      <w:r w:rsidR="00FF6E56">
        <w:rPr>
          <w:rFonts w:ascii="Arial" w:eastAsia="Arial" w:hAnsi="Arial" w:cs="Arial"/>
          <w:bCs/>
          <w:color w:val="000000"/>
        </w:rPr>
        <w:t xml:space="preserve">addition to this </w:t>
      </w:r>
      <w:r>
        <w:rPr>
          <w:rFonts w:ascii="Arial" w:eastAsia="Arial" w:hAnsi="Arial" w:cs="Arial"/>
          <w:bCs/>
          <w:color w:val="000000"/>
        </w:rPr>
        <w:t>such as</w:t>
      </w:r>
      <w:r w:rsidR="00FF6E56">
        <w:rPr>
          <w:rFonts w:ascii="Arial" w:eastAsia="Arial" w:hAnsi="Arial" w:cs="Arial"/>
          <w:bCs/>
          <w:color w:val="000000"/>
        </w:rPr>
        <w:t xml:space="preserve"> uncertainty in relation to the complexity of the decant plan</w:t>
      </w:r>
      <w:r w:rsidR="000A18C4">
        <w:rPr>
          <w:rFonts w:ascii="Arial" w:eastAsia="Arial" w:hAnsi="Arial" w:cs="Arial"/>
          <w:bCs/>
          <w:color w:val="000000"/>
        </w:rPr>
        <w:t xml:space="preserve"> and the disruption to services.</w:t>
      </w:r>
      <w:r>
        <w:rPr>
          <w:rFonts w:ascii="Arial" w:eastAsia="Arial" w:hAnsi="Arial" w:cs="Arial"/>
          <w:bCs/>
          <w:color w:val="000000"/>
        </w:rPr>
        <w:t xml:space="preserve">  These mean that option 2 has the highest level of </w:t>
      </w:r>
      <w:r w:rsidR="00E73077">
        <w:rPr>
          <w:rFonts w:ascii="Arial" w:eastAsia="Arial" w:hAnsi="Arial" w:cs="Arial"/>
          <w:bCs/>
          <w:color w:val="000000"/>
        </w:rPr>
        <w:t xml:space="preserve">additionally </w:t>
      </w:r>
      <w:r>
        <w:rPr>
          <w:rFonts w:ascii="Arial" w:eastAsia="Arial" w:hAnsi="Arial" w:cs="Arial"/>
          <w:bCs/>
          <w:color w:val="000000"/>
        </w:rPr>
        <w:t>quantified risk – reflecting that this is the most complex construction project proposed.</w:t>
      </w:r>
    </w:p>
    <w:p w14:paraId="36035561" w14:textId="35D7AC4B" w:rsidR="00C81F96" w:rsidRDefault="00FF6E56" w:rsidP="004C10BD">
      <w:pPr>
        <w:pBdr>
          <w:top w:val="nil"/>
          <w:left w:val="nil"/>
          <w:bottom w:val="nil"/>
          <w:right w:val="nil"/>
          <w:between w:val="nil"/>
        </w:pBdr>
        <w:tabs>
          <w:tab w:val="left" w:pos="567"/>
        </w:tabs>
        <w:spacing w:after="0"/>
        <w:rPr>
          <w:rFonts w:ascii="Arial" w:eastAsia="Arial" w:hAnsi="Arial" w:cs="Arial"/>
          <w:b/>
          <w:color w:val="000000"/>
        </w:rPr>
      </w:pPr>
      <w:r w:rsidRPr="000E08B9">
        <w:rPr>
          <w:rFonts w:ascii="Arial" w:eastAsia="Arial" w:hAnsi="Arial" w:cs="Arial"/>
          <w:b/>
          <w:color w:val="000000"/>
        </w:rPr>
        <w:t xml:space="preserve">Options 3 and 4: new facility at St Pancras – 39,500 square </w:t>
      </w:r>
      <w:r w:rsidR="004C10BD">
        <w:rPr>
          <w:rFonts w:ascii="Arial" w:eastAsia="Arial" w:hAnsi="Arial" w:cs="Arial"/>
          <w:b/>
          <w:color w:val="000000"/>
        </w:rPr>
        <w:t>metres and 43,000 square metres</w:t>
      </w:r>
    </w:p>
    <w:p w14:paraId="2DF99915" w14:textId="77777777" w:rsidR="004C10BD" w:rsidRPr="004C10BD" w:rsidRDefault="004C10BD" w:rsidP="004C10BD">
      <w:pPr>
        <w:pBdr>
          <w:top w:val="nil"/>
          <w:left w:val="nil"/>
          <w:bottom w:val="nil"/>
          <w:right w:val="nil"/>
          <w:between w:val="nil"/>
        </w:pBdr>
        <w:tabs>
          <w:tab w:val="left" w:pos="567"/>
        </w:tabs>
        <w:spacing w:after="0"/>
        <w:rPr>
          <w:rFonts w:ascii="Arial" w:eastAsia="Arial" w:hAnsi="Arial" w:cs="Arial"/>
          <w:b/>
          <w:color w:val="000000"/>
        </w:rPr>
      </w:pPr>
    </w:p>
    <w:p w14:paraId="3712BF10" w14:textId="26C064D6" w:rsidR="00C81F96" w:rsidRDefault="00FF6E56" w:rsidP="00FF6E56">
      <w:p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 xml:space="preserve">Both options include 10% contingency and 15% optimism bias.  </w:t>
      </w:r>
      <w:r w:rsidR="00C81F96">
        <w:rPr>
          <w:rFonts w:ascii="Arial" w:eastAsia="Arial" w:hAnsi="Arial" w:cs="Arial"/>
          <w:bCs/>
          <w:color w:val="000000"/>
        </w:rPr>
        <w:t>Additional risks have been identified and quantified in the CIAM, not already included within those assumptions, relating to design, various factors that might cause delays, specific additional costs relating to construction and accessibility, and additional resources that might be required in the transition period.  These are set out in further detail in the risk register provided in the management case and in the</w:t>
      </w:r>
      <w:r w:rsidR="004C10BD">
        <w:rPr>
          <w:rFonts w:ascii="Arial" w:eastAsia="Arial" w:hAnsi="Arial" w:cs="Arial"/>
          <w:bCs/>
          <w:color w:val="000000"/>
        </w:rPr>
        <w:t xml:space="preserve"> CIAM provided as appendix 4F. </w:t>
      </w:r>
    </w:p>
    <w:p w14:paraId="0F139E4D" w14:textId="5D4515D6" w:rsidR="00FF6E56" w:rsidRDefault="00FF6E56" w:rsidP="0009374F">
      <w:pPr>
        <w:pStyle w:val="Heading2"/>
        <w:numPr>
          <w:ilvl w:val="2"/>
          <w:numId w:val="1"/>
        </w:numPr>
        <w:rPr>
          <w:rFonts w:ascii="Arial" w:eastAsia="Arial" w:hAnsi="Arial" w:cs="Arial"/>
          <w:color w:val="000000"/>
        </w:rPr>
      </w:pPr>
      <w:r w:rsidRPr="0009374F">
        <w:rPr>
          <w:rFonts w:ascii="Arial" w:eastAsia="Arial" w:hAnsi="Arial" w:cs="Arial"/>
          <w:color w:val="000000"/>
        </w:rPr>
        <w:t>Conclusions</w:t>
      </w:r>
      <w:bookmarkStart w:id="206" w:name="_Toc413331341"/>
      <w:bookmarkStart w:id="207" w:name="_Toc409771210"/>
      <w:r w:rsidRPr="0009374F">
        <w:rPr>
          <w:rFonts w:ascii="Arial" w:eastAsia="Arial" w:hAnsi="Arial" w:cs="Arial"/>
          <w:color w:val="000000"/>
        </w:rPr>
        <w:t xml:space="preserve"> of the economic appraisal</w:t>
      </w:r>
    </w:p>
    <w:p w14:paraId="3E63AA8E" w14:textId="77777777" w:rsidR="0009374F" w:rsidRPr="0009374F" w:rsidRDefault="0009374F" w:rsidP="0009374F">
      <w:pPr>
        <w:spacing w:after="0"/>
      </w:pPr>
    </w:p>
    <w:p w14:paraId="7EACABC3" w14:textId="0AAB7AC5" w:rsidR="00FF6E56" w:rsidRPr="000B74BF" w:rsidRDefault="00AC38C4" w:rsidP="00FF6E56">
      <w:pPr>
        <w:rPr>
          <w:rFonts w:ascii="Arial" w:hAnsi="Arial" w:cs="Arial"/>
        </w:rPr>
      </w:pPr>
      <w:r>
        <w:rPr>
          <w:rFonts w:ascii="Arial" w:hAnsi="Arial" w:cs="Arial"/>
        </w:rPr>
        <w:t>[Redacted</w:t>
      </w:r>
    </w:p>
    <w:p w14:paraId="41465618" w14:textId="77777777" w:rsidR="00FF6E56" w:rsidRPr="00715BA4" w:rsidRDefault="00FF6E56" w:rsidP="00FF6E56">
      <w:pPr>
        <w:rPr>
          <w:rFonts w:ascii="Arial" w:hAnsi="Arial" w:cs="Arial"/>
        </w:rPr>
      </w:pPr>
      <w:r w:rsidRPr="00715BA4">
        <w:rPr>
          <w:rFonts w:ascii="Arial" w:hAnsi="Arial" w:cs="Arial"/>
        </w:rPr>
        <w:t>Option</w:t>
      </w:r>
      <w:r>
        <w:rPr>
          <w:rFonts w:ascii="Arial" w:hAnsi="Arial" w:cs="Arial"/>
        </w:rPr>
        <w:t>s</w:t>
      </w:r>
      <w:r w:rsidRPr="00715BA4">
        <w:rPr>
          <w:rFonts w:ascii="Arial" w:hAnsi="Arial" w:cs="Arial"/>
        </w:rPr>
        <w:t xml:space="preserve"> 3 and 4 have the highest NPSV and benefit-cost ratio.  The incremental cost in these options represents both the additional capital required to build a new facility and also the additional revenue cost of delivering the additional activity, which in turn generates economic benefits.</w:t>
      </w:r>
    </w:p>
    <w:p w14:paraId="4261B31B" w14:textId="28F3F45F" w:rsidR="00FF6E56" w:rsidRPr="00715BA4" w:rsidRDefault="00FF6E56" w:rsidP="00FF6E56">
      <w:pPr>
        <w:rPr>
          <w:rFonts w:ascii="Arial" w:hAnsi="Arial" w:cs="Arial"/>
        </w:rPr>
      </w:pPr>
      <w:r w:rsidRPr="00715BA4">
        <w:rPr>
          <w:rFonts w:ascii="Arial" w:hAnsi="Arial" w:cs="Arial"/>
        </w:rPr>
        <w:t xml:space="preserve">The difference between the two options is an additional 3,500 sqm within the new facility to be utilised for commercial opportunities.  </w:t>
      </w:r>
      <w:r w:rsidR="009300D3">
        <w:rPr>
          <w:rFonts w:ascii="Arial" w:hAnsi="Arial" w:cs="Arial"/>
        </w:rPr>
        <w:t>The</w:t>
      </w:r>
      <w:r w:rsidRPr="00715BA4">
        <w:rPr>
          <w:rFonts w:ascii="Arial" w:hAnsi="Arial" w:cs="Arial"/>
        </w:rPr>
        <w:t xml:space="preserve"> assumption in the economic model is that this space generates sufficient economic benefits to offset its cost – and this has been tested for reasonableness at a high level against the market rate for rental of the space.  Depending on the usage, there may be further economic benefits to be realised, but this has not been included at this stage.</w:t>
      </w:r>
    </w:p>
    <w:p w14:paraId="3920EB3A" w14:textId="6F919B99" w:rsidR="00FF6E56" w:rsidRPr="00715BA4" w:rsidRDefault="00FF6E56" w:rsidP="00FF6E56">
      <w:pPr>
        <w:rPr>
          <w:rFonts w:ascii="Arial" w:hAnsi="Arial" w:cs="Arial"/>
        </w:rPr>
      </w:pPr>
      <w:r w:rsidRPr="00715BA4">
        <w:rPr>
          <w:rFonts w:ascii="Arial" w:hAnsi="Arial" w:cs="Arial"/>
        </w:rPr>
        <w:t xml:space="preserve">However, </w:t>
      </w:r>
      <w:r>
        <w:rPr>
          <w:rFonts w:ascii="Arial" w:hAnsi="Arial" w:cs="Arial"/>
          <w:b/>
        </w:rPr>
        <w:t>O</w:t>
      </w:r>
      <w:r w:rsidRPr="00715BA4">
        <w:rPr>
          <w:rFonts w:ascii="Arial" w:hAnsi="Arial" w:cs="Arial"/>
          <w:b/>
        </w:rPr>
        <w:t>ption 3 is selected as the preferred option</w:t>
      </w:r>
      <w:r>
        <w:rPr>
          <w:rFonts w:ascii="Arial" w:hAnsi="Arial" w:cs="Arial"/>
        </w:rPr>
        <w:t xml:space="preserve">. While the </w:t>
      </w:r>
      <w:r w:rsidRPr="00715BA4">
        <w:rPr>
          <w:rFonts w:ascii="Arial" w:hAnsi="Arial" w:cs="Arial"/>
        </w:rPr>
        <w:t>additional capital cost of</w:t>
      </w:r>
      <w:r>
        <w:rPr>
          <w:rFonts w:ascii="Arial" w:hAnsi="Arial" w:cs="Arial"/>
        </w:rPr>
        <w:t xml:space="preserve"> Option 4 (</w:t>
      </w:r>
      <w:r w:rsidR="006B55F9">
        <w:rPr>
          <w:rFonts w:ascii="Arial" w:hAnsi="Arial" w:cs="Arial"/>
        </w:rPr>
        <w:t>£</w:t>
      </w:r>
      <w:r w:rsidR="00AC38C4">
        <w:rPr>
          <w:rFonts w:ascii="Arial" w:hAnsi="Arial" w:cs="Arial"/>
        </w:rPr>
        <w:t>XXX</w:t>
      </w:r>
      <w:r w:rsidRPr="00715BA4">
        <w:rPr>
          <w:rFonts w:ascii="Arial" w:hAnsi="Arial" w:cs="Arial"/>
        </w:rPr>
        <w:t>m</w:t>
      </w:r>
      <w:r>
        <w:rPr>
          <w:rFonts w:ascii="Arial" w:hAnsi="Arial" w:cs="Arial"/>
        </w:rPr>
        <w:t xml:space="preserve">, </w:t>
      </w:r>
      <w:r w:rsidRPr="00715BA4">
        <w:rPr>
          <w:rFonts w:ascii="Arial" w:hAnsi="Arial" w:cs="Arial"/>
        </w:rPr>
        <w:t>undiscounted)</w:t>
      </w:r>
      <w:r>
        <w:rPr>
          <w:rFonts w:ascii="Arial" w:hAnsi="Arial" w:cs="Arial"/>
        </w:rPr>
        <w:t xml:space="preserve"> is </w:t>
      </w:r>
      <w:r w:rsidRPr="00715BA4">
        <w:rPr>
          <w:rFonts w:ascii="Arial" w:hAnsi="Arial" w:cs="Arial"/>
        </w:rPr>
        <w:t>justifiable on economic grounds, i</w:t>
      </w:r>
      <w:r w:rsidR="00337FFD">
        <w:rPr>
          <w:rFonts w:ascii="Arial" w:hAnsi="Arial" w:cs="Arial"/>
        </w:rPr>
        <w:t>t i</w:t>
      </w:r>
      <w:r w:rsidRPr="00715BA4">
        <w:rPr>
          <w:rFonts w:ascii="Arial" w:hAnsi="Arial" w:cs="Arial"/>
        </w:rPr>
        <w:t xml:space="preserve">s not considered affordable as </w:t>
      </w:r>
      <w:r>
        <w:rPr>
          <w:rFonts w:ascii="Arial" w:hAnsi="Arial" w:cs="Arial"/>
        </w:rPr>
        <w:t xml:space="preserve">the trust has not </w:t>
      </w:r>
      <w:r w:rsidRPr="00715BA4">
        <w:rPr>
          <w:rFonts w:ascii="Arial" w:hAnsi="Arial" w:cs="Arial"/>
        </w:rPr>
        <w:t>identif</w:t>
      </w:r>
      <w:r>
        <w:rPr>
          <w:rFonts w:ascii="Arial" w:hAnsi="Arial" w:cs="Arial"/>
        </w:rPr>
        <w:t>ied</w:t>
      </w:r>
      <w:r w:rsidRPr="00715BA4">
        <w:rPr>
          <w:rFonts w:ascii="Arial" w:hAnsi="Arial" w:cs="Arial"/>
        </w:rPr>
        <w:t xml:space="preserve"> additional sources of </w:t>
      </w:r>
      <w:r>
        <w:rPr>
          <w:rFonts w:ascii="Arial" w:hAnsi="Arial" w:cs="Arial"/>
        </w:rPr>
        <w:t xml:space="preserve">capital </w:t>
      </w:r>
      <w:r w:rsidRPr="00715BA4">
        <w:rPr>
          <w:rFonts w:ascii="Arial" w:hAnsi="Arial" w:cs="Arial"/>
        </w:rPr>
        <w:t>funding</w:t>
      </w:r>
      <w:r>
        <w:rPr>
          <w:rFonts w:ascii="Arial" w:hAnsi="Arial" w:cs="Arial"/>
        </w:rPr>
        <w:t xml:space="preserve">. In addition, while </w:t>
      </w:r>
      <w:r w:rsidRPr="00715BA4">
        <w:rPr>
          <w:rFonts w:ascii="Arial" w:hAnsi="Arial" w:cs="Arial"/>
        </w:rPr>
        <w:t xml:space="preserve">the revenue and risk implications are acceptable in a base case, </w:t>
      </w:r>
      <w:r>
        <w:rPr>
          <w:rFonts w:ascii="Arial" w:hAnsi="Arial" w:cs="Arial"/>
        </w:rPr>
        <w:t xml:space="preserve">sufficient certainty as to the use of this additional space has not been identified at OBC </w:t>
      </w:r>
      <w:r w:rsidRPr="00715BA4">
        <w:rPr>
          <w:rFonts w:ascii="Arial" w:hAnsi="Arial" w:cs="Arial"/>
        </w:rPr>
        <w:t xml:space="preserve">stage. </w:t>
      </w:r>
    </w:p>
    <w:p w14:paraId="794B87C7" w14:textId="4FF273CD" w:rsidR="008E01D0" w:rsidRPr="00715BA4" w:rsidRDefault="00FF6E56" w:rsidP="00FF6E56">
      <w:pPr>
        <w:rPr>
          <w:rFonts w:ascii="Arial" w:hAnsi="Arial" w:cs="Arial"/>
        </w:rPr>
      </w:pPr>
      <w:r w:rsidRPr="00715BA4">
        <w:rPr>
          <w:rFonts w:ascii="Arial" w:hAnsi="Arial" w:cs="Arial"/>
        </w:rPr>
        <w:lastRenderedPageBreak/>
        <w:t xml:space="preserve">Having discounted </w:t>
      </w:r>
      <w:r>
        <w:rPr>
          <w:rFonts w:ascii="Arial" w:hAnsi="Arial" w:cs="Arial"/>
        </w:rPr>
        <w:t>O</w:t>
      </w:r>
      <w:r w:rsidRPr="00715BA4">
        <w:rPr>
          <w:rFonts w:ascii="Arial" w:hAnsi="Arial" w:cs="Arial"/>
        </w:rPr>
        <w:t xml:space="preserve">ption 4, the following section </w:t>
      </w:r>
      <w:r>
        <w:rPr>
          <w:rFonts w:ascii="Arial" w:hAnsi="Arial" w:cs="Arial"/>
        </w:rPr>
        <w:t xml:space="preserve">assesses </w:t>
      </w:r>
      <w:r w:rsidRPr="00715BA4">
        <w:rPr>
          <w:rFonts w:ascii="Arial" w:hAnsi="Arial" w:cs="Arial"/>
        </w:rPr>
        <w:t xml:space="preserve">the sensitivity of the selection of </w:t>
      </w:r>
      <w:r>
        <w:rPr>
          <w:rFonts w:ascii="Arial" w:hAnsi="Arial" w:cs="Arial"/>
        </w:rPr>
        <w:t>O</w:t>
      </w:r>
      <w:r w:rsidRPr="00715BA4">
        <w:rPr>
          <w:rFonts w:ascii="Arial" w:hAnsi="Arial" w:cs="Arial"/>
        </w:rPr>
        <w:t xml:space="preserve">ption 3 as preferred option over </w:t>
      </w:r>
      <w:r>
        <w:rPr>
          <w:rFonts w:ascii="Arial" w:hAnsi="Arial" w:cs="Arial"/>
        </w:rPr>
        <w:t>O</w:t>
      </w:r>
      <w:r w:rsidRPr="00715BA4">
        <w:rPr>
          <w:rFonts w:ascii="Arial" w:hAnsi="Arial" w:cs="Arial"/>
        </w:rPr>
        <w:t>ption 0</w:t>
      </w:r>
      <w:r>
        <w:rPr>
          <w:rFonts w:ascii="Arial" w:hAnsi="Arial" w:cs="Arial"/>
        </w:rPr>
        <w:t xml:space="preserve"> (business as usual</w:t>
      </w:r>
      <w:r w:rsidRPr="00715BA4">
        <w:rPr>
          <w:rFonts w:ascii="Arial" w:hAnsi="Arial" w:cs="Arial"/>
        </w:rPr>
        <w:t>).</w:t>
      </w:r>
    </w:p>
    <w:p w14:paraId="1E050D4A" w14:textId="77777777" w:rsidR="00FF6E56" w:rsidRPr="00FF6E56" w:rsidRDefault="00FF6E56" w:rsidP="00FF6E56">
      <w:pPr>
        <w:pStyle w:val="Heading2"/>
        <w:numPr>
          <w:ilvl w:val="1"/>
          <w:numId w:val="1"/>
        </w:numPr>
        <w:rPr>
          <w:rFonts w:ascii="Arial" w:eastAsia="Arial" w:hAnsi="Arial" w:cs="Arial"/>
        </w:rPr>
      </w:pPr>
      <w:bookmarkStart w:id="208" w:name="_Ref30415208"/>
      <w:bookmarkStart w:id="209" w:name="_Toc32842714"/>
      <w:r w:rsidRPr="00FF6E56">
        <w:rPr>
          <w:rFonts w:ascii="Arial" w:eastAsia="Arial" w:hAnsi="Arial" w:cs="Arial"/>
        </w:rPr>
        <w:t>Sensitivity analysis</w:t>
      </w:r>
      <w:bookmarkStart w:id="210" w:name="_Toc413331343"/>
      <w:bookmarkStart w:id="211" w:name="_Toc409771212"/>
      <w:bookmarkEnd w:id="206"/>
      <w:bookmarkEnd w:id="207"/>
      <w:bookmarkEnd w:id="208"/>
      <w:bookmarkEnd w:id="209"/>
    </w:p>
    <w:p w14:paraId="42DB96FD" w14:textId="77777777" w:rsidR="00FF6E56" w:rsidRPr="00FF6E56" w:rsidRDefault="00FF6E56" w:rsidP="00FF6E56">
      <w:pPr>
        <w:spacing w:after="0"/>
        <w:rPr>
          <w:rFonts w:ascii="Arial" w:hAnsi="Arial" w:cs="Arial"/>
        </w:rPr>
      </w:pPr>
    </w:p>
    <w:p w14:paraId="7D3C5035" w14:textId="77777777" w:rsidR="00FF6E56" w:rsidRPr="00715BA4" w:rsidRDefault="00FF6E56" w:rsidP="00FF6E56">
      <w:pPr>
        <w:rPr>
          <w:rFonts w:ascii="Arial" w:hAnsi="Arial" w:cs="Arial"/>
        </w:rPr>
      </w:pPr>
      <w:r>
        <w:rPr>
          <w:rFonts w:ascii="Arial" w:hAnsi="Arial" w:cs="Arial"/>
        </w:rPr>
        <w:t>A s</w:t>
      </w:r>
      <w:r w:rsidRPr="00715BA4">
        <w:rPr>
          <w:rFonts w:ascii="Arial" w:hAnsi="Arial" w:cs="Arial"/>
        </w:rPr>
        <w:t xml:space="preserve">ensitivity analysis </w:t>
      </w:r>
      <w:r>
        <w:rPr>
          <w:rFonts w:ascii="Arial" w:hAnsi="Arial" w:cs="Arial"/>
        </w:rPr>
        <w:t xml:space="preserve">has been undertaken in order to </w:t>
      </w:r>
      <w:r w:rsidRPr="00715BA4">
        <w:rPr>
          <w:rFonts w:ascii="Arial" w:hAnsi="Arial" w:cs="Arial"/>
        </w:rPr>
        <w:t>assess how sensitive the conclusion of the economic appraisal is to changes in the underpinning assumptions, alongside the likelihood of such changes occurring.</w:t>
      </w:r>
    </w:p>
    <w:p w14:paraId="3F89DFDD" w14:textId="7A032CF5" w:rsidR="00804C69" w:rsidRDefault="00FF6E56" w:rsidP="00FF6E56">
      <w:pPr>
        <w:rPr>
          <w:rFonts w:ascii="Arial" w:hAnsi="Arial" w:cs="Arial"/>
        </w:rPr>
      </w:pPr>
      <w:r w:rsidRPr="00C71B0D">
        <w:rPr>
          <w:rFonts w:ascii="Arial" w:hAnsi="Arial" w:cs="Arial"/>
        </w:rPr>
        <w:t xml:space="preserve">This level of sensitivity can be represented in the switching analysis in </w:t>
      </w:r>
      <w:r w:rsidRPr="00C71B0D">
        <w:rPr>
          <w:rFonts w:ascii="Arial" w:hAnsi="Arial" w:cs="Arial"/>
        </w:rPr>
        <w:fldChar w:fldCharType="begin"/>
      </w:r>
      <w:r w:rsidRPr="00C71B0D">
        <w:rPr>
          <w:rFonts w:ascii="Arial" w:hAnsi="Arial" w:cs="Arial"/>
        </w:rPr>
        <w:instrText xml:space="preserve"> REF _Ref30428033 \h </w:instrText>
      </w:r>
      <w:r>
        <w:rPr>
          <w:rFonts w:ascii="Arial" w:hAnsi="Arial" w:cs="Arial"/>
        </w:rPr>
        <w:instrText xml:space="preserve"> \* MERGEFORMAT </w:instrText>
      </w:r>
      <w:r w:rsidRPr="00C71B0D">
        <w:rPr>
          <w:rFonts w:ascii="Arial" w:hAnsi="Arial" w:cs="Arial"/>
        </w:rPr>
      </w:r>
      <w:r w:rsidRPr="00C71B0D">
        <w:rPr>
          <w:rFonts w:ascii="Arial" w:hAnsi="Arial" w:cs="Arial"/>
        </w:rPr>
        <w:fldChar w:fldCharType="separate"/>
      </w:r>
      <w:r w:rsidR="00A936CD" w:rsidRPr="00A936CD">
        <w:rPr>
          <w:rFonts w:ascii="Arial" w:hAnsi="Arial" w:cs="Arial"/>
        </w:rPr>
        <w:t xml:space="preserve">Table </w:t>
      </w:r>
      <w:r w:rsidR="00A936CD" w:rsidRPr="00A936CD">
        <w:rPr>
          <w:rFonts w:ascii="Arial" w:hAnsi="Arial" w:cs="Arial"/>
          <w:noProof/>
        </w:rPr>
        <w:t>21</w:t>
      </w:r>
      <w:r w:rsidRPr="00C71B0D">
        <w:rPr>
          <w:rFonts w:ascii="Arial" w:hAnsi="Arial" w:cs="Arial"/>
        </w:rPr>
        <w:fldChar w:fldCharType="end"/>
      </w:r>
      <w:r>
        <w:rPr>
          <w:rFonts w:ascii="Arial" w:hAnsi="Arial" w:cs="Arial"/>
        </w:rPr>
        <w:t xml:space="preserve">. This </w:t>
      </w:r>
      <w:r w:rsidRPr="00715BA4">
        <w:rPr>
          <w:rFonts w:ascii="Arial" w:hAnsi="Arial" w:cs="Arial"/>
        </w:rPr>
        <w:t>shows the percentage change required in the underlying assumptions for the economic appraisal to reach a different conclusion.</w:t>
      </w:r>
    </w:p>
    <w:p w14:paraId="0DDDFB77" w14:textId="47743461" w:rsidR="00FF6E56" w:rsidRPr="00715BA4" w:rsidRDefault="00804C69" w:rsidP="00FF6E56">
      <w:pPr>
        <w:rPr>
          <w:rFonts w:ascii="Arial" w:hAnsi="Arial" w:cs="Arial"/>
        </w:rPr>
      </w:pPr>
      <w:r>
        <w:rPr>
          <w:rFonts w:ascii="Arial" w:hAnsi="Arial" w:cs="Arial"/>
        </w:rPr>
        <w:t>This comparison is to Business as Usual (Option 0).  Note t</w:t>
      </w:r>
      <w:r w:rsidR="00144711">
        <w:rPr>
          <w:rFonts w:ascii="Arial" w:hAnsi="Arial" w:cs="Arial"/>
        </w:rPr>
        <w:t>hat Option 2 and O</w:t>
      </w:r>
      <w:r>
        <w:rPr>
          <w:rFonts w:ascii="Arial" w:hAnsi="Arial" w:cs="Arial"/>
        </w:rPr>
        <w:t xml:space="preserve">ption 4 are not considered affordable from a financial perspective, and therefore the </w:t>
      </w:r>
      <w:r w:rsidR="00144711">
        <w:rPr>
          <w:rFonts w:ascii="Arial" w:hAnsi="Arial" w:cs="Arial"/>
        </w:rPr>
        <w:t>relevant comparison is to BAU (O</w:t>
      </w:r>
      <w:r>
        <w:rPr>
          <w:rFonts w:ascii="Arial" w:hAnsi="Arial" w:cs="Arial"/>
        </w:rPr>
        <w:t xml:space="preserve">ption 0) and Do Minimum (Option 1), which have the same NPSV. </w:t>
      </w:r>
    </w:p>
    <w:p w14:paraId="1804C199" w14:textId="66CF7AFE" w:rsidR="00FF6E56" w:rsidRDefault="00FF6E56" w:rsidP="00FF6E56">
      <w:pPr>
        <w:pStyle w:val="Caption"/>
      </w:pPr>
      <w:bookmarkStart w:id="212" w:name="_Ref30428033"/>
      <w:r>
        <w:t xml:space="preserve">Table </w:t>
      </w:r>
      <w:r>
        <w:fldChar w:fldCharType="begin"/>
      </w:r>
      <w:r>
        <w:instrText xml:space="preserve"> SEQ Table \* ARABIC </w:instrText>
      </w:r>
      <w:r>
        <w:fldChar w:fldCharType="separate"/>
      </w:r>
      <w:r w:rsidR="00A936CD">
        <w:rPr>
          <w:noProof/>
        </w:rPr>
        <w:t>21</w:t>
      </w:r>
      <w:r>
        <w:fldChar w:fldCharType="end"/>
      </w:r>
      <w:bookmarkEnd w:id="212"/>
      <w:r>
        <w:t xml:space="preserve">: </w:t>
      </w:r>
      <w:r w:rsidRPr="00C71B0D">
        <w:rPr>
          <w:b w:val="0"/>
          <w:bCs w:val="0"/>
        </w:rPr>
        <w:t>Switching analysis</w:t>
      </w:r>
    </w:p>
    <w:p w14:paraId="74FDC140" w14:textId="400B3A16" w:rsidR="00FF6E56" w:rsidRDefault="00FF6E56" w:rsidP="00FF6E56">
      <w:pPr>
        <w:rPr>
          <w:rFonts w:ascii="Arial" w:hAnsi="Arial" w:cs="Arial"/>
        </w:rPr>
      </w:pPr>
    </w:p>
    <w:p w14:paraId="671FEEFF" w14:textId="50F7A9CC" w:rsidR="00AC38C4" w:rsidRPr="00715BA4" w:rsidRDefault="00AC38C4" w:rsidP="00FF6E56">
      <w:pPr>
        <w:rPr>
          <w:rFonts w:ascii="Arial" w:hAnsi="Arial" w:cs="Arial"/>
        </w:rPr>
      </w:pPr>
      <w:r>
        <w:rPr>
          <w:rFonts w:ascii="Arial" w:hAnsi="Arial" w:cs="Arial"/>
        </w:rPr>
        <w:t>[Redacted]</w:t>
      </w:r>
    </w:p>
    <w:p w14:paraId="5E27882D" w14:textId="09C0416D" w:rsidR="00184F1A" w:rsidRDefault="004F1E9A" w:rsidP="00956568">
      <w:pPr>
        <w:rPr>
          <w:rFonts w:ascii="Arial" w:hAnsi="Arial" w:cs="Arial"/>
        </w:rPr>
      </w:pPr>
      <w:bookmarkStart w:id="213" w:name="_Toc30670708"/>
      <w:bookmarkStart w:id="214" w:name="_Toc32842715"/>
      <w:r w:rsidRPr="00956568">
        <w:rPr>
          <w:rFonts w:ascii="Arial" w:hAnsi="Arial" w:cs="Arial"/>
        </w:rPr>
        <w:t>The table above shows that the conclusion that o</w:t>
      </w:r>
      <w:r w:rsidR="00144711">
        <w:rPr>
          <w:rFonts w:ascii="Arial" w:hAnsi="Arial" w:cs="Arial"/>
        </w:rPr>
        <w:t>ption 3 has a higher NPSV than O</w:t>
      </w:r>
      <w:r w:rsidRPr="00956568">
        <w:rPr>
          <w:rFonts w:ascii="Arial" w:hAnsi="Arial" w:cs="Arial"/>
        </w:rPr>
        <w:t>ption 0 or 1 is not sensitive to changes in any individual assumptions.  Very significant changes would be required in each category to reduce the incremental NPSV of option 3 by £</w:t>
      </w:r>
      <w:r w:rsidR="007C541C">
        <w:rPr>
          <w:rFonts w:ascii="Arial" w:hAnsi="Arial" w:cs="Arial"/>
        </w:rPr>
        <w:t>XXX</w:t>
      </w:r>
      <w:r w:rsidRPr="00956568">
        <w:rPr>
          <w:rFonts w:ascii="Arial" w:hAnsi="Arial" w:cs="Arial"/>
        </w:rPr>
        <w:t>m.</w:t>
      </w:r>
    </w:p>
    <w:p w14:paraId="21F5A98A" w14:textId="2F9AA780" w:rsidR="00184F1A" w:rsidRDefault="00184F1A" w:rsidP="00956568">
      <w:pPr>
        <w:rPr>
          <w:rFonts w:ascii="Arial" w:hAnsi="Arial" w:cs="Arial"/>
        </w:rPr>
      </w:pPr>
      <w:r>
        <w:rPr>
          <w:rFonts w:ascii="Arial" w:hAnsi="Arial" w:cs="Arial"/>
        </w:rPr>
        <w:t xml:space="preserve">Note, for example, that </w:t>
      </w:r>
      <w:r w:rsidR="007C541C">
        <w:rPr>
          <w:rFonts w:ascii="Arial" w:hAnsi="Arial" w:cs="Arial"/>
        </w:rPr>
        <w:t>[redacted]</w:t>
      </w:r>
      <w:r>
        <w:rPr>
          <w:rFonts w:ascii="Arial" w:hAnsi="Arial" w:cs="Arial"/>
        </w:rPr>
        <w:t xml:space="preserve"> would not affect the conclusions here.</w:t>
      </w:r>
    </w:p>
    <w:p w14:paraId="34F17339" w14:textId="40268CD5" w:rsidR="004F1E9A" w:rsidRPr="00956568" w:rsidRDefault="004F1E9A" w:rsidP="00956568">
      <w:pPr>
        <w:rPr>
          <w:rFonts w:ascii="Arial" w:hAnsi="Arial" w:cs="Arial"/>
        </w:rPr>
      </w:pPr>
      <w:r w:rsidRPr="00956568">
        <w:rPr>
          <w:rFonts w:ascii="Arial" w:hAnsi="Arial" w:cs="Arial"/>
        </w:rPr>
        <w:t xml:space="preserve"> </w:t>
      </w:r>
    </w:p>
    <w:p w14:paraId="31F70A2E" w14:textId="55AEFB74" w:rsidR="00FF6E56" w:rsidRPr="00FF6E56" w:rsidRDefault="00FF6E56" w:rsidP="00FF6E56">
      <w:pPr>
        <w:pStyle w:val="Heading2"/>
        <w:numPr>
          <w:ilvl w:val="2"/>
          <w:numId w:val="1"/>
        </w:numPr>
        <w:rPr>
          <w:rFonts w:ascii="Arial" w:eastAsia="Arial" w:hAnsi="Arial" w:cs="Arial"/>
          <w:color w:val="000000"/>
        </w:rPr>
      </w:pPr>
      <w:r w:rsidRPr="00FF6E56">
        <w:rPr>
          <w:rFonts w:ascii="Arial" w:eastAsia="Arial" w:hAnsi="Arial" w:cs="Arial"/>
          <w:color w:val="000000"/>
        </w:rPr>
        <w:t>Scenario analysis</w:t>
      </w:r>
      <w:bookmarkEnd w:id="213"/>
      <w:bookmarkEnd w:id="214"/>
      <w:r w:rsidRPr="00FF6E56">
        <w:rPr>
          <w:rFonts w:ascii="Arial" w:eastAsia="Arial" w:hAnsi="Arial" w:cs="Arial"/>
          <w:color w:val="000000"/>
        </w:rPr>
        <w:t xml:space="preserve"> </w:t>
      </w:r>
    </w:p>
    <w:p w14:paraId="6D4E4799" w14:textId="77777777" w:rsidR="00FF6E56" w:rsidRDefault="00FF6E56" w:rsidP="00FF6E56">
      <w:pPr>
        <w:spacing w:after="0"/>
        <w:rPr>
          <w:rFonts w:ascii="Arial" w:hAnsi="Arial" w:cs="Arial"/>
        </w:rPr>
      </w:pPr>
    </w:p>
    <w:p w14:paraId="6F1D9DF5" w14:textId="77777777" w:rsidR="00FF6E56" w:rsidRDefault="00FF6E56" w:rsidP="00FF6E56">
      <w:pPr>
        <w:rPr>
          <w:rFonts w:ascii="Arial" w:hAnsi="Arial" w:cs="Arial"/>
        </w:rPr>
      </w:pPr>
      <w:r>
        <w:rPr>
          <w:rFonts w:ascii="Arial" w:hAnsi="Arial" w:cs="Arial"/>
        </w:rPr>
        <w:t>The above sections explain why the conclusion of the economic appraisal is not considered to be sensitive to any one category of assumptions individually.</w:t>
      </w:r>
    </w:p>
    <w:p w14:paraId="5E41B710" w14:textId="77777777" w:rsidR="00FF6E56" w:rsidRDefault="00FF6E56" w:rsidP="00FF6E56">
      <w:pPr>
        <w:rPr>
          <w:rFonts w:ascii="Arial" w:hAnsi="Arial" w:cs="Arial"/>
        </w:rPr>
      </w:pPr>
      <w:r>
        <w:rPr>
          <w:rFonts w:ascii="Arial" w:hAnsi="Arial" w:cs="Arial"/>
        </w:rPr>
        <w:t>The following scenario has been constructed as a downside scenario, where multiple assumptions have a less favourable impact:</w:t>
      </w:r>
    </w:p>
    <w:p w14:paraId="46EB437E" w14:textId="2FC7B818" w:rsidR="00956568" w:rsidRDefault="00B40771" w:rsidP="00FF6E56">
      <w:pPr>
        <w:pStyle w:val="ListParagraph"/>
        <w:numPr>
          <w:ilvl w:val="0"/>
          <w:numId w:val="142"/>
        </w:numPr>
        <w:rPr>
          <w:rFonts w:ascii="Arial" w:hAnsi="Arial" w:cs="Arial"/>
        </w:rPr>
      </w:pPr>
      <w:r>
        <w:rPr>
          <w:rFonts w:ascii="Arial" w:hAnsi="Arial" w:cs="Arial"/>
        </w:rPr>
        <w:t>Sensitivity 1: C</w:t>
      </w:r>
      <w:r w:rsidR="00956568">
        <w:rPr>
          <w:rFonts w:ascii="Arial" w:hAnsi="Arial" w:cs="Arial"/>
        </w:rPr>
        <w:t>apital costs increase by 25%</w:t>
      </w:r>
    </w:p>
    <w:p w14:paraId="0C23AEB1" w14:textId="0A9BE688" w:rsidR="00956568" w:rsidRDefault="00956568" w:rsidP="00FF6E56">
      <w:pPr>
        <w:pStyle w:val="ListParagraph"/>
        <w:numPr>
          <w:ilvl w:val="0"/>
          <w:numId w:val="142"/>
        </w:numPr>
        <w:rPr>
          <w:rFonts w:ascii="Arial" w:hAnsi="Arial" w:cs="Arial"/>
        </w:rPr>
      </w:pPr>
      <w:r>
        <w:rPr>
          <w:rFonts w:ascii="Arial" w:hAnsi="Arial" w:cs="Arial"/>
        </w:rPr>
        <w:t xml:space="preserve">Sensitivity 2: </w:t>
      </w:r>
      <w:r w:rsidR="00B40771">
        <w:rPr>
          <w:rFonts w:ascii="Arial" w:hAnsi="Arial" w:cs="Arial"/>
        </w:rPr>
        <w:t>City Road sales proceeds at the CBRE downside valuation</w:t>
      </w:r>
    </w:p>
    <w:p w14:paraId="1A18D2C8" w14:textId="7892C752" w:rsidR="00FF6E56" w:rsidRDefault="00B40771" w:rsidP="00FF6E56">
      <w:pPr>
        <w:pStyle w:val="ListParagraph"/>
        <w:numPr>
          <w:ilvl w:val="0"/>
          <w:numId w:val="142"/>
        </w:numPr>
        <w:rPr>
          <w:rFonts w:ascii="Arial" w:hAnsi="Arial" w:cs="Arial"/>
        </w:rPr>
      </w:pPr>
      <w:r>
        <w:rPr>
          <w:rFonts w:ascii="Arial" w:hAnsi="Arial" w:cs="Arial"/>
        </w:rPr>
        <w:t>Sensitivity 3: Reduce</w:t>
      </w:r>
      <w:r w:rsidR="004C10BD">
        <w:rPr>
          <w:rFonts w:ascii="Arial" w:hAnsi="Arial" w:cs="Arial"/>
        </w:rPr>
        <w:t>d</w:t>
      </w:r>
      <w:r>
        <w:rPr>
          <w:rFonts w:ascii="Arial" w:hAnsi="Arial" w:cs="Arial"/>
        </w:rPr>
        <w:t xml:space="preserve"> improved clinical outcomes benefit by 25%</w:t>
      </w:r>
    </w:p>
    <w:p w14:paraId="455B00B2" w14:textId="4FA608A5" w:rsidR="00FF6E56" w:rsidRDefault="00B40771" w:rsidP="00FF6E56">
      <w:pPr>
        <w:pStyle w:val="ListParagraph"/>
        <w:numPr>
          <w:ilvl w:val="0"/>
          <w:numId w:val="142"/>
        </w:numPr>
        <w:rPr>
          <w:rFonts w:ascii="Arial" w:hAnsi="Arial" w:cs="Arial"/>
        </w:rPr>
      </w:pPr>
      <w:r>
        <w:rPr>
          <w:rFonts w:ascii="Arial" w:hAnsi="Arial" w:cs="Arial"/>
        </w:rPr>
        <w:t>Sensitivity 4: Reduce</w:t>
      </w:r>
      <w:r w:rsidR="004C10BD">
        <w:rPr>
          <w:rFonts w:ascii="Arial" w:hAnsi="Arial" w:cs="Arial"/>
        </w:rPr>
        <w:t>d</w:t>
      </w:r>
      <w:r>
        <w:rPr>
          <w:rFonts w:ascii="Arial" w:hAnsi="Arial" w:cs="Arial"/>
        </w:rPr>
        <w:t xml:space="preserve"> NHS growth to the reprovision growth rate assessed by Edge Health as part of the DMBC</w:t>
      </w:r>
    </w:p>
    <w:p w14:paraId="19B0EFB9" w14:textId="2E0F0C1A" w:rsidR="00B40771" w:rsidRDefault="00B40771" w:rsidP="00FF6E56">
      <w:pPr>
        <w:pStyle w:val="ListParagraph"/>
        <w:numPr>
          <w:ilvl w:val="0"/>
          <w:numId w:val="142"/>
        </w:numPr>
        <w:rPr>
          <w:rFonts w:ascii="Arial" w:hAnsi="Arial" w:cs="Arial"/>
        </w:rPr>
      </w:pPr>
      <w:r>
        <w:rPr>
          <w:rFonts w:ascii="Arial" w:hAnsi="Arial" w:cs="Arial"/>
        </w:rPr>
        <w:t>Sensitivity 5: Reduce</w:t>
      </w:r>
      <w:r w:rsidR="004C10BD">
        <w:rPr>
          <w:rFonts w:ascii="Arial" w:hAnsi="Arial" w:cs="Arial"/>
        </w:rPr>
        <w:t>d</w:t>
      </w:r>
      <w:r>
        <w:rPr>
          <w:rFonts w:ascii="Arial" w:hAnsi="Arial" w:cs="Arial"/>
        </w:rPr>
        <w:t xml:space="preserve"> private patient growth to overall market growth rate of 2.5% p.a.</w:t>
      </w:r>
    </w:p>
    <w:p w14:paraId="084CC6DC" w14:textId="75DF9578" w:rsidR="00FF6E56" w:rsidRDefault="00B40771" w:rsidP="00FF6E56">
      <w:pPr>
        <w:rPr>
          <w:rFonts w:ascii="Arial" w:hAnsi="Arial" w:cs="Arial"/>
        </w:rPr>
      </w:pPr>
      <w:r>
        <w:rPr>
          <w:rFonts w:ascii="Arial" w:hAnsi="Arial" w:cs="Arial"/>
        </w:rPr>
        <w:t>The impact of this on the economic case is summarised in the following table:</w:t>
      </w:r>
    </w:p>
    <w:p w14:paraId="1D76039F" w14:textId="5B18961E" w:rsidR="00B40771" w:rsidRDefault="007C541C" w:rsidP="00FF6E56">
      <w:pPr>
        <w:rPr>
          <w:rFonts w:ascii="Arial" w:hAnsi="Arial" w:cs="Arial"/>
        </w:rPr>
      </w:pPr>
      <w:r>
        <w:rPr>
          <w:rFonts w:ascii="Arial" w:hAnsi="Arial" w:cs="Arial"/>
        </w:rPr>
        <w:t>[Redacted]</w:t>
      </w:r>
    </w:p>
    <w:p w14:paraId="470D67F7" w14:textId="219FDAC0" w:rsidR="005956CA" w:rsidRDefault="005956CA" w:rsidP="00FF6E56">
      <w:pPr>
        <w:spacing w:after="0"/>
        <w:rPr>
          <w:rFonts w:ascii="Arial" w:hAnsi="Arial" w:cs="Arial"/>
        </w:rPr>
      </w:pPr>
      <w:r>
        <w:rPr>
          <w:rFonts w:ascii="Arial" w:hAnsi="Arial" w:cs="Arial"/>
        </w:rPr>
        <w:lastRenderedPageBreak/>
        <w:t xml:space="preserve">This demonstrates that in this downside scenario, the conclusion of the economic appraisal remains the same, </w:t>
      </w:r>
      <w:r w:rsidR="007E13F3">
        <w:rPr>
          <w:rFonts w:ascii="Arial" w:hAnsi="Arial" w:cs="Arial"/>
        </w:rPr>
        <w:t>with the preferred option having a</w:t>
      </w:r>
      <w:r w:rsidR="007E13F3" w:rsidRPr="007E13F3">
        <w:rPr>
          <w:rFonts w:ascii="Arial" w:hAnsi="Arial" w:cs="Arial"/>
        </w:rPr>
        <w:t xml:space="preserve"> significantly positive </w:t>
      </w:r>
      <w:r>
        <w:rPr>
          <w:rFonts w:ascii="Arial" w:hAnsi="Arial" w:cs="Arial"/>
        </w:rPr>
        <w:t>NPSV</w:t>
      </w:r>
      <w:r w:rsidR="007E13F3">
        <w:rPr>
          <w:rFonts w:ascii="Arial" w:hAnsi="Arial" w:cs="Arial"/>
        </w:rPr>
        <w:t xml:space="preserve"> and a benefits-cost ratio of</w:t>
      </w:r>
      <w:r>
        <w:rPr>
          <w:rFonts w:ascii="Arial" w:hAnsi="Arial" w:cs="Arial"/>
        </w:rPr>
        <w:t xml:space="preserve"> 3.2.</w:t>
      </w:r>
    </w:p>
    <w:p w14:paraId="10142135" w14:textId="77777777" w:rsidR="005956CA" w:rsidRDefault="005956CA" w:rsidP="00FF6E56">
      <w:pPr>
        <w:spacing w:after="0"/>
        <w:rPr>
          <w:rFonts w:ascii="Arial" w:hAnsi="Arial" w:cs="Arial"/>
        </w:rPr>
      </w:pPr>
    </w:p>
    <w:p w14:paraId="04758D90" w14:textId="4FB93ADD" w:rsidR="00FF6E56" w:rsidRPr="00DA6AE4" w:rsidRDefault="00FF6E56" w:rsidP="00FF6E56">
      <w:pPr>
        <w:spacing w:after="0"/>
        <w:rPr>
          <w:rFonts w:ascii="Arial" w:hAnsi="Arial" w:cs="Arial"/>
        </w:rPr>
      </w:pPr>
      <w:r w:rsidRPr="00DA6AE4">
        <w:rPr>
          <w:rFonts w:ascii="Arial" w:hAnsi="Arial" w:cs="Arial"/>
        </w:rPr>
        <w:t>Note, this is aligned with the downside scenario use</w:t>
      </w:r>
      <w:r w:rsidR="003D17D2">
        <w:rPr>
          <w:rFonts w:ascii="Arial" w:hAnsi="Arial" w:cs="Arial"/>
        </w:rPr>
        <w:t>d in the Finance case as follows:</w:t>
      </w:r>
    </w:p>
    <w:p w14:paraId="2CC48429" w14:textId="77777777" w:rsidR="00FF6E56" w:rsidRPr="00DA6AE4" w:rsidRDefault="00FF6E56" w:rsidP="00FF6E56">
      <w:pPr>
        <w:pStyle w:val="ListParagraph"/>
        <w:numPr>
          <w:ilvl w:val="0"/>
          <w:numId w:val="142"/>
        </w:numPr>
        <w:rPr>
          <w:rFonts w:ascii="Arial" w:hAnsi="Arial" w:cs="Arial"/>
        </w:rPr>
      </w:pPr>
      <w:r w:rsidRPr="00DA6AE4">
        <w:rPr>
          <w:rFonts w:ascii="Arial" w:hAnsi="Arial" w:cs="Arial"/>
        </w:rPr>
        <w:t>The capital risks used here are the same as those in the downside scenario in the Finance Case.</w:t>
      </w:r>
    </w:p>
    <w:p w14:paraId="0A0EF13D" w14:textId="3BC59FC5" w:rsidR="00FF6E56" w:rsidRPr="00DA6AE4" w:rsidRDefault="00FF6E56" w:rsidP="00FF6E56">
      <w:pPr>
        <w:pStyle w:val="ListParagraph"/>
        <w:numPr>
          <w:ilvl w:val="0"/>
          <w:numId w:val="142"/>
        </w:numPr>
        <w:rPr>
          <w:rFonts w:ascii="Arial" w:hAnsi="Arial" w:cs="Arial"/>
        </w:rPr>
      </w:pPr>
      <w:r w:rsidRPr="00DA6AE4">
        <w:rPr>
          <w:rFonts w:ascii="Arial" w:hAnsi="Arial" w:cs="Arial"/>
        </w:rPr>
        <w:t>The revenue risks in the Finance Case</w:t>
      </w:r>
      <w:r w:rsidR="00507DA3">
        <w:rPr>
          <w:rFonts w:ascii="Arial" w:hAnsi="Arial" w:cs="Arial"/>
        </w:rPr>
        <w:t xml:space="preserve"> are included here where they impact economic benefits – otherwise, where they affect cost only, they have been excluded on the basis that there are cost reserves held within running costs that offset these sensitivities.</w:t>
      </w:r>
    </w:p>
    <w:p w14:paraId="7A496A8D" w14:textId="7B47A2BD" w:rsidR="00FF6E56" w:rsidRDefault="00FF6E56" w:rsidP="00FF6E56">
      <w:pPr>
        <w:pStyle w:val="ListParagraph"/>
        <w:numPr>
          <w:ilvl w:val="0"/>
          <w:numId w:val="142"/>
        </w:numPr>
        <w:rPr>
          <w:rFonts w:ascii="Arial" w:hAnsi="Arial" w:cs="Arial"/>
        </w:rPr>
      </w:pPr>
      <w:r w:rsidRPr="00DA6AE4">
        <w:rPr>
          <w:rFonts w:ascii="Arial" w:hAnsi="Arial" w:cs="Arial"/>
        </w:rPr>
        <w:t xml:space="preserve">The sensitivity here related to societal benefits </w:t>
      </w:r>
      <w:r w:rsidR="00507DA3">
        <w:rPr>
          <w:rFonts w:ascii="Arial" w:hAnsi="Arial" w:cs="Arial"/>
        </w:rPr>
        <w:t xml:space="preserve">(improved clinical outcomes) </w:t>
      </w:r>
      <w:r w:rsidRPr="00DA6AE4">
        <w:rPr>
          <w:rFonts w:ascii="Arial" w:hAnsi="Arial" w:cs="Arial"/>
        </w:rPr>
        <w:t>is not applicable in the Finance case.</w:t>
      </w:r>
    </w:p>
    <w:p w14:paraId="063B13D7" w14:textId="69D9C252" w:rsidR="00184F1A" w:rsidRDefault="00184F1A">
      <w:pPr>
        <w:rPr>
          <w:rFonts w:ascii="Arial" w:hAnsi="Arial" w:cs="Arial"/>
        </w:rPr>
      </w:pPr>
      <w:r>
        <w:rPr>
          <w:rFonts w:ascii="Arial" w:hAnsi="Arial" w:cs="Arial"/>
        </w:rPr>
        <w:br w:type="page"/>
      </w:r>
    </w:p>
    <w:p w14:paraId="6200AC89" w14:textId="77777777" w:rsidR="00184F1A" w:rsidRPr="00184F1A" w:rsidRDefault="00184F1A" w:rsidP="00184F1A">
      <w:pPr>
        <w:rPr>
          <w:rFonts w:ascii="Arial" w:hAnsi="Arial" w:cs="Arial"/>
        </w:rPr>
      </w:pPr>
    </w:p>
    <w:p w14:paraId="6D89A8AB" w14:textId="77777777" w:rsidR="00FF6E56" w:rsidRDefault="00FF6E56" w:rsidP="00FF6E56">
      <w:pPr>
        <w:pStyle w:val="Heading2"/>
        <w:numPr>
          <w:ilvl w:val="1"/>
          <w:numId w:val="1"/>
        </w:numPr>
        <w:rPr>
          <w:rFonts w:ascii="Arial" w:eastAsia="Arial" w:hAnsi="Arial" w:cs="Arial"/>
        </w:rPr>
      </w:pPr>
      <w:bookmarkStart w:id="215" w:name="_Toc32842716"/>
      <w:bookmarkStart w:id="216" w:name="_Ref32843226"/>
      <w:r w:rsidRPr="00587DF1">
        <w:rPr>
          <w:rFonts w:ascii="Arial" w:eastAsia="Arial" w:hAnsi="Arial" w:cs="Arial"/>
        </w:rPr>
        <w:t>The preferred option</w:t>
      </w:r>
      <w:bookmarkEnd w:id="210"/>
      <w:bookmarkEnd w:id="211"/>
      <w:bookmarkEnd w:id="215"/>
      <w:bookmarkEnd w:id="216"/>
    </w:p>
    <w:p w14:paraId="5518954A" w14:textId="77777777" w:rsidR="00FF6E56" w:rsidRPr="002F4789" w:rsidRDefault="00FF6E56" w:rsidP="00FF6E56">
      <w:pPr>
        <w:spacing w:after="0"/>
      </w:pPr>
    </w:p>
    <w:p w14:paraId="2B242AC0" w14:textId="77777777" w:rsidR="00FF6E56" w:rsidRDefault="00FF6E56" w:rsidP="00FF6E56">
      <w:pPr>
        <w:rPr>
          <w:rFonts w:ascii="Arial" w:eastAsia="Arial" w:hAnsi="Arial" w:cs="Arial"/>
        </w:rPr>
      </w:pPr>
      <w:r w:rsidRPr="006E1B58">
        <w:rPr>
          <w:rFonts w:ascii="Arial" w:eastAsia="Arial" w:hAnsi="Arial" w:cs="Arial"/>
        </w:rPr>
        <w:t xml:space="preserve">The option to build a new </w:t>
      </w:r>
      <w:r>
        <w:rPr>
          <w:rFonts w:ascii="Arial" w:eastAsia="Arial" w:hAnsi="Arial" w:cs="Arial"/>
        </w:rPr>
        <w:t>centre</w:t>
      </w:r>
      <w:r w:rsidRPr="006E1B58">
        <w:rPr>
          <w:rFonts w:ascii="Arial" w:eastAsia="Arial" w:hAnsi="Arial" w:cs="Arial"/>
        </w:rPr>
        <w:t xml:space="preserve"> at the St Pancras site with an area of 39,500 square metres</w:t>
      </w:r>
      <w:r>
        <w:rPr>
          <w:rFonts w:ascii="Arial" w:eastAsia="Arial" w:hAnsi="Arial" w:cs="Arial"/>
        </w:rPr>
        <w:t xml:space="preserve"> (Option 3) has been identified as the preferred option.</w:t>
      </w:r>
    </w:p>
    <w:p w14:paraId="085366E9" w14:textId="77777777" w:rsidR="00AE6E05" w:rsidRDefault="00FF6E56" w:rsidP="00FF6E56">
      <w:pPr>
        <w:rPr>
          <w:rFonts w:ascii="Arial" w:eastAsia="Arial" w:hAnsi="Arial" w:cs="Arial"/>
        </w:rPr>
      </w:pPr>
      <w:r>
        <w:rPr>
          <w:rFonts w:ascii="Arial" w:eastAsia="Arial" w:hAnsi="Arial" w:cs="Arial"/>
        </w:rPr>
        <w:t>Economic appraisal of the shortlis</w:t>
      </w:r>
      <w:r w:rsidR="00AE6E05">
        <w:rPr>
          <w:rFonts w:ascii="Arial" w:eastAsia="Arial" w:hAnsi="Arial" w:cs="Arial"/>
        </w:rPr>
        <w:t>t has demonstrated that Option 3 and 4</w:t>
      </w:r>
      <w:r>
        <w:rPr>
          <w:rFonts w:ascii="Arial" w:eastAsia="Arial" w:hAnsi="Arial" w:cs="Arial"/>
        </w:rPr>
        <w:t xml:space="preserve"> </w:t>
      </w:r>
      <w:r w:rsidR="00AE6E05">
        <w:rPr>
          <w:rFonts w:ascii="Arial" w:eastAsia="Arial" w:hAnsi="Arial" w:cs="Arial"/>
        </w:rPr>
        <w:t>have the</w:t>
      </w:r>
      <w:r>
        <w:rPr>
          <w:rFonts w:ascii="Arial" w:eastAsia="Arial" w:hAnsi="Arial" w:cs="Arial"/>
        </w:rPr>
        <w:t xml:space="preserve"> highest NPSV and benefit-cost ratio. However, </w:t>
      </w:r>
      <w:r w:rsidR="00AE6E05">
        <w:rPr>
          <w:rFonts w:ascii="Arial" w:eastAsia="Arial" w:hAnsi="Arial" w:cs="Arial"/>
        </w:rPr>
        <w:t xml:space="preserve">Option 4 </w:t>
      </w:r>
      <w:r>
        <w:rPr>
          <w:rFonts w:ascii="Arial" w:eastAsia="Arial" w:hAnsi="Arial" w:cs="Arial"/>
        </w:rPr>
        <w:t xml:space="preserve">has a higher capital cost than Option 3, and has been discounted on the basis of affordability. </w:t>
      </w:r>
      <w:r w:rsidR="00AE6E05">
        <w:rPr>
          <w:rFonts w:ascii="Arial" w:eastAsia="Arial" w:hAnsi="Arial" w:cs="Arial"/>
        </w:rPr>
        <w:t xml:space="preserve">This leaves </w:t>
      </w:r>
      <w:r>
        <w:rPr>
          <w:rFonts w:ascii="Arial" w:eastAsia="Arial" w:hAnsi="Arial" w:cs="Arial"/>
        </w:rPr>
        <w:t>Option 3, which has a significantly higher NPSV and benefit-cost ratio than Options 0, 1 or 2</w:t>
      </w:r>
      <w:r w:rsidR="00AE6E05">
        <w:rPr>
          <w:rFonts w:ascii="Arial" w:eastAsia="Arial" w:hAnsi="Arial" w:cs="Arial"/>
        </w:rPr>
        <w:t>, as the preferred option</w:t>
      </w:r>
      <w:r>
        <w:rPr>
          <w:rFonts w:ascii="Arial" w:eastAsia="Arial" w:hAnsi="Arial" w:cs="Arial"/>
        </w:rPr>
        <w:t xml:space="preserve">. </w:t>
      </w:r>
    </w:p>
    <w:p w14:paraId="2588CCB0" w14:textId="417A3516" w:rsidR="00FF6E56" w:rsidRDefault="00FF6E56" w:rsidP="00FF6E56">
      <w:pPr>
        <w:rPr>
          <w:rFonts w:ascii="Arial" w:eastAsia="Arial" w:hAnsi="Arial" w:cs="Arial"/>
          <w:b/>
          <w:sz w:val="28"/>
          <w:szCs w:val="28"/>
        </w:rPr>
      </w:pPr>
      <w:r>
        <w:rPr>
          <w:rFonts w:ascii="Arial" w:eastAsia="Arial" w:hAnsi="Arial" w:cs="Arial"/>
        </w:rPr>
        <w:t>This conclusion is not significantly sensitive to reasonable changes in the assumptions used.</w:t>
      </w:r>
    </w:p>
    <w:p w14:paraId="0C21339D" w14:textId="77777777" w:rsidR="00FF6E56" w:rsidRPr="00587DF1" w:rsidRDefault="00FF6E56" w:rsidP="00FF6E56">
      <w:pPr>
        <w:rPr>
          <w:rFonts w:ascii="Arial" w:eastAsia="Arial" w:hAnsi="Arial" w:cs="Arial"/>
        </w:rPr>
      </w:pPr>
      <w:r w:rsidRPr="00587DF1">
        <w:rPr>
          <w:rFonts w:ascii="Arial" w:eastAsia="Arial" w:hAnsi="Arial" w:cs="Arial"/>
        </w:rPr>
        <w:br w:type="page"/>
      </w:r>
    </w:p>
    <w:p w14:paraId="38A2FB26" w14:textId="77777777" w:rsidR="00CC30F4" w:rsidRPr="00587DF1" w:rsidRDefault="00CC30F4" w:rsidP="005E0D57">
      <w:pPr>
        <w:pStyle w:val="Heading1"/>
        <w:numPr>
          <w:ilvl w:val="0"/>
          <w:numId w:val="1"/>
        </w:numPr>
        <w:ind w:hanging="720"/>
        <w:rPr>
          <w:rFonts w:ascii="Arial" w:eastAsia="Arial" w:hAnsi="Arial" w:cs="Arial"/>
        </w:rPr>
      </w:pPr>
      <w:bookmarkStart w:id="217" w:name="_Hlk25774070"/>
      <w:bookmarkStart w:id="218" w:name="_Hlk24038918"/>
      <w:bookmarkEnd w:id="12"/>
      <w:r w:rsidRPr="00587DF1">
        <w:rPr>
          <w:rFonts w:ascii="Arial" w:eastAsia="Arial" w:hAnsi="Arial" w:cs="Arial"/>
        </w:rPr>
        <w:lastRenderedPageBreak/>
        <w:t xml:space="preserve"> </w:t>
      </w:r>
      <w:bookmarkStart w:id="219" w:name="_Ref27147411"/>
      <w:bookmarkStart w:id="220" w:name="_Toc32842717"/>
      <w:r w:rsidRPr="00587DF1">
        <w:rPr>
          <w:rFonts w:ascii="Arial" w:eastAsia="Arial" w:hAnsi="Arial" w:cs="Arial"/>
        </w:rPr>
        <w:t>Clinical Quality case</w:t>
      </w:r>
      <w:bookmarkEnd w:id="219"/>
      <w:bookmarkEnd w:id="220"/>
    </w:p>
    <w:p w14:paraId="5F89AD88" w14:textId="77777777" w:rsidR="004A7E6A" w:rsidRPr="00587DF1" w:rsidRDefault="004A7E6A" w:rsidP="004A7E6A">
      <w:pPr>
        <w:rPr>
          <w:rFonts w:ascii="Arial" w:hAnsi="Arial" w:cs="Arial"/>
          <w:i/>
          <w:iCs/>
          <w:color w:val="FF0000"/>
        </w:rPr>
      </w:pPr>
      <w:bookmarkStart w:id="221" w:name="_Toc413331327"/>
      <w:bookmarkStart w:id="222" w:name="_Toc409771196"/>
    </w:p>
    <w:tbl>
      <w:tblPr>
        <w:tblW w:w="0" w:type="auto"/>
        <w:tblLook w:val="04A0" w:firstRow="1" w:lastRow="0" w:firstColumn="1" w:lastColumn="0" w:noHBand="0" w:noVBand="1"/>
      </w:tblPr>
      <w:tblGrid>
        <w:gridCol w:w="9016"/>
      </w:tblGrid>
      <w:tr w:rsidR="004A7E6A" w:rsidRPr="00587DF1" w14:paraId="209E3266" w14:textId="77777777" w:rsidTr="004A7E6A">
        <w:tc>
          <w:tcPr>
            <w:tcW w:w="9016" w:type="dxa"/>
            <w:tcBorders>
              <w:top w:val="single" w:sz="4" w:space="0" w:color="00A09D"/>
              <w:left w:val="single" w:sz="4" w:space="0" w:color="00A09D"/>
              <w:bottom w:val="single" w:sz="4" w:space="0" w:color="00A09D"/>
              <w:right w:val="single" w:sz="4" w:space="0" w:color="00A09D"/>
            </w:tcBorders>
            <w:shd w:val="clear" w:color="auto" w:fill="DEECEF"/>
          </w:tcPr>
          <w:p w14:paraId="3FD3143F" w14:textId="77777777" w:rsidR="004A7E6A" w:rsidRPr="00587DF1" w:rsidRDefault="004A7E6A" w:rsidP="004A7E6A">
            <w:pPr>
              <w:rPr>
                <w:rFonts w:ascii="Arial" w:hAnsi="Arial" w:cs="Arial"/>
                <w:b/>
                <w:bCs/>
                <w:color w:val="00A09D"/>
              </w:rPr>
            </w:pPr>
            <w:r w:rsidRPr="00587DF1">
              <w:rPr>
                <w:rFonts w:ascii="Arial" w:hAnsi="Arial" w:cs="Arial"/>
                <w:b/>
                <w:bCs/>
                <w:color w:val="00A09D"/>
              </w:rPr>
              <w:t>Clinical Quality Case – chapter summary</w:t>
            </w:r>
          </w:p>
          <w:p w14:paraId="1FBC8690" w14:textId="0BFEAFA1" w:rsidR="004A7E6A" w:rsidRPr="00587DF1" w:rsidRDefault="004A7E6A" w:rsidP="004A7E6A">
            <w:pPr>
              <w:spacing w:line="264" w:lineRule="auto"/>
              <w:ind w:right="142"/>
              <w:rPr>
                <w:rFonts w:ascii="Arial" w:hAnsi="Arial" w:cs="Arial"/>
              </w:rPr>
            </w:pPr>
            <w:r w:rsidRPr="00587DF1">
              <w:rPr>
                <w:rFonts w:ascii="Arial" w:hAnsi="Arial" w:cs="Arial"/>
              </w:rPr>
              <w:t>Th</w:t>
            </w:r>
            <w:r w:rsidR="00844E78" w:rsidRPr="00587DF1">
              <w:rPr>
                <w:rFonts w:ascii="Arial" w:hAnsi="Arial" w:cs="Arial"/>
              </w:rPr>
              <w:t>e</w:t>
            </w:r>
            <w:r w:rsidRPr="00587DF1">
              <w:rPr>
                <w:rFonts w:ascii="Arial" w:hAnsi="Arial" w:cs="Arial"/>
              </w:rPr>
              <w:t xml:space="preserve"> </w:t>
            </w:r>
            <w:r w:rsidR="00236908" w:rsidRPr="00587DF1">
              <w:rPr>
                <w:rFonts w:ascii="Arial" w:eastAsia="Arial" w:hAnsi="Arial" w:cs="Arial"/>
              </w:rPr>
              <w:t>Clinical Quality Case</w:t>
            </w:r>
            <w:r w:rsidR="00236908">
              <w:rPr>
                <w:rFonts w:ascii="Arial" w:eastAsia="Arial" w:hAnsi="Arial" w:cs="Arial"/>
              </w:rPr>
              <w:t xml:space="preserve"> </w:t>
            </w:r>
            <w:r w:rsidRPr="00587DF1">
              <w:rPr>
                <w:rFonts w:ascii="Arial" w:hAnsi="Arial" w:cs="Arial"/>
              </w:rPr>
              <w:t xml:space="preserve">provides an overview of </w:t>
            </w:r>
            <w:r w:rsidR="00844E78" w:rsidRPr="00587DF1">
              <w:rPr>
                <w:rFonts w:ascii="Arial" w:hAnsi="Arial" w:cs="Arial"/>
              </w:rPr>
              <w:t xml:space="preserve">clinical </w:t>
            </w:r>
            <w:r w:rsidR="00221DFF" w:rsidRPr="00587DF1">
              <w:rPr>
                <w:rFonts w:ascii="Arial" w:hAnsi="Arial" w:cs="Arial"/>
              </w:rPr>
              <w:t>service</w:t>
            </w:r>
            <w:r w:rsidR="00844E78" w:rsidRPr="00587DF1">
              <w:rPr>
                <w:rFonts w:ascii="Arial" w:hAnsi="Arial" w:cs="Arial"/>
              </w:rPr>
              <w:t xml:space="preserve">s </w:t>
            </w:r>
            <w:r w:rsidRPr="00587DF1">
              <w:rPr>
                <w:rFonts w:ascii="Arial" w:hAnsi="Arial" w:cs="Arial"/>
              </w:rPr>
              <w:t xml:space="preserve">at Moorfields, and the existing trust clinical strategies which underpin clinical pathway development. It describes commissioner intentions, commissioner involvement and support for the proposals, and the partnership approach the trust and commissioners will continue to take in designing the best model of care for ophthalmology which </w:t>
            </w:r>
            <w:r w:rsidR="00221DFF" w:rsidRPr="00587DF1">
              <w:rPr>
                <w:rFonts w:ascii="Arial" w:hAnsi="Arial" w:cs="Arial"/>
              </w:rPr>
              <w:t>provides</w:t>
            </w:r>
            <w:r w:rsidRPr="00587DF1">
              <w:rPr>
                <w:rFonts w:ascii="Arial" w:hAnsi="Arial" w:cs="Arial"/>
              </w:rPr>
              <w:t xml:space="preserve"> care from the most appropriate setting and delivers value for money for the NHS</w:t>
            </w:r>
            <w:r w:rsidR="00466BD8">
              <w:rPr>
                <w:rFonts w:ascii="Arial" w:hAnsi="Arial" w:cs="Arial"/>
              </w:rPr>
              <w:t xml:space="preserve">. It describes the review of the clinical case for change undertaken by the London Clinical Senate in November 2018, which noted </w:t>
            </w:r>
            <w:r w:rsidR="00466BD8">
              <w:rPr>
                <w:rFonts w:ascii="Arial" w:eastAsia="Arial" w:hAnsi="Arial" w:cs="Arial"/>
                <w:bCs/>
                <w:color w:val="000000"/>
              </w:rPr>
              <w:t>“</w:t>
            </w:r>
            <w:r w:rsidR="00466BD8" w:rsidRPr="00466BD8">
              <w:rPr>
                <w:rFonts w:ascii="Arial" w:eastAsia="Arial" w:hAnsi="Arial" w:cs="Arial"/>
                <w:bCs/>
                <w:color w:val="000000"/>
              </w:rPr>
              <w:t>a clear, clinical evidence base to support the proposed move of the services at City Road to the new site at St Pancras Hospital</w:t>
            </w:r>
            <w:r w:rsidR="00466BD8">
              <w:rPr>
                <w:rFonts w:ascii="Arial" w:eastAsia="Arial" w:hAnsi="Arial" w:cs="Arial"/>
                <w:bCs/>
                <w:color w:val="000000"/>
              </w:rPr>
              <w:t>”.</w:t>
            </w:r>
          </w:p>
          <w:p w14:paraId="1E82F557" w14:textId="77E953D4" w:rsidR="004A7E6A" w:rsidRPr="00587DF1" w:rsidRDefault="004A7E6A" w:rsidP="004A7E6A">
            <w:pPr>
              <w:spacing w:line="264" w:lineRule="auto"/>
              <w:ind w:right="142"/>
              <w:rPr>
                <w:rFonts w:ascii="Arial" w:hAnsi="Arial" w:cs="Arial"/>
              </w:rPr>
            </w:pPr>
            <w:r w:rsidRPr="00587DF1">
              <w:rPr>
                <w:rFonts w:ascii="Arial" w:hAnsi="Arial" w:cs="Arial"/>
              </w:rPr>
              <w:t>The chapter goes on to describe the clinical pathways developed for Oriel. These have been led by clinical and academic colleagues across Moorfields and UCL IoO who are among world leaders in the field of ophthalmology.  They have been developed recognising the vast range of patient</w:t>
            </w:r>
            <w:r w:rsidR="00E73192">
              <w:rPr>
                <w:rFonts w:ascii="Arial" w:hAnsi="Arial" w:cs="Arial"/>
              </w:rPr>
              <w:t>s</w:t>
            </w:r>
            <w:r w:rsidRPr="00587DF1">
              <w:rPr>
                <w:rFonts w:ascii="Arial" w:hAnsi="Arial" w:cs="Arial"/>
              </w:rPr>
              <w:t xml:space="preserve"> who visit Moorfields.</w:t>
            </w:r>
            <w:r w:rsidR="00844E78" w:rsidRPr="00587DF1">
              <w:rPr>
                <w:rFonts w:ascii="Arial" w:hAnsi="Arial" w:cs="Arial"/>
              </w:rPr>
              <w:t xml:space="preserve"> </w:t>
            </w:r>
            <w:r w:rsidR="00F876F9">
              <w:rPr>
                <w:rFonts w:ascii="Arial" w:hAnsi="Arial" w:cs="Arial"/>
              </w:rPr>
              <w:t>T</w:t>
            </w:r>
            <w:r w:rsidR="00844E78" w:rsidRPr="00587DF1">
              <w:rPr>
                <w:rFonts w:ascii="Arial" w:hAnsi="Arial" w:cs="Arial"/>
              </w:rPr>
              <w:t xml:space="preserve">he trust collected </w:t>
            </w:r>
            <w:r w:rsidRPr="00587DF1">
              <w:rPr>
                <w:rFonts w:ascii="Arial" w:hAnsi="Arial" w:cs="Arial"/>
              </w:rPr>
              <w:t xml:space="preserve">valuable insight from the sight loss community </w:t>
            </w:r>
            <w:r w:rsidR="00844E78" w:rsidRPr="00587DF1">
              <w:rPr>
                <w:rFonts w:ascii="Arial" w:hAnsi="Arial" w:cs="Arial"/>
              </w:rPr>
              <w:t xml:space="preserve">through the public consultation. This will be built upon through further user engagement, </w:t>
            </w:r>
            <w:r w:rsidRPr="00587DF1">
              <w:rPr>
                <w:rFonts w:ascii="Arial" w:hAnsi="Arial" w:cs="Arial"/>
              </w:rPr>
              <w:t>to develop proposals further</w:t>
            </w:r>
            <w:r w:rsidR="00844E78" w:rsidRPr="00587DF1">
              <w:rPr>
                <w:rFonts w:ascii="Arial" w:hAnsi="Arial" w:cs="Arial"/>
              </w:rPr>
              <w:t>. This will be done through the inclusion of p</w:t>
            </w:r>
            <w:r w:rsidRPr="00587DF1">
              <w:rPr>
                <w:rFonts w:ascii="Arial" w:hAnsi="Arial" w:cs="Arial"/>
              </w:rPr>
              <w:t>atient representative</w:t>
            </w:r>
            <w:r w:rsidR="00E73192">
              <w:rPr>
                <w:rFonts w:ascii="Arial" w:hAnsi="Arial" w:cs="Arial"/>
              </w:rPr>
              <w:t>s</w:t>
            </w:r>
            <w:r w:rsidRPr="00587DF1">
              <w:rPr>
                <w:rFonts w:ascii="Arial" w:hAnsi="Arial" w:cs="Arial"/>
              </w:rPr>
              <w:t xml:space="preserve"> </w:t>
            </w:r>
            <w:r w:rsidR="00844E78" w:rsidRPr="00587DF1">
              <w:rPr>
                <w:rFonts w:ascii="Arial" w:hAnsi="Arial" w:cs="Arial"/>
              </w:rPr>
              <w:t xml:space="preserve">on user groups, and </w:t>
            </w:r>
            <w:r w:rsidRPr="00587DF1">
              <w:rPr>
                <w:rFonts w:ascii="Arial" w:hAnsi="Arial" w:cs="Arial"/>
              </w:rPr>
              <w:t>the Oriel Advisory Group.</w:t>
            </w:r>
          </w:p>
          <w:p w14:paraId="210AD8D5" w14:textId="6C00C794" w:rsidR="004A7E6A" w:rsidRPr="00587DF1" w:rsidRDefault="004A7E6A" w:rsidP="004A7E6A">
            <w:pPr>
              <w:spacing w:line="264" w:lineRule="auto"/>
              <w:ind w:right="142"/>
              <w:rPr>
                <w:rFonts w:ascii="Arial" w:hAnsi="Arial" w:cs="Arial"/>
              </w:rPr>
            </w:pPr>
            <w:r w:rsidRPr="00587DF1">
              <w:rPr>
                <w:rFonts w:ascii="Arial" w:hAnsi="Arial" w:cs="Arial"/>
              </w:rPr>
              <w:t xml:space="preserve">Sections </w:t>
            </w:r>
            <w:r w:rsidR="00967C47">
              <w:rPr>
                <w:rFonts w:ascii="Arial" w:hAnsi="Arial" w:cs="Arial"/>
              </w:rPr>
              <w:fldChar w:fldCharType="begin"/>
            </w:r>
            <w:r w:rsidR="00967C47">
              <w:rPr>
                <w:rFonts w:ascii="Arial" w:hAnsi="Arial" w:cs="Arial"/>
              </w:rPr>
              <w:instrText xml:space="preserve"> REF _Ref27729515 \r \h </w:instrText>
            </w:r>
            <w:r w:rsidR="00967C47">
              <w:rPr>
                <w:rFonts w:ascii="Arial" w:hAnsi="Arial" w:cs="Arial"/>
              </w:rPr>
            </w:r>
            <w:r w:rsidR="00967C47">
              <w:rPr>
                <w:rFonts w:ascii="Arial" w:hAnsi="Arial" w:cs="Arial"/>
              </w:rPr>
              <w:fldChar w:fldCharType="separate"/>
            </w:r>
            <w:r w:rsidR="00A936CD">
              <w:rPr>
                <w:rFonts w:ascii="Arial" w:hAnsi="Arial" w:cs="Arial"/>
              </w:rPr>
              <w:t>5.3</w:t>
            </w:r>
            <w:r w:rsidR="00967C47">
              <w:rPr>
                <w:rFonts w:ascii="Arial" w:hAnsi="Arial" w:cs="Arial"/>
              </w:rPr>
              <w:fldChar w:fldCharType="end"/>
            </w:r>
            <w:r w:rsidRPr="00587DF1">
              <w:rPr>
                <w:rFonts w:ascii="Arial" w:hAnsi="Arial" w:cs="Arial"/>
              </w:rPr>
              <w:t xml:space="preserve"> to </w:t>
            </w:r>
            <w:r w:rsidRPr="00587DF1">
              <w:rPr>
                <w:rFonts w:ascii="Arial" w:hAnsi="Arial" w:cs="Arial"/>
              </w:rPr>
              <w:fldChar w:fldCharType="begin"/>
            </w:r>
            <w:r w:rsidRPr="00587DF1">
              <w:rPr>
                <w:rFonts w:ascii="Arial" w:hAnsi="Arial" w:cs="Arial"/>
              </w:rPr>
              <w:instrText xml:space="preserve"> REF _Ref24033839 \r \h </w:instrText>
            </w:r>
            <w:r w:rsidR="00587DF1">
              <w:rPr>
                <w:rFonts w:ascii="Arial" w:hAnsi="Arial" w:cs="Arial"/>
              </w:rPr>
              <w:instrText xml:space="preserve"> \* MERGEFORMAT </w:instrText>
            </w:r>
            <w:r w:rsidRPr="00587DF1">
              <w:rPr>
                <w:rFonts w:ascii="Arial" w:hAnsi="Arial" w:cs="Arial"/>
              </w:rPr>
            </w:r>
            <w:r w:rsidRPr="00587DF1">
              <w:rPr>
                <w:rFonts w:ascii="Arial" w:hAnsi="Arial" w:cs="Arial"/>
              </w:rPr>
              <w:fldChar w:fldCharType="separate"/>
            </w:r>
            <w:r w:rsidR="00A936CD">
              <w:rPr>
                <w:rFonts w:ascii="Arial" w:hAnsi="Arial" w:cs="Arial"/>
              </w:rPr>
              <w:t>5.5</w:t>
            </w:r>
            <w:r w:rsidRPr="00587DF1">
              <w:rPr>
                <w:rFonts w:ascii="Arial" w:hAnsi="Arial" w:cs="Arial"/>
              </w:rPr>
              <w:fldChar w:fldCharType="end"/>
            </w:r>
            <w:r w:rsidRPr="00587DF1">
              <w:rPr>
                <w:rFonts w:ascii="Arial" w:hAnsi="Arial" w:cs="Arial"/>
              </w:rPr>
              <w:t xml:space="preserve"> of this chapter provide detailed descriptions of the future clinical pathways, as well as models for research and education. The benefits of each proposal are explained, along with the Oriel enablers required to deliver these. The clinical pathways are also supported by case studies showing how the patient experience will differ in Oriel.</w:t>
            </w:r>
          </w:p>
          <w:p w14:paraId="382D2F22" w14:textId="77777777" w:rsidR="00916064" w:rsidRPr="00587DF1" w:rsidRDefault="004A7E6A" w:rsidP="004A7E6A">
            <w:pPr>
              <w:spacing w:line="264" w:lineRule="auto"/>
              <w:ind w:right="142"/>
              <w:rPr>
                <w:rFonts w:ascii="Arial" w:hAnsi="Arial" w:cs="Arial"/>
              </w:rPr>
            </w:pPr>
            <w:r w:rsidRPr="00587DF1">
              <w:rPr>
                <w:rFonts w:ascii="Arial" w:hAnsi="Arial" w:cs="Arial"/>
              </w:rPr>
              <w:t xml:space="preserve">This chapter also sets out the workforce strategy underpinning Oriel, and the changes in </w:t>
            </w:r>
            <w:r w:rsidR="00221DFF" w:rsidRPr="00587DF1">
              <w:rPr>
                <w:rFonts w:ascii="Arial" w:hAnsi="Arial" w:cs="Arial"/>
              </w:rPr>
              <w:t xml:space="preserve">workforce </w:t>
            </w:r>
            <w:r w:rsidRPr="00587DF1">
              <w:rPr>
                <w:rFonts w:ascii="Arial" w:hAnsi="Arial" w:cs="Arial"/>
              </w:rPr>
              <w:t>required to deliver the pathways and financial model. It describes the IT aspirations, and the applications which will be rolled out across all sites for maximum trust benefit, as well as specifically in the new building.</w:t>
            </w:r>
          </w:p>
          <w:p w14:paraId="6AC56B1B" w14:textId="77777777" w:rsidR="004A7E6A" w:rsidRDefault="004A7E6A" w:rsidP="004A7E6A">
            <w:pPr>
              <w:spacing w:line="264" w:lineRule="auto"/>
              <w:ind w:right="142"/>
              <w:rPr>
                <w:rFonts w:ascii="Arial" w:hAnsi="Arial" w:cs="Arial"/>
              </w:rPr>
            </w:pPr>
            <w:r w:rsidRPr="00587DF1">
              <w:rPr>
                <w:rFonts w:ascii="Arial" w:hAnsi="Arial" w:cs="Arial"/>
              </w:rPr>
              <w:t>Finally, the chapter describes the design principles, and how the new building will be designed to improve patient experience, accessibility, efficiency, environmental factors and other key areas.</w:t>
            </w:r>
          </w:p>
          <w:p w14:paraId="71D64D09" w14:textId="77777777" w:rsidR="00FF6E56" w:rsidRDefault="00FF6E56" w:rsidP="004A7E6A">
            <w:pPr>
              <w:spacing w:line="264" w:lineRule="auto"/>
              <w:ind w:right="142"/>
              <w:rPr>
                <w:rFonts w:ascii="Arial" w:hAnsi="Arial" w:cs="Arial"/>
                <w:b/>
                <w:bCs/>
                <w:i/>
                <w:iCs/>
              </w:rPr>
            </w:pPr>
            <w:r w:rsidRPr="00FF6E56">
              <w:rPr>
                <w:rFonts w:ascii="Arial" w:hAnsi="Arial" w:cs="Arial"/>
                <w:b/>
                <w:bCs/>
                <w:i/>
                <w:iCs/>
              </w:rPr>
              <w:t>Appendices:</w:t>
            </w:r>
          </w:p>
          <w:p w14:paraId="7513227B" w14:textId="186804C7" w:rsidR="00127D77" w:rsidRDefault="00127D77" w:rsidP="004F4B79">
            <w:pPr>
              <w:pStyle w:val="ListParagraph"/>
              <w:numPr>
                <w:ilvl w:val="0"/>
                <w:numId w:val="166"/>
              </w:numPr>
              <w:spacing w:line="264" w:lineRule="auto"/>
              <w:ind w:right="142"/>
              <w:rPr>
                <w:rFonts w:ascii="Arial" w:hAnsi="Arial" w:cs="Arial"/>
                <w:b/>
                <w:bCs/>
                <w:i/>
                <w:iCs/>
              </w:rPr>
            </w:pPr>
            <w:r>
              <w:rPr>
                <w:rFonts w:ascii="Arial" w:hAnsi="Arial" w:cs="Arial"/>
                <w:b/>
                <w:bCs/>
                <w:i/>
                <w:iCs/>
              </w:rPr>
              <w:t xml:space="preserve">Appendix </w:t>
            </w:r>
            <w:r w:rsidR="004424A6">
              <w:rPr>
                <w:rFonts w:ascii="Arial" w:hAnsi="Arial" w:cs="Arial"/>
                <w:b/>
                <w:bCs/>
                <w:i/>
                <w:iCs/>
              </w:rPr>
              <w:t>5A – Service models</w:t>
            </w:r>
          </w:p>
          <w:p w14:paraId="636A5464" w14:textId="03856CFD" w:rsidR="004424A6" w:rsidRDefault="004424A6" w:rsidP="004F4B79">
            <w:pPr>
              <w:pStyle w:val="ListParagraph"/>
              <w:numPr>
                <w:ilvl w:val="0"/>
                <w:numId w:val="166"/>
              </w:numPr>
              <w:spacing w:line="264" w:lineRule="auto"/>
              <w:ind w:right="142"/>
              <w:rPr>
                <w:rFonts w:ascii="Arial" w:hAnsi="Arial" w:cs="Arial"/>
                <w:b/>
                <w:bCs/>
                <w:i/>
                <w:iCs/>
              </w:rPr>
            </w:pPr>
            <w:r>
              <w:rPr>
                <w:rFonts w:ascii="Arial" w:hAnsi="Arial" w:cs="Arial"/>
                <w:b/>
                <w:bCs/>
                <w:i/>
                <w:iCs/>
              </w:rPr>
              <w:t>Appendix 5B – Workforce strategy</w:t>
            </w:r>
          </w:p>
          <w:p w14:paraId="658158B6" w14:textId="17750F66" w:rsidR="004424A6" w:rsidRDefault="004424A6" w:rsidP="004F4B79">
            <w:pPr>
              <w:pStyle w:val="ListParagraph"/>
              <w:numPr>
                <w:ilvl w:val="0"/>
                <w:numId w:val="166"/>
              </w:numPr>
              <w:spacing w:line="264" w:lineRule="auto"/>
              <w:ind w:right="142"/>
              <w:rPr>
                <w:rFonts w:ascii="Arial" w:hAnsi="Arial" w:cs="Arial"/>
                <w:b/>
                <w:bCs/>
                <w:i/>
                <w:iCs/>
              </w:rPr>
            </w:pPr>
            <w:r>
              <w:rPr>
                <w:rFonts w:ascii="Arial" w:hAnsi="Arial" w:cs="Arial"/>
                <w:b/>
                <w:bCs/>
                <w:i/>
                <w:iCs/>
              </w:rPr>
              <w:t>Appendix 5C – IT in Oriel</w:t>
            </w:r>
          </w:p>
          <w:p w14:paraId="378F56C7" w14:textId="746FF869" w:rsidR="004424A6" w:rsidRDefault="004424A6" w:rsidP="004F4B79">
            <w:pPr>
              <w:pStyle w:val="ListParagraph"/>
              <w:numPr>
                <w:ilvl w:val="0"/>
                <w:numId w:val="166"/>
              </w:numPr>
              <w:spacing w:line="264" w:lineRule="auto"/>
              <w:ind w:right="142"/>
              <w:rPr>
                <w:rFonts w:ascii="Arial" w:hAnsi="Arial" w:cs="Arial"/>
                <w:b/>
                <w:bCs/>
                <w:i/>
                <w:iCs/>
              </w:rPr>
            </w:pPr>
            <w:r>
              <w:rPr>
                <w:rFonts w:ascii="Arial" w:hAnsi="Arial" w:cs="Arial"/>
                <w:b/>
                <w:bCs/>
                <w:i/>
                <w:iCs/>
              </w:rPr>
              <w:t>Appendix 5D – Design quality and compliance</w:t>
            </w:r>
          </w:p>
          <w:p w14:paraId="45A95FF9" w14:textId="417EF473" w:rsidR="004424A6" w:rsidRDefault="004424A6" w:rsidP="004F4B79">
            <w:pPr>
              <w:pStyle w:val="ListParagraph"/>
              <w:numPr>
                <w:ilvl w:val="0"/>
                <w:numId w:val="166"/>
              </w:numPr>
              <w:spacing w:line="264" w:lineRule="auto"/>
              <w:ind w:right="142"/>
              <w:rPr>
                <w:rFonts w:ascii="Arial" w:hAnsi="Arial" w:cs="Arial"/>
                <w:b/>
                <w:bCs/>
                <w:i/>
                <w:iCs/>
              </w:rPr>
            </w:pPr>
            <w:r>
              <w:rPr>
                <w:rFonts w:ascii="Arial" w:hAnsi="Arial" w:cs="Arial"/>
                <w:b/>
                <w:bCs/>
                <w:i/>
                <w:iCs/>
              </w:rPr>
              <w:t>Appendix 5E – Schedule of accommodation</w:t>
            </w:r>
          </w:p>
          <w:p w14:paraId="3875F754" w14:textId="78BDA76C" w:rsidR="004424A6" w:rsidRPr="00127D77" w:rsidRDefault="004424A6" w:rsidP="004F4B79">
            <w:pPr>
              <w:pStyle w:val="ListParagraph"/>
              <w:numPr>
                <w:ilvl w:val="0"/>
                <w:numId w:val="166"/>
              </w:numPr>
              <w:spacing w:line="264" w:lineRule="auto"/>
              <w:ind w:right="142"/>
              <w:rPr>
                <w:rFonts w:ascii="Arial" w:hAnsi="Arial" w:cs="Arial"/>
                <w:b/>
                <w:bCs/>
                <w:i/>
                <w:iCs/>
              </w:rPr>
            </w:pPr>
            <w:r>
              <w:rPr>
                <w:rFonts w:ascii="Arial" w:hAnsi="Arial" w:cs="Arial"/>
                <w:b/>
                <w:bCs/>
                <w:i/>
                <w:iCs/>
              </w:rPr>
              <w:t>Appendix 5F – 1:200 ‘test to fit’ designs</w:t>
            </w:r>
          </w:p>
        </w:tc>
      </w:tr>
    </w:tbl>
    <w:p w14:paraId="70004792" w14:textId="77777777" w:rsidR="004A7E6A" w:rsidRPr="00587DF1" w:rsidRDefault="004A7E6A" w:rsidP="004A7E6A">
      <w:pPr>
        <w:rPr>
          <w:rFonts w:ascii="Arial" w:hAnsi="Arial" w:cs="Arial"/>
        </w:rPr>
      </w:pPr>
    </w:p>
    <w:p w14:paraId="55C6A80B" w14:textId="77777777" w:rsidR="004A7E6A" w:rsidRPr="005D04DA" w:rsidRDefault="004A7E6A" w:rsidP="005E0D57">
      <w:pPr>
        <w:pStyle w:val="Heading2"/>
        <w:numPr>
          <w:ilvl w:val="1"/>
          <w:numId w:val="1"/>
        </w:numPr>
        <w:rPr>
          <w:rFonts w:ascii="Arial" w:eastAsia="Arial" w:hAnsi="Arial" w:cs="Arial"/>
        </w:rPr>
      </w:pPr>
      <w:bookmarkStart w:id="223" w:name="_Toc32842718"/>
      <w:r w:rsidRPr="005D04DA">
        <w:rPr>
          <w:rFonts w:ascii="Arial" w:eastAsia="Arial" w:hAnsi="Arial" w:cs="Arial"/>
        </w:rPr>
        <w:lastRenderedPageBreak/>
        <w:t>Overview of Moorfields’ services</w:t>
      </w:r>
      <w:bookmarkEnd w:id="223"/>
    </w:p>
    <w:p w14:paraId="41299F83" w14:textId="77777777" w:rsidR="005D04DA" w:rsidRDefault="005D04DA" w:rsidP="004A7E6A">
      <w:pPr>
        <w:spacing w:after="0"/>
        <w:rPr>
          <w:rFonts w:ascii="Arial" w:eastAsia="Arial" w:hAnsi="Arial" w:cs="Arial"/>
        </w:rPr>
      </w:pPr>
    </w:p>
    <w:p w14:paraId="74D9458B" w14:textId="088D6F80" w:rsidR="004A7E6A" w:rsidRPr="00587DF1" w:rsidRDefault="004A7E6A" w:rsidP="004A7E6A">
      <w:pPr>
        <w:spacing w:after="0"/>
        <w:rPr>
          <w:rFonts w:ascii="Arial" w:eastAsia="Arial" w:hAnsi="Arial" w:cs="Arial"/>
        </w:rPr>
      </w:pPr>
      <w:r w:rsidRPr="00587DF1">
        <w:rPr>
          <w:rFonts w:ascii="Arial" w:eastAsia="Arial" w:hAnsi="Arial" w:cs="Arial"/>
        </w:rPr>
        <w:t>The clinical services provided at Moorfields are described in the Strategic Case section</w:t>
      </w:r>
      <w:r w:rsidR="00B146F0">
        <w:rPr>
          <w:rFonts w:ascii="Arial" w:eastAsia="Arial" w:hAnsi="Arial" w:cs="Arial"/>
        </w:rPr>
        <w:t xml:space="preserve"> </w:t>
      </w:r>
      <w:r w:rsidR="00B146F0">
        <w:rPr>
          <w:rFonts w:ascii="Arial" w:eastAsia="Arial" w:hAnsi="Arial" w:cs="Arial"/>
        </w:rPr>
        <w:fldChar w:fldCharType="begin"/>
      </w:r>
      <w:r w:rsidR="00B146F0">
        <w:rPr>
          <w:rFonts w:ascii="Arial" w:eastAsia="Arial" w:hAnsi="Arial" w:cs="Arial"/>
        </w:rPr>
        <w:instrText xml:space="preserve"> REF _Ref24984529 \r \h </w:instrText>
      </w:r>
      <w:r w:rsidR="00B146F0">
        <w:rPr>
          <w:rFonts w:ascii="Arial" w:eastAsia="Arial" w:hAnsi="Arial" w:cs="Arial"/>
        </w:rPr>
      </w:r>
      <w:r w:rsidR="00B146F0">
        <w:rPr>
          <w:rFonts w:ascii="Arial" w:eastAsia="Arial" w:hAnsi="Arial" w:cs="Arial"/>
        </w:rPr>
        <w:fldChar w:fldCharType="separate"/>
      </w:r>
      <w:r w:rsidR="00A936CD">
        <w:rPr>
          <w:rFonts w:ascii="Arial" w:eastAsia="Arial" w:hAnsi="Arial" w:cs="Arial"/>
        </w:rPr>
        <w:t>3.5.2</w:t>
      </w:r>
      <w:r w:rsidR="00B146F0">
        <w:rPr>
          <w:rFonts w:ascii="Arial" w:eastAsia="Arial" w:hAnsi="Arial" w:cs="Arial"/>
        </w:rPr>
        <w:fldChar w:fldCharType="end"/>
      </w:r>
      <w:r w:rsidRPr="00587DF1">
        <w:rPr>
          <w:rFonts w:ascii="Arial" w:eastAsia="Arial" w:hAnsi="Arial" w:cs="Arial"/>
        </w:rPr>
        <w:t>. The key points to note are:</w:t>
      </w:r>
    </w:p>
    <w:p w14:paraId="4E4DE759" w14:textId="77777777" w:rsidR="004A7E6A" w:rsidRPr="00587DF1" w:rsidRDefault="004A7E6A" w:rsidP="005E0D57">
      <w:pPr>
        <w:pStyle w:val="ListParagraph"/>
        <w:numPr>
          <w:ilvl w:val="0"/>
          <w:numId w:val="26"/>
        </w:numPr>
        <w:spacing w:after="0"/>
        <w:rPr>
          <w:rFonts w:ascii="Arial" w:eastAsia="Arial" w:hAnsi="Arial" w:cs="Arial"/>
        </w:rPr>
      </w:pPr>
      <w:r w:rsidRPr="00587DF1">
        <w:rPr>
          <w:rFonts w:ascii="Arial" w:eastAsia="Arial" w:hAnsi="Arial" w:cs="Arial"/>
        </w:rPr>
        <w:t>Moorfields provides local services to people across London through its network and the City Road site. Most of its specialist services and clinical research trials are delivered from the City Road site.</w:t>
      </w:r>
    </w:p>
    <w:p w14:paraId="1DB112EE" w14:textId="14065843" w:rsidR="004A7E6A" w:rsidRPr="00587DF1" w:rsidRDefault="004A7E6A" w:rsidP="005E0D57">
      <w:pPr>
        <w:pStyle w:val="ListParagraph"/>
        <w:numPr>
          <w:ilvl w:val="0"/>
          <w:numId w:val="26"/>
        </w:numPr>
        <w:spacing w:after="0"/>
        <w:rPr>
          <w:rFonts w:ascii="Arial" w:eastAsia="Arial" w:hAnsi="Arial" w:cs="Arial"/>
        </w:rPr>
      </w:pPr>
      <w:r w:rsidRPr="00587DF1">
        <w:rPr>
          <w:rFonts w:ascii="Arial" w:eastAsia="Arial" w:hAnsi="Arial" w:cs="Arial"/>
        </w:rPr>
        <w:t xml:space="preserve">Moorfields </w:t>
      </w:r>
      <w:r w:rsidR="00B146F0">
        <w:rPr>
          <w:rFonts w:ascii="Arial" w:eastAsia="Arial" w:hAnsi="Arial" w:cs="Arial"/>
        </w:rPr>
        <w:t>delivers</w:t>
      </w:r>
      <w:r w:rsidRPr="00587DF1">
        <w:rPr>
          <w:rFonts w:ascii="Arial" w:eastAsia="Arial" w:hAnsi="Arial" w:cs="Arial"/>
        </w:rPr>
        <w:t xml:space="preserve"> highly specialised services such as ocular oncology, prosthetics and </w:t>
      </w:r>
      <w:r w:rsidR="00E73192">
        <w:rPr>
          <w:rFonts w:ascii="Arial" w:eastAsia="Arial" w:hAnsi="Arial" w:cs="Arial"/>
        </w:rPr>
        <w:t xml:space="preserve">corneal </w:t>
      </w:r>
      <w:r w:rsidRPr="00587DF1">
        <w:rPr>
          <w:rFonts w:ascii="Arial" w:eastAsia="Arial" w:hAnsi="Arial" w:cs="Arial"/>
        </w:rPr>
        <w:t>grafts which are provided at a very limited number of trusts.</w:t>
      </w:r>
    </w:p>
    <w:p w14:paraId="2D3006E2" w14:textId="5358E7E8" w:rsidR="004A7E6A" w:rsidRPr="00587DF1" w:rsidRDefault="004A7E6A" w:rsidP="005E0D57">
      <w:pPr>
        <w:pStyle w:val="ListParagraph"/>
        <w:numPr>
          <w:ilvl w:val="0"/>
          <w:numId w:val="26"/>
        </w:numPr>
        <w:spacing w:after="0"/>
        <w:rPr>
          <w:rFonts w:ascii="Arial" w:eastAsia="Arial" w:hAnsi="Arial" w:cs="Arial"/>
        </w:rPr>
      </w:pPr>
      <w:r w:rsidRPr="00587DF1">
        <w:rPr>
          <w:rFonts w:ascii="Arial" w:eastAsia="Arial" w:hAnsi="Arial" w:cs="Arial"/>
        </w:rPr>
        <w:t xml:space="preserve">Ophthalmic services are primarily ambulatory – patients rarely require an overnight stay. The City Road site has </w:t>
      </w:r>
      <w:r w:rsidR="0025490F">
        <w:rPr>
          <w:rFonts w:ascii="Arial" w:eastAsia="Arial" w:hAnsi="Arial" w:cs="Arial"/>
        </w:rPr>
        <w:t>six</w:t>
      </w:r>
      <w:r w:rsidRPr="00587DF1">
        <w:rPr>
          <w:rFonts w:ascii="Arial" w:eastAsia="Arial" w:hAnsi="Arial" w:cs="Arial"/>
        </w:rPr>
        <w:t xml:space="preserve"> beds to accommodate patients requiring observation or travelling a long way for a procedure.</w:t>
      </w:r>
    </w:p>
    <w:p w14:paraId="2684DE73" w14:textId="77777777" w:rsidR="004A7E6A" w:rsidRPr="00587DF1" w:rsidRDefault="004A7E6A" w:rsidP="005E0D57">
      <w:pPr>
        <w:pStyle w:val="ListParagraph"/>
        <w:numPr>
          <w:ilvl w:val="0"/>
          <w:numId w:val="26"/>
        </w:numPr>
        <w:spacing w:after="0"/>
        <w:rPr>
          <w:rFonts w:ascii="Arial" w:eastAsia="Arial" w:hAnsi="Arial" w:cs="Arial"/>
        </w:rPr>
      </w:pPr>
      <w:r w:rsidRPr="00587DF1">
        <w:rPr>
          <w:rFonts w:ascii="Arial" w:eastAsia="Arial" w:hAnsi="Arial" w:cs="Arial"/>
        </w:rPr>
        <w:t>Many eye diseases are long term conditions which require ongoing management – 77% of Moorfields’ outpatient appointments are follow-ups</w:t>
      </w:r>
      <w:r w:rsidRPr="00587DF1">
        <w:rPr>
          <w:rStyle w:val="FootnoteReference"/>
          <w:rFonts w:ascii="Arial" w:eastAsia="Arial" w:hAnsi="Arial" w:cs="Arial"/>
        </w:rPr>
        <w:footnoteReference w:id="15"/>
      </w:r>
      <w:r w:rsidRPr="00587DF1">
        <w:rPr>
          <w:rFonts w:ascii="Arial" w:eastAsia="Arial" w:hAnsi="Arial" w:cs="Arial"/>
        </w:rPr>
        <w:t>.</w:t>
      </w:r>
    </w:p>
    <w:p w14:paraId="5256AD28" w14:textId="77777777" w:rsidR="004A7E6A" w:rsidRPr="00587DF1" w:rsidRDefault="004A7E6A" w:rsidP="005E0D57">
      <w:pPr>
        <w:pStyle w:val="ListParagraph"/>
        <w:numPr>
          <w:ilvl w:val="0"/>
          <w:numId w:val="26"/>
        </w:numPr>
        <w:spacing w:after="0"/>
        <w:rPr>
          <w:rFonts w:ascii="Arial" w:eastAsia="Arial" w:hAnsi="Arial" w:cs="Arial"/>
        </w:rPr>
      </w:pPr>
      <w:r w:rsidRPr="00587DF1">
        <w:rPr>
          <w:rFonts w:ascii="Arial" w:eastAsia="Arial" w:hAnsi="Arial" w:cs="Arial"/>
        </w:rPr>
        <w:t>Many Moorfields patients suffer from sight-loss and therefore have specific needs relating to accessing care.</w:t>
      </w:r>
    </w:p>
    <w:p w14:paraId="623DA707" w14:textId="77777777" w:rsidR="004A7E6A" w:rsidRPr="00587DF1" w:rsidRDefault="004A7E6A" w:rsidP="005E0D57">
      <w:pPr>
        <w:pStyle w:val="ListParagraph"/>
        <w:numPr>
          <w:ilvl w:val="0"/>
          <w:numId w:val="26"/>
        </w:numPr>
        <w:spacing w:after="0"/>
        <w:rPr>
          <w:rFonts w:ascii="Arial" w:eastAsia="Arial" w:hAnsi="Arial" w:cs="Arial"/>
        </w:rPr>
      </w:pPr>
      <w:r w:rsidRPr="00587DF1">
        <w:rPr>
          <w:rFonts w:ascii="Arial" w:eastAsia="Arial" w:hAnsi="Arial" w:cs="Arial"/>
        </w:rPr>
        <w:t xml:space="preserve">The field of ophthalmology has the potential to change significantly as new diagnosis and treatment options are developed. The need for flexibility </w:t>
      </w:r>
      <w:r w:rsidR="00221DFF" w:rsidRPr="00587DF1">
        <w:rPr>
          <w:rFonts w:ascii="Arial" w:eastAsia="Arial" w:hAnsi="Arial" w:cs="Arial"/>
        </w:rPr>
        <w:t xml:space="preserve">in service provision </w:t>
      </w:r>
      <w:r w:rsidRPr="00587DF1">
        <w:rPr>
          <w:rFonts w:ascii="Arial" w:eastAsia="Arial" w:hAnsi="Arial" w:cs="Arial"/>
        </w:rPr>
        <w:t>is therefore key.</w:t>
      </w:r>
    </w:p>
    <w:p w14:paraId="723DAD07" w14:textId="77777777" w:rsidR="004A7E6A" w:rsidRPr="00587DF1" w:rsidRDefault="004A7E6A" w:rsidP="005E0D57">
      <w:pPr>
        <w:pStyle w:val="ListParagraph"/>
        <w:numPr>
          <w:ilvl w:val="0"/>
          <w:numId w:val="26"/>
        </w:numPr>
        <w:spacing w:after="0"/>
        <w:rPr>
          <w:rFonts w:ascii="Arial" w:eastAsia="Arial" w:hAnsi="Arial" w:cs="Arial"/>
        </w:rPr>
      </w:pPr>
      <w:r w:rsidRPr="00587DF1">
        <w:rPr>
          <w:rFonts w:ascii="Arial" w:eastAsia="Arial" w:hAnsi="Arial" w:cs="Arial"/>
        </w:rPr>
        <w:t xml:space="preserve">Moorfields activity is commissioned by 109 CCGs and NHS England Specialised Commissioning. System-wide change in </w:t>
      </w:r>
      <w:r w:rsidR="00B146F0">
        <w:rPr>
          <w:rFonts w:ascii="Arial" w:eastAsia="Arial" w:hAnsi="Arial" w:cs="Arial"/>
        </w:rPr>
        <w:t xml:space="preserve">eye care services </w:t>
      </w:r>
      <w:r w:rsidRPr="00587DF1">
        <w:rPr>
          <w:rFonts w:ascii="Arial" w:eastAsia="Arial" w:hAnsi="Arial" w:cs="Arial"/>
        </w:rPr>
        <w:t>requires co-ordination between CCGs to provide a seamless integrated service offering for patients.</w:t>
      </w:r>
    </w:p>
    <w:p w14:paraId="4323DE8D" w14:textId="77777777" w:rsidR="004A7E6A" w:rsidRPr="00587DF1" w:rsidRDefault="004A7E6A" w:rsidP="005E0D57">
      <w:pPr>
        <w:pStyle w:val="ListParagraph"/>
        <w:numPr>
          <w:ilvl w:val="0"/>
          <w:numId w:val="26"/>
        </w:numPr>
        <w:spacing w:after="0"/>
        <w:rPr>
          <w:rFonts w:ascii="Arial" w:eastAsia="Arial" w:hAnsi="Arial" w:cs="Arial"/>
        </w:rPr>
      </w:pPr>
      <w:r w:rsidRPr="00587DF1">
        <w:rPr>
          <w:rFonts w:ascii="Arial" w:eastAsia="Arial" w:hAnsi="Arial" w:cs="Arial"/>
        </w:rPr>
        <w:t>The trust has a unique opportunity to improve patient experience and integration with research and education, with the benefits that this will bring.</w:t>
      </w:r>
    </w:p>
    <w:p w14:paraId="521DAE8C" w14:textId="77777777" w:rsidR="004A7E6A" w:rsidRPr="00587DF1" w:rsidRDefault="004A7E6A" w:rsidP="004A7E6A">
      <w:pPr>
        <w:spacing w:after="0"/>
        <w:rPr>
          <w:rFonts w:ascii="Arial" w:eastAsia="Arial" w:hAnsi="Arial" w:cs="Arial"/>
        </w:rPr>
      </w:pPr>
    </w:p>
    <w:p w14:paraId="57BE1D34" w14:textId="77C5CBF8" w:rsidR="004A7E6A" w:rsidRPr="00587DF1" w:rsidRDefault="004A7E6A" w:rsidP="004A7E6A">
      <w:pPr>
        <w:spacing w:after="0"/>
        <w:rPr>
          <w:rFonts w:ascii="Arial" w:eastAsia="Arial" w:hAnsi="Arial" w:cs="Arial"/>
        </w:rPr>
      </w:pPr>
      <w:r w:rsidRPr="00587DF1">
        <w:rPr>
          <w:rFonts w:ascii="Arial" w:eastAsia="Arial" w:hAnsi="Arial" w:cs="Arial"/>
        </w:rPr>
        <w:t>The clinical services provided from City Road can be categorised as</w:t>
      </w:r>
      <w:r w:rsidR="0025490F">
        <w:rPr>
          <w:rFonts w:ascii="Arial" w:eastAsia="Arial" w:hAnsi="Arial" w:cs="Arial"/>
        </w:rPr>
        <w:t>:</w:t>
      </w:r>
    </w:p>
    <w:p w14:paraId="337346C2" w14:textId="17C18C25" w:rsidR="004A7E6A" w:rsidRPr="00587DF1" w:rsidRDefault="004A7E6A" w:rsidP="005E0D57">
      <w:pPr>
        <w:pStyle w:val="ListParagraph"/>
        <w:numPr>
          <w:ilvl w:val="0"/>
          <w:numId w:val="34"/>
        </w:numPr>
        <w:spacing w:after="0"/>
        <w:rPr>
          <w:rFonts w:ascii="Arial" w:eastAsia="Arial" w:hAnsi="Arial" w:cs="Arial"/>
        </w:rPr>
      </w:pPr>
      <w:r w:rsidRPr="00587DF1">
        <w:rPr>
          <w:rFonts w:ascii="Arial" w:eastAsia="Arial" w:hAnsi="Arial" w:cs="Arial"/>
        </w:rPr>
        <w:t>Outpatients</w:t>
      </w:r>
      <w:r w:rsidR="0025490F">
        <w:rPr>
          <w:rFonts w:ascii="Arial" w:eastAsia="Arial" w:hAnsi="Arial" w:cs="Arial"/>
        </w:rPr>
        <w:t>.</w:t>
      </w:r>
    </w:p>
    <w:p w14:paraId="686E4569" w14:textId="70BF4823" w:rsidR="004A7E6A" w:rsidRPr="00587DF1" w:rsidRDefault="004A7E6A" w:rsidP="005E0D57">
      <w:pPr>
        <w:pStyle w:val="ListParagraph"/>
        <w:numPr>
          <w:ilvl w:val="0"/>
          <w:numId w:val="34"/>
        </w:numPr>
        <w:spacing w:after="0"/>
        <w:rPr>
          <w:rFonts w:ascii="Arial" w:eastAsia="Arial" w:hAnsi="Arial" w:cs="Arial"/>
        </w:rPr>
      </w:pPr>
      <w:r w:rsidRPr="00587DF1">
        <w:rPr>
          <w:rFonts w:ascii="Arial" w:eastAsia="Arial" w:hAnsi="Arial" w:cs="Arial"/>
        </w:rPr>
        <w:t>Surgical (day case and inpatients)</w:t>
      </w:r>
      <w:r w:rsidR="0025490F">
        <w:rPr>
          <w:rFonts w:ascii="Arial" w:eastAsia="Arial" w:hAnsi="Arial" w:cs="Arial"/>
        </w:rPr>
        <w:t>.</w:t>
      </w:r>
    </w:p>
    <w:p w14:paraId="6969AB2D" w14:textId="753F4832" w:rsidR="004A7E6A" w:rsidRPr="00587DF1" w:rsidRDefault="004A7E6A" w:rsidP="005E0D57">
      <w:pPr>
        <w:pStyle w:val="ListParagraph"/>
        <w:numPr>
          <w:ilvl w:val="0"/>
          <w:numId w:val="34"/>
        </w:numPr>
        <w:spacing w:after="0"/>
        <w:rPr>
          <w:rFonts w:ascii="Arial" w:eastAsia="Arial" w:hAnsi="Arial" w:cs="Arial"/>
        </w:rPr>
      </w:pPr>
      <w:r w:rsidRPr="00587DF1">
        <w:rPr>
          <w:rFonts w:ascii="Arial" w:eastAsia="Arial" w:hAnsi="Arial" w:cs="Arial"/>
        </w:rPr>
        <w:t>Emergency and urgent care</w:t>
      </w:r>
      <w:r w:rsidR="0025490F">
        <w:rPr>
          <w:rFonts w:ascii="Arial" w:eastAsia="Arial" w:hAnsi="Arial" w:cs="Arial"/>
        </w:rPr>
        <w:t>.</w:t>
      </w:r>
    </w:p>
    <w:p w14:paraId="15D8DBFB" w14:textId="7A2ECEC5" w:rsidR="004A7E6A" w:rsidRPr="00587DF1" w:rsidRDefault="00F3525B" w:rsidP="005E0D57">
      <w:pPr>
        <w:pStyle w:val="ListParagraph"/>
        <w:numPr>
          <w:ilvl w:val="0"/>
          <w:numId w:val="34"/>
        </w:numPr>
        <w:spacing w:after="0"/>
        <w:rPr>
          <w:rFonts w:ascii="Arial" w:eastAsia="Arial" w:hAnsi="Arial" w:cs="Arial"/>
        </w:rPr>
      </w:pPr>
      <w:r w:rsidRPr="00587DF1">
        <w:rPr>
          <w:rFonts w:ascii="Arial" w:eastAsia="Arial" w:hAnsi="Arial" w:cs="Arial"/>
        </w:rPr>
        <w:t xml:space="preserve">Children and young people’s services </w:t>
      </w:r>
      <w:r w:rsidR="004A7E6A" w:rsidRPr="00587DF1">
        <w:rPr>
          <w:rFonts w:ascii="Arial" w:eastAsia="Arial" w:hAnsi="Arial" w:cs="Arial"/>
        </w:rPr>
        <w:t>(covering outpatient, surgical and emergency care for 0-16 year olds)</w:t>
      </w:r>
      <w:r w:rsidR="0025490F">
        <w:rPr>
          <w:rFonts w:ascii="Arial" w:eastAsia="Arial" w:hAnsi="Arial" w:cs="Arial"/>
        </w:rPr>
        <w:t>.</w:t>
      </w:r>
    </w:p>
    <w:p w14:paraId="3B7BDE9C" w14:textId="77777777" w:rsidR="004A7E6A" w:rsidRPr="00587DF1" w:rsidRDefault="004A7E6A" w:rsidP="00181896">
      <w:pPr>
        <w:pBdr>
          <w:top w:val="nil"/>
          <w:left w:val="nil"/>
          <w:bottom w:val="nil"/>
          <w:right w:val="nil"/>
          <w:between w:val="nil"/>
        </w:pBdr>
        <w:tabs>
          <w:tab w:val="left" w:pos="567"/>
        </w:tabs>
        <w:spacing w:after="0"/>
        <w:rPr>
          <w:rFonts w:ascii="Arial" w:eastAsia="Arial" w:hAnsi="Arial" w:cs="Arial"/>
          <w:bCs/>
          <w:color w:val="000000"/>
          <w:highlight w:val="yellow"/>
        </w:rPr>
      </w:pPr>
    </w:p>
    <w:p w14:paraId="1A17E9E1" w14:textId="26BB8F02" w:rsidR="004A7E6A" w:rsidRPr="00587DF1" w:rsidRDefault="00952C66" w:rsidP="00952C66">
      <w:pPr>
        <w:rPr>
          <w:rFonts w:ascii="Arial" w:eastAsiaTheme="minorHAnsi" w:hAnsi="Arial" w:cs="Arial"/>
          <w:lang w:eastAsia="en-US"/>
        </w:rPr>
      </w:pPr>
      <w:r w:rsidRPr="00587DF1">
        <w:rPr>
          <w:rFonts w:ascii="Arial" w:eastAsia="Arial" w:hAnsi="Arial" w:cs="Arial"/>
        </w:rPr>
        <w:t xml:space="preserve">The clinical strategies for Moorfields’ four main sub-specialties are described in section </w:t>
      </w:r>
      <w:r w:rsidRPr="00587DF1">
        <w:rPr>
          <w:rFonts w:ascii="Arial" w:eastAsia="Arial" w:hAnsi="Arial" w:cs="Arial"/>
        </w:rPr>
        <w:fldChar w:fldCharType="begin"/>
      </w:r>
      <w:r w:rsidRPr="00587DF1">
        <w:rPr>
          <w:rFonts w:ascii="Arial" w:eastAsia="Arial" w:hAnsi="Arial" w:cs="Arial"/>
        </w:rPr>
        <w:instrText xml:space="preserve"> REF _Ref25593082 \r \h </w:instrText>
      </w:r>
      <w:r w:rsidR="00587DF1">
        <w:rPr>
          <w:rFonts w:ascii="Arial" w:eastAsia="Arial" w:hAnsi="Arial" w:cs="Arial"/>
        </w:rPr>
        <w:instrText xml:space="preserve"> \* MERGEFORMAT </w:instrText>
      </w:r>
      <w:r w:rsidRPr="00587DF1">
        <w:rPr>
          <w:rFonts w:ascii="Arial" w:eastAsia="Arial" w:hAnsi="Arial" w:cs="Arial"/>
        </w:rPr>
      </w:r>
      <w:r w:rsidRPr="00587DF1">
        <w:rPr>
          <w:rFonts w:ascii="Arial" w:eastAsia="Arial" w:hAnsi="Arial" w:cs="Arial"/>
        </w:rPr>
        <w:fldChar w:fldCharType="separate"/>
      </w:r>
      <w:r w:rsidR="00A936CD">
        <w:rPr>
          <w:rFonts w:ascii="Arial" w:eastAsia="Arial" w:hAnsi="Arial" w:cs="Arial"/>
        </w:rPr>
        <w:t>3.5.8</w:t>
      </w:r>
      <w:r w:rsidRPr="00587DF1">
        <w:rPr>
          <w:rFonts w:ascii="Arial" w:eastAsia="Arial" w:hAnsi="Arial" w:cs="Arial"/>
        </w:rPr>
        <w:fldChar w:fldCharType="end"/>
      </w:r>
      <w:r w:rsidRPr="00587DF1">
        <w:rPr>
          <w:rFonts w:ascii="Arial" w:eastAsia="Arial" w:hAnsi="Arial" w:cs="Arial"/>
        </w:rPr>
        <w:t xml:space="preserve">. </w:t>
      </w:r>
      <w:r w:rsidR="004A7E6A" w:rsidRPr="00587DF1">
        <w:rPr>
          <w:rFonts w:ascii="Arial" w:eastAsiaTheme="minorHAnsi" w:hAnsi="Arial" w:cs="Arial"/>
          <w:lang w:eastAsia="en-US"/>
        </w:rPr>
        <w:t xml:space="preserve">These clinical strategies have been used as a basis for developing the clinical pathways for Moorfields services across its network, and will inform the building design for Oriel.  The trust’s plans for Oriel fully align to </w:t>
      </w:r>
      <w:r w:rsidRPr="00587DF1">
        <w:rPr>
          <w:rFonts w:ascii="Arial" w:eastAsiaTheme="minorHAnsi" w:hAnsi="Arial" w:cs="Arial"/>
          <w:lang w:eastAsia="en-US"/>
        </w:rPr>
        <w:t>the clinical strategies</w:t>
      </w:r>
      <w:r w:rsidR="004A7E6A" w:rsidRPr="00587DF1">
        <w:rPr>
          <w:rFonts w:ascii="Arial" w:eastAsiaTheme="minorHAnsi" w:hAnsi="Arial" w:cs="Arial"/>
          <w:lang w:eastAsia="en-US"/>
        </w:rPr>
        <w:t>, through the delivery of an integrated facility with enhanced digital capabilities, and capacity to accommodate increasing demand. The full benefit and opportunity for efficiency represented by these strategies cannot be fully realised without the new building.</w:t>
      </w:r>
    </w:p>
    <w:p w14:paraId="22742319" w14:textId="77777777" w:rsidR="004A7E6A" w:rsidRPr="00587DF1" w:rsidRDefault="004A7E6A" w:rsidP="004A7E6A">
      <w:pPr>
        <w:spacing w:after="0" w:line="264" w:lineRule="auto"/>
        <w:ind w:right="142"/>
        <w:rPr>
          <w:rFonts w:ascii="Arial" w:eastAsiaTheme="minorHAnsi" w:hAnsi="Arial" w:cs="Arial"/>
          <w:b/>
          <w:bCs/>
          <w:lang w:eastAsia="en-US"/>
        </w:rPr>
      </w:pPr>
    </w:p>
    <w:p w14:paraId="5C733F10" w14:textId="77777777" w:rsidR="004A7E6A" w:rsidRPr="005D04DA" w:rsidRDefault="004A7E6A" w:rsidP="005E0D57">
      <w:pPr>
        <w:pStyle w:val="Heading2"/>
        <w:numPr>
          <w:ilvl w:val="1"/>
          <w:numId w:val="1"/>
        </w:numPr>
        <w:rPr>
          <w:rFonts w:ascii="Arial" w:eastAsia="Arial" w:hAnsi="Arial" w:cs="Arial"/>
        </w:rPr>
      </w:pPr>
      <w:bookmarkStart w:id="224" w:name="_Ref27056909"/>
      <w:bookmarkStart w:id="225" w:name="_Toc32842719"/>
      <w:r w:rsidRPr="005D04DA">
        <w:rPr>
          <w:rFonts w:ascii="Arial" w:eastAsia="Arial" w:hAnsi="Arial" w:cs="Arial"/>
        </w:rPr>
        <w:lastRenderedPageBreak/>
        <w:t>Commissioning intentions</w:t>
      </w:r>
      <w:r w:rsidR="00DE7536" w:rsidRPr="005D04DA">
        <w:rPr>
          <w:rFonts w:ascii="Arial" w:eastAsia="Arial" w:hAnsi="Arial" w:cs="Arial"/>
        </w:rPr>
        <w:t xml:space="preserve"> and system-wide service models</w:t>
      </w:r>
      <w:bookmarkEnd w:id="224"/>
      <w:bookmarkEnd w:id="225"/>
    </w:p>
    <w:p w14:paraId="4C471F81" w14:textId="77777777" w:rsidR="005D04DA" w:rsidRDefault="005D04DA" w:rsidP="005D04DA">
      <w:pPr>
        <w:spacing w:after="0"/>
        <w:rPr>
          <w:rFonts w:ascii="Arial" w:eastAsia="Times New Roman" w:hAnsi="Arial" w:cs="Arial"/>
          <w:lang w:eastAsia="en-US"/>
        </w:rPr>
      </w:pPr>
    </w:p>
    <w:p w14:paraId="5F9077C5" w14:textId="77777777" w:rsidR="004A7E6A" w:rsidRPr="00587DF1" w:rsidRDefault="004A7E6A" w:rsidP="004A7E6A">
      <w:pPr>
        <w:rPr>
          <w:rFonts w:ascii="Arial" w:eastAsia="Times New Roman" w:hAnsi="Arial" w:cs="Arial"/>
          <w:lang w:eastAsia="en-US"/>
        </w:rPr>
      </w:pPr>
      <w:r w:rsidRPr="00587DF1">
        <w:rPr>
          <w:rFonts w:ascii="Arial" w:eastAsia="Times New Roman" w:hAnsi="Arial" w:cs="Arial"/>
          <w:lang w:eastAsia="en-US"/>
        </w:rPr>
        <w:t>Moorfields services are commissioned by 109 CCGs (of which 14 hold contracts over £2m at City Road) and NHS England</w:t>
      </w:r>
      <w:r w:rsidR="00952C66" w:rsidRPr="00587DF1">
        <w:rPr>
          <w:rFonts w:ascii="Arial" w:eastAsia="Times New Roman" w:hAnsi="Arial" w:cs="Arial"/>
          <w:lang w:eastAsia="en-US"/>
        </w:rPr>
        <w:t xml:space="preserve"> (NHSE)</w:t>
      </w:r>
      <w:r w:rsidRPr="00587DF1">
        <w:rPr>
          <w:rFonts w:ascii="Arial" w:eastAsia="Times New Roman" w:hAnsi="Arial" w:cs="Arial"/>
          <w:lang w:eastAsia="en-US"/>
        </w:rPr>
        <w:t xml:space="preserve"> Specialised Commissioning (who commissioned over £13m of activity </w:t>
      </w:r>
      <w:r w:rsidR="00952C66" w:rsidRPr="00587DF1">
        <w:rPr>
          <w:rFonts w:ascii="Arial" w:eastAsia="Times New Roman" w:hAnsi="Arial" w:cs="Arial"/>
          <w:lang w:eastAsia="en-US"/>
        </w:rPr>
        <w:t xml:space="preserve">from City Road </w:t>
      </w:r>
      <w:r w:rsidRPr="00587DF1">
        <w:rPr>
          <w:rFonts w:ascii="Arial" w:eastAsia="Times New Roman" w:hAnsi="Arial" w:cs="Arial"/>
          <w:lang w:eastAsia="en-US"/>
        </w:rPr>
        <w:t>in 2018/19). This represents a relatively small proportion of the total commissioned activity for each of these CCGs and NHS</w:t>
      </w:r>
      <w:r w:rsidR="00952C66" w:rsidRPr="00587DF1">
        <w:rPr>
          <w:rFonts w:ascii="Arial" w:eastAsia="Times New Roman" w:hAnsi="Arial" w:cs="Arial"/>
          <w:lang w:eastAsia="en-US"/>
        </w:rPr>
        <w:t>E</w:t>
      </w:r>
      <w:r w:rsidRPr="00587DF1">
        <w:rPr>
          <w:rFonts w:ascii="Arial" w:eastAsia="Times New Roman" w:hAnsi="Arial" w:cs="Arial"/>
          <w:lang w:eastAsia="en-US"/>
        </w:rPr>
        <w:t>.</w:t>
      </w:r>
    </w:p>
    <w:p w14:paraId="444FAD96" w14:textId="5051BCE7" w:rsidR="00181896" w:rsidRPr="00587DF1" w:rsidRDefault="00181896" w:rsidP="00181896">
      <w:pPr>
        <w:rPr>
          <w:rFonts w:ascii="Arial" w:hAnsi="Arial" w:cs="Arial"/>
        </w:rPr>
      </w:pPr>
      <w:r w:rsidRPr="00587DF1">
        <w:rPr>
          <w:rFonts w:ascii="Arial" w:hAnsi="Arial" w:cs="Arial"/>
        </w:rPr>
        <w:t xml:space="preserve">The NHS Long Term Plan set out priorities and changes to the way health services should be delivered, with a focus on integration. This provides an opportunity to design health services around resident’s needs, rather than organisations. The Long Term Plan set the ambition that every part of the country should form an Integrated Care System (ICS) to accelerate the work of STPs in working </w:t>
      </w:r>
      <w:r w:rsidR="00E73192">
        <w:rPr>
          <w:rFonts w:ascii="Arial" w:hAnsi="Arial" w:cs="Arial"/>
        </w:rPr>
        <w:t>across</w:t>
      </w:r>
      <w:r w:rsidRPr="00587DF1">
        <w:rPr>
          <w:rFonts w:ascii="Arial" w:hAnsi="Arial" w:cs="Arial"/>
        </w:rPr>
        <w:t xml:space="preserve"> different care providers and commissioners.</w:t>
      </w:r>
    </w:p>
    <w:p w14:paraId="3FC33859" w14:textId="77777777" w:rsidR="00181896" w:rsidRPr="00587DF1" w:rsidRDefault="00181896" w:rsidP="00181896">
      <w:pPr>
        <w:rPr>
          <w:rFonts w:ascii="Arial" w:hAnsi="Arial" w:cs="Arial"/>
        </w:rPr>
      </w:pPr>
      <w:r w:rsidRPr="00587DF1">
        <w:rPr>
          <w:rFonts w:ascii="Arial" w:hAnsi="Arial" w:cs="Arial"/>
        </w:rPr>
        <w:t>Addressing the models of care for ophthalmology services forms part of the long term planning for the 14 CCGs and NHSE specialised commissioning. North central London STP, for example, have agreed work programmes between its 22 statutory bodies to work together to improve the healthcare of north central London. One of these work programmes is developing ophthalmology pathways across the STP, through an ophthalmology design group attended by clinicians, commissioners and providers. This is particularly focusing on delivery of first and follow-up appointments for low-complexity cataract, glaucoma and AMD (age-related macular degeneration) patients in the community, where appropriate.</w:t>
      </w:r>
    </w:p>
    <w:p w14:paraId="3F55748A" w14:textId="6C1BC6D4" w:rsidR="004A7E6A" w:rsidRPr="00587DF1" w:rsidRDefault="004A7E6A" w:rsidP="004A7E6A">
      <w:pPr>
        <w:rPr>
          <w:rFonts w:ascii="Arial" w:eastAsia="Times New Roman" w:hAnsi="Arial" w:cs="Arial"/>
          <w:lang w:eastAsia="en-US"/>
        </w:rPr>
      </w:pPr>
      <w:r w:rsidRPr="00E73192">
        <w:rPr>
          <w:rFonts w:ascii="Arial" w:eastAsia="Times New Roman" w:hAnsi="Arial" w:cs="Arial"/>
          <w:lang w:eastAsia="en-US"/>
        </w:rPr>
        <w:t xml:space="preserve">CCGs and </w:t>
      </w:r>
      <w:r w:rsidR="00952C66" w:rsidRPr="00E73192">
        <w:rPr>
          <w:rFonts w:ascii="Arial" w:eastAsia="Times New Roman" w:hAnsi="Arial" w:cs="Arial"/>
          <w:lang w:eastAsia="en-US"/>
        </w:rPr>
        <w:t xml:space="preserve">NHSE Specialised Commissioning </w:t>
      </w:r>
      <w:r w:rsidRPr="00E73192">
        <w:rPr>
          <w:rFonts w:ascii="Arial" w:eastAsia="Times New Roman" w:hAnsi="Arial" w:cs="Arial"/>
          <w:lang w:eastAsia="en-US"/>
        </w:rPr>
        <w:t>have</w:t>
      </w:r>
      <w:r w:rsidR="00181896" w:rsidRPr="00E73192">
        <w:rPr>
          <w:rFonts w:ascii="Arial" w:eastAsia="Times New Roman" w:hAnsi="Arial" w:cs="Arial"/>
          <w:lang w:eastAsia="en-US"/>
        </w:rPr>
        <w:t xml:space="preserve"> </w:t>
      </w:r>
      <w:r w:rsidR="00952C66" w:rsidRPr="00E73192">
        <w:rPr>
          <w:rFonts w:ascii="Arial" w:eastAsia="Times New Roman" w:hAnsi="Arial" w:cs="Arial"/>
          <w:lang w:eastAsia="en-US"/>
        </w:rPr>
        <w:t xml:space="preserve">confirmed their </w:t>
      </w:r>
      <w:r w:rsidRPr="00E73192">
        <w:rPr>
          <w:rFonts w:ascii="Arial" w:eastAsia="Times New Roman" w:hAnsi="Arial" w:cs="Arial"/>
          <w:lang w:eastAsia="en-US"/>
        </w:rPr>
        <w:t xml:space="preserve">support for </w:t>
      </w:r>
      <w:r w:rsidR="00952C66" w:rsidRPr="00E73192">
        <w:rPr>
          <w:rFonts w:ascii="Arial" w:eastAsia="Times New Roman" w:hAnsi="Arial" w:cs="Arial"/>
          <w:lang w:eastAsia="en-US"/>
        </w:rPr>
        <w:t xml:space="preserve">the project through </w:t>
      </w:r>
      <w:r w:rsidRPr="00E73192">
        <w:rPr>
          <w:rFonts w:ascii="Arial" w:eastAsia="Times New Roman" w:hAnsi="Arial" w:cs="Arial"/>
          <w:lang w:eastAsia="en-US"/>
        </w:rPr>
        <w:t>the public consultation</w:t>
      </w:r>
      <w:r w:rsidR="00952C66" w:rsidRPr="00E73192">
        <w:rPr>
          <w:rFonts w:ascii="Arial" w:eastAsia="Times New Roman" w:hAnsi="Arial" w:cs="Arial"/>
          <w:lang w:eastAsia="en-US"/>
        </w:rPr>
        <w:t xml:space="preserve"> </w:t>
      </w:r>
      <w:r w:rsidR="00E73192" w:rsidRPr="00E73192">
        <w:rPr>
          <w:rFonts w:ascii="Arial" w:eastAsia="Times New Roman" w:hAnsi="Arial" w:cs="Arial"/>
          <w:lang w:eastAsia="en-US"/>
        </w:rPr>
        <w:t xml:space="preserve">at the </w:t>
      </w:r>
      <w:r w:rsidR="00952C66" w:rsidRPr="00E73192">
        <w:rPr>
          <w:rFonts w:ascii="Arial" w:eastAsia="Times New Roman" w:hAnsi="Arial" w:cs="Arial"/>
          <w:lang w:eastAsia="en-US"/>
        </w:rPr>
        <w:t>Committees in Common</w:t>
      </w:r>
      <w:r w:rsidR="00E73192" w:rsidRPr="00E73192">
        <w:rPr>
          <w:rFonts w:ascii="Arial" w:eastAsia="Times New Roman" w:hAnsi="Arial" w:cs="Arial"/>
          <w:lang w:eastAsia="en-US"/>
        </w:rPr>
        <w:t xml:space="preserve"> in 12 February 2020</w:t>
      </w:r>
      <w:r w:rsidRPr="00E73192">
        <w:rPr>
          <w:rFonts w:ascii="Arial" w:eastAsia="Times New Roman" w:hAnsi="Arial" w:cs="Arial"/>
          <w:lang w:eastAsia="en-US"/>
        </w:rPr>
        <w:t>.</w:t>
      </w:r>
      <w:r w:rsidRPr="00587DF1">
        <w:rPr>
          <w:rFonts w:ascii="Arial" w:eastAsia="Times New Roman" w:hAnsi="Arial" w:cs="Arial"/>
          <w:lang w:eastAsia="en-US"/>
        </w:rPr>
        <w:t xml:space="preserve"> It is the joint ambition of commissioners and Moorfields to develop a facility that is able to meet the growing demand for ophthalmic services. </w:t>
      </w:r>
    </w:p>
    <w:p w14:paraId="4C64B38A" w14:textId="727E02B6" w:rsidR="004A7E6A" w:rsidRPr="00587DF1" w:rsidRDefault="004A7E6A" w:rsidP="004A7E6A">
      <w:pPr>
        <w:rPr>
          <w:rFonts w:ascii="Arial" w:hAnsi="Arial" w:cs="Arial"/>
        </w:rPr>
      </w:pPr>
      <w:r w:rsidRPr="00587DF1">
        <w:rPr>
          <w:rFonts w:ascii="Arial" w:hAnsi="Arial" w:cs="Arial"/>
        </w:rPr>
        <w:t xml:space="preserve">Demand modelling has been undertaken (described in section </w:t>
      </w:r>
      <w:r w:rsidR="00952C66" w:rsidRPr="00587DF1">
        <w:rPr>
          <w:rFonts w:ascii="Arial" w:hAnsi="Arial" w:cs="Arial"/>
        </w:rPr>
        <w:fldChar w:fldCharType="begin"/>
      </w:r>
      <w:r w:rsidR="00952C66" w:rsidRPr="00587DF1">
        <w:rPr>
          <w:rFonts w:ascii="Arial" w:hAnsi="Arial" w:cs="Arial"/>
        </w:rPr>
        <w:instrText xml:space="preserve"> REF _Ref25593327 \r \h </w:instrText>
      </w:r>
      <w:r w:rsidR="00587DF1">
        <w:rPr>
          <w:rFonts w:ascii="Arial" w:hAnsi="Arial" w:cs="Arial"/>
        </w:rPr>
        <w:instrText xml:space="preserve"> \* MERGEFORMAT </w:instrText>
      </w:r>
      <w:r w:rsidR="00952C66" w:rsidRPr="00587DF1">
        <w:rPr>
          <w:rFonts w:ascii="Arial" w:hAnsi="Arial" w:cs="Arial"/>
        </w:rPr>
      </w:r>
      <w:r w:rsidR="00952C66" w:rsidRPr="00587DF1">
        <w:rPr>
          <w:rFonts w:ascii="Arial" w:hAnsi="Arial" w:cs="Arial"/>
        </w:rPr>
        <w:fldChar w:fldCharType="separate"/>
      </w:r>
      <w:r w:rsidR="00A936CD">
        <w:rPr>
          <w:rFonts w:ascii="Arial" w:hAnsi="Arial" w:cs="Arial"/>
        </w:rPr>
        <w:t>3.10.5</w:t>
      </w:r>
      <w:r w:rsidR="00952C66" w:rsidRPr="00587DF1">
        <w:rPr>
          <w:rFonts w:ascii="Arial" w:hAnsi="Arial" w:cs="Arial"/>
        </w:rPr>
        <w:fldChar w:fldCharType="end"/>
      </w:r>
      <w:r w:rsidRPr="00587DF1">
        <w:rPr>
          <w:rFonts w:ascii="Arial" w:hAnsi="Arial" w:cs="Arial"/>
        </w:rPr>
        <w:t xml:space="preserve">) in partnership with commissioners to establish likely activity growth. As part of this work, significant engagement and discussion was held with stakeholders from across the system involved in </w:t>
      </w:r>
      <w:r w:rsidR="00952C66" w:rsidRPr="00587DF1">
        <w:rPr>
          <w:rFonts w:ascii="Arial" w:hAnsi="Arial" w:cs="Arial"/>
        </w:rPr>
        <w:t xml:space="preserve">providing and </w:t>
      </w:r>
      <w:r w:rsidRPr="00587DF1">
        <w:rPr>
          <w:rFonts w:ascii="Arial" w:hAnsi="Arial" w:cs="Arial"/>
        </w:rPr>
        <w:t xml:space="preserve">commissioning eye care services (detailed in Appendix </w:t>
      </w:r>
      <w:r w:rsidR="00127D77">
        <w:rPr>
          <w:rFonts w:ascii="Arial" w:hAnsi="Arial" w:cs="Arial"/>
        </w:rPr>
        <w:t>3B</w:t>
      </w:r>
      <w:r w:rsidRPr="00587DF1">
        <w:rPr>
          <w:rFonts w:ascii="Arial" w:hAnsi="Arial" w:cs="Arial"/>
        </w:rPr>
        <w:t>). Th</w:t>
      </w:r>
      <w:r w:rsidR="00181896" w:rsidRPr="00587DF1">
        <w:rPr>
          <w:rFonts w:ascii="Arial" w:hAnsi="Arial" w:cs="Arial"/>
        </w:rPr>
        <w:t xml:space="preserve">is </w:t>
      </w:r>
      <w:r w:rsidRPr="00587DF1">
        <w:rPr>
          <w:rFonts w:ascii="Arial" w:hAnsi="Arial" w:cs="Arial"/>
        </w:rPr>
        <w:t xml:space="preserve">set out a proposed model of care to create consistency and alignment between </w:t>
      </w:r>
      <w:r w:rsidR="00181896" w:rsidRPr="00587DF1">
        <w:rPr>
          <w:rFonts w:ascii="Arial" w:hAnsi="Arial" w:cs="Arial"/>
        </w:rPr>
        <w:t xml:space="preserve">commissioner and provider </w:t>
      </w:r>
      <w:r w:rsidRPr="00587DF1">
        <w:rPr>
          <w:rFonts w:ascii="Arial" w:hAnsi="Arial" w:cs="Arial"/>
        </w:rPr>
        <w:t>organisations.</w:t>
      </w:r>
    </w:p>
    <w:p w14:paraId="4E489411" w14:textId="6EFFAA3F" w:rsidR="004A7E6A" w:rsidRPr="00587DF1" w:rsidRDefault="004A7E6A" w:rsidP="004A7E6A">
      <w:pPr>
        <w:rPr>
          <w:rFonts w:ascii="Arial" w:hAnsi="Arial" w:cs="Arial"/>
        </w:rPr>
      </w:pPr>
      <w:r w:rsidRPr="00587DF1">
        <w:rPr>
          <w:rFonts w:ascii="Arial" w:hAnsi="Arial" w:cs="Arial"/>
        </w:rPr>
        <w:t xml:space="preserve">The outline model of care is </w:t>
      </w:r>
      <w:r w:rsidRPr="00A05747">
        <w:rPr>
          <w:rFonts w:ascii="Arial" w:hAnsi="Arial" w:cs="Arial"/>
        </w:rPr>
        <w:t xml:space="preserve">shown in </w:t>
      </w:r>
      <w:r w:rsidR="00A05747" w:rsidRPr="00A05747">
        <w:rPr>
          <w:rFonts w:ascii="Arial" w:hAnsi="Arial" w:cs="Arial"/>
        </w:rPr>
        <w:fldChar w:fldCharType="begin"/>
      </w:r>
      <w:r w:rsidR="00A05747" w:rsidRPr="00A05747">
        <w:rPr>
          <w:rFonts w:ascii="Arial" w:hAnsi="Arial" w:cs="Arial"/>
        </w:rPr>
        <w:instrText xml:space="preserve"> REF _Ref30077415 \h </w:instrText>
      </w:r>
      <w:r w:rsidR="00A05747">
        <w:rPr>
          <w:rFonts w:ascii="Arial" w:hAnsi="Arial" w:cs="Arial"/>
        </w:rPr>
        <w:instrText xml:space="preserve"> \* MERGEFORMAT </w:instrText>
      </w:r>
      <w:r w:rsidR="00A05747" w:rsidRPr="00A05747">
        <w:rPr>
          <w:rFonts w:ascii="Arial" w:hAnsi="Arial" w:cs="Arial"/>
        </w:rPr>
      </w:r>
      <w:r w:rsidR="00A05747" w:rsidRPr="00A05747">
        <w:rPr>
          <w:rFonts w:ascii="Arial" w:hAnsi="Arial" w:cs="Arial"/>
        </w:rPr>
        <w:fldChar w:fldCharType="separate"/>
      </w:r>
      <w:r w:rsidR="00A936CD" w:rsidRPr="00A936CD">
        <w:rPr>
          <w:rFonts w:ascii="Arial" w:hAnsi="Arial" w:cs="Arial"/>
        </w:rPr>
        <w:t xml:space="preserve">Figure </w:t>
      </w:r>
      <w:r w:rsidR="00A936CD" w:rsidRPr="00A936CD">
        <w:rPr>
          <w:rFonts w:ascii="Arial" w:hAnsi="Arial" w:cs="Arial"/>
          <w:noProof/>
        </w:rPr>
        <w:t>12</w:t>
      </w:r>
      <w:r w:rsidR="00A05747" w:rsidRPr="00A05747">
        <w:rPr>
          <w:rFonts w:ascii="Arial" w:hAnsi="Arial" w:cs="Arial"/>
        </w:rPr>
        <w:fldChar w:fldCharType="end"/>
      </w:r>
      <w:r w:rsidRPr="00A05747">
        <w:rPr>
          <w:rFonts w:ascii="Arial" w:hAnsi="Arial" w:cs="Arial"/>
        </w:rPr>
        <w:t>. Ce</w:t>
      </w:r>
      <w:r w:rsidRPr="00587DF1">
        <w:rPr>
          <w:rFonts w:ascii="Arial" w:hAnsi="Arial" w:cs="Arial"/>
        </w:rPr>
        <w:t xml:space="preserve">ntral to this model is the principle of system-wide working, with greater collaboration across primary, community, secondary and tertiary care settings. </w:t>
      </w:r>
    </w:p>
    <w:p w14:paraId="51652F55" w14:textId="77777777" w:rsidR="004A7E6A" w:rsidRPr="00587DF1" w:rsidRDefault="004A7E6A" w:rsidP="004A7E6A">
      <w:pPr>
        <w:rPr>
          <w:rFonts w:ascii="Arial" w:hAnsi="Arial" w:cs="Arial"/>
        </w:rPr>
      </w:pPr>
      <w:r w:rsidRPr="00587DF1">
        <w:rPr>
          <w:rFonts w:ascii="Arial" w:hAnsi="Arial" w:cs="Arial"/>
        </w:rPr>
        <w:t>There are a number of insights from this:</w:t>
      </w:r>
    </w:p>
    <w:p w14:paraId="31D5C3F2" w14:textId="77777777" w:rsidR="004A7E6A" w:rsidRPr="00587DF1" w:rsidRDefault="004A7E6A" w:rsidP="005E0D57">
      <w:pPr>
        <w:pStyle w:val="ListParagraph"/>
        <w:numPr>
          <w:ilvl w:val="0"/>
          <w:numId w:val="53"/>
        </w:numPr>
        <w:rPr>
          <w:rFonts w:ascii="Arial" w:hAnsi="Arial" w:cs="Arial"/>
        </w:rPr>
      </w:pPr>
      <w:r w:rsidRPr="00587DF1">
        <w:rPr>
          <w:rFonts w:ascii="Arial" w:hAnsi="Arial" w:cs="Arial"/>
        </w:rPr>
        <w:t>Future care requires seamless working throughout the system, from self-care through to tertiary and emergency care.</w:t>
      </w:r>
    </w:p>
    <w:p w14:paraId="70CADC40" w14:textId="77777777" w:rsidR="004A7E6A" w:rsidRPr="00587DF1" w:rsidRDefault="004A7E6A" w:rsidP="005E0D57">
      <w:pPr>
        <w:pStyle w:val="ListParagraph"/>
        <w:numPr>
          <w:ilvl w:val="0"/>
          <w:numId w:val="53"/>
        </w:numPr>
        <w:rPr>
          <w:rFonts w:ascii="Arial" w:hAnsi="Arial" w:cs="Arial"/>
        </w:rPr>
      </w:pPr>
      <w:r w:rsidRPr="00587DF1">
        <w:rPr>
          <w:rFonts w:ascii="Arial" w:hAnsi="Arial" w:cs="Arial"/>
        </w:rPr>
        <w:t>Delivering this requires commitment and investment from all system</w:t>
      </w:r>
      <w:r w:rsidR="00221DFF" w:rsidRPr="00587DF1">
        <w:rPr>
          <w:rFonts w:ascii="Arial" w:hAnsi="Arial" w:cs="Arial"/>
        </w:rPr>
        <w:t xml:space="preserve"> commissioners and providers</w:t>
      </w:r>
      <w:r w:rsidRPr="00587DF1">
        <w:rPr>
          <w:rFonts w:ascii="Arial" w:hAnsi="Arial" w:cs="Arial"/>
        </w:rPr>
        <w:t>.</w:t>
      </w:r>
    </w:p>
    <w:p w14:paraId="31706C13" w14:textId="77777777" w:rsidR="004A7E6A" w:rsidRPr="00587DF1" w:rsidRDefault="004A7E6A" w:rsidP="005E0D57">
      <w:pPr>
        <w:pStyle w:val="ListParagraph"/>
        <w:numPr>
          <w:ilvl w:val="0"/>
          <w:numId w:val="53"/>
        </w:numPr>
        <w:rPr>
          <w:rFonts w:ascii="Arial" w:hAnsi="Arial" w:cs="Arial"/>
        </w:rPr>
      </w:pPr>
      <w:r w:rsidRPr="00587DF1">
        <w:rPr>
          <w:rFonts w:ascii="Arial" w:hAnsi="Arial" w:cs="Arial"/>
        </w:rPr>
        <w:t xml:space="preserve">Specific </w:t>
      </w:r>
      <w:r w:rsidR="00221DFF" w:rsidRPr="00587DF1">
        <w:rPr>
          <w:rFonts w:ascii="Arial" w:hAnsi="Arial" w:cs="Arial"/>
        </w:rPr>
        <w:t xml:space="preserve">challenges </w:t>
      </w:r>
      <w:r w:rsidRPr="00587DF1">
        <w:rPr>
          <w:rFonts w:ascii="Arial" w:hAnsi="Arial" w:cs="Arial"/>
        </w:rPr>
        <w:t>exist in the form of technology, IT infrastructure and workforce.</w:t>
      </w:r>
    </w:p>
    <w:p w14:paraId="40EEF33D" w14:textId="77777777" w:rsidR="004A7E6A" w:rsidRPr="00587DF1" w:rsidRDefault="004A7E6A" w:rsidP="005E0D57">
      <w:pPr>
        <w:pStyle w:val="ListParagraph"/>
        <w:numPr>
          <w:ilvl w:val="0"/>
          <w:numId w:val="53"/>
        </w:numPr>
        <w:rPr>
          <w:rFonts w:ascii="Arial" w:hAnsi="Arial" w:cs="Arial"/>
        </w:rPr>
      </w:pPr>
      <w:r w:rsidRPr="00587DF1">
        <w:rPr>
          <w:rFonts w:ascii="Arial" w:hAnsi="Arial" w:cs="Arial"/>
        </w:rPr>
        <w:t>Pathways will only change if this investment made and new services commissioned.</w:t>
      </w:r>
    </w:p>
    <w:p w14:paraId="29F638F0" w14:textId="07211847" w:rsidR="004A7E6A" w:rsidRPr="00691888" w:rsidRDefault="004A7E6A" w:rsidP="004A7E6A">
      <w:pPr>
        <w:pStyle w:val="Caption"/>
        <w:rPr>
          <w:b w:val="0"/>
          <w:bCs w:val="0"/>
        </w:rPr>
      </w:pPr>
      <w:bookmarkStart w:id="226" w:name="_Ref30077415"/>
      <w:r w:rsidRPr="00587DF1">
        <w:lastRenderedPageBreak/>
        <w:t xml:space="preserve">Figure </w:t>
      </w:r>
      <w:r w:rsidR="00320059">
        <w:fldChar w:fldCharType="begin"/>
      </w:r>
      <w:r w:rsidR="00320059">
        <w:instrText xml:space="preserve"> SEQ Figure \* ARABIC </w:instrText>
      </w:r>
      <w:r w:rsidR="00320059">
        <w:fldChar w:fldCharType="separate"/>
      </w:r>
      <w:r w:rsidR="00A936CD">
        <w:rPr>
          <w:noProof/>
        </w:rPr>
        <w:t>12</w:t>
      </w:r>
      <w:r w:rsidR="00320059">
        <w:fldChar w:fldCharType="end"/>
      </w:r>
      <w:bookmarkEnd w:id="226"/>
      <w:r w:rsidR="00691888">
        <w:t>:</w:t>
      </w:r>
      <w:r w:rsidRPr="00587DF1">
        <w:t xml:space="preserve"> </w:t>
      </w:r>
      <w:r w:rsidRPr="00691888">
        <w:rPr>
          <w:b w:val="0"/>
          <w:bCs w:val="0"/>
        </w:rPr>
        <w:t>Outline model of care</w:t>
      </w:r>
    </w:p>
    <w:p w14:paraId="65F3177E" w14:textId="77777777" w:rsidR="004A7E6A" w:rsidRPr="00587DF1" w:rsidRDefault="004A7E6A" w:rsidP="004A7E6A">
      <w:pPr>
        <w:ind w:left="-567"/>
        <w:rPr>
          <w:rFonts w:ascii="Arial" w:hAnsi="Arial" w:cs="Arial"/>
        </w:rPr>
      </w:pPr>
      <w:r w:rsidRPr="00587DF1">
        <w:rPr>
          <w:rFonts w:ascii="Arial" w:hAnsi="Arial" w:cs="Arial"/>
          <w:noProof/>
        </w:rPr>
        <w:drawing>
          <wp:inline distT="0" distB="0" distL="0" distR="0" wp14:anchorId="68F86D70" wp14:editId="1D8B48DE">
            <wp:extent cx="6796696" cy="3726873"/>
            <wp:effectExtent l="0" t="0" r="4445" b="698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4542" b="4614"/>
                    <a:stretch/>
                  </pic:blipFill>
                  <pic:spPr bwMode="auto">
                    <a:xfrm>
                      <a:off x="0" y="0"/>
                      <a:ext cx="6816682" cy="3737832"/>
                    </a:xfrm>
                    <a:prstGeom prst="rect">
                      <a:avLst/>
                    </a:prstGeom>
                    <a:ln>
                      <a:noFill/>
                    </a:ln>
                    <a:extLst>
                      <a:ext uri="{53640926-AAD7-44D8-BBD7-CCE9431645EC}">
                        <a14:shadowObscured xmlns:a14="http://schemas.microsoft.com/office/drawing/2010/main"/>
                      </a:ext>
                    </a:extLst>
                  </pic:spPr>
                </pic:pic>
              </a:graphicData>
            </a:graphic>
          </wp:inline>
        </w:drawing>
      </w:r>
    </w:p>
    <w:p w14:paraId="39D9217A" w14:textId="77777777" w:rsidR="00FC2580" w:rsidRPr="00587DF1" w:rsidRDefault="004A7E6A" w:rsidP="004A7E6A">
      <w:pPr>
        <w:pBdr>
          <w:top w:val="nil"/>
          <w:left w:val="nil"/>
          <w:bottom w:val="nil"/>
          <w:right w:val="nil"/>
          <w:between w:val="nil"/>
        </w:pBdr>
        <w:tabs>
          <w:tab w:val="left" w:pos="567"/>
        </w:tabs>
        <w:rPr>
          <w:rFonts w:ascii="Arial" w:hAnsi="Arial" w:cs="Arial"/>
        </w:rPr>
      </w:pPr>
      <w:r w:rsidRPr="00587DF1">
        <w:rPr>
          <w:rFonts w:ascii="Arial" w:hAnsi="Arial" w:cs="Arial"/>
        </w:rPr>
        <w:t xml:space="preserve">Commissioners </w:t>
      </w:r>
      <w:r w:rsidR="00952C66" w:rsidRPr="00587DF1">
        <w:rPr>
          <w:rFonts w:ascii="Arial" w:hAnsi="Arial" w:cs="Arial"/>
        </w:rPr>
        <w:t>and</w:t>
      </w:r>
      <w:r w:rsidRPr="00587DF1">
        <w:rPr>
          <w:rFonts w:ascii="Arial" w:hAnsi="Arial" w:cs="Arial"/>
        </w:rPr>
        <w:t xml:space="preserve"> Moorfields </w:t>
      </w:r>
      <w:r w:rsidR="00FC2580" w:rsidRPr="00587DF1">
        <w:rPr>
          <w:rFonts w:ascii="Arial" w:hAnsi="Arial" w:cs="Arial"/>
        </w:rPr>
        <w:t xml:space="preserve">are working </w:t>
      </w:r>
      <w:r w:rsidR="00952C66" w:rsidRPr="00587DF1">
        <w:rPr>
          <w:rFonts w:ascii="Arial" w:hAnsi="Arial" w:cs="Arial"/>
        </w:rPr>
        <w:t xml:space="preserve">together </w:t>
      </w:r>
      <w:r w:rsidRPr="00587DF1">
        <w:rPr>
          <w:rFonts w:ascii="Arial" w:hAnsi="Arial" w:cs="Arial"/>
        </w:rPr>
        <w:t>to ensure care pathways are optimised</w:t>
      </w:r>
      <w:r w:rsidR="00952C66" w:rsidRPr="00587DF1">
        <w:rPr>
          <w:rFonts w:ascii="Arial" w:hAnsi="Arial" w:cs="Arial"/>
        </w:rPr>
        <w:t>, utilising both t</w:t>
      </w:r>
      <w:r w:rsidRPr="00587DF1">
        <w:rPr>
          <w:rFonts w:ascii="Arial" w:hAnsi="Arial" w:cs="Arial"/>
        </w:rPr>
        <w:t xml:space="preserve">he trust’s network </w:t>
      </w:r>
      <w:r w:rsidR="00952C66" w:rsidRPr="00587DF1">
        <w:rPr>
          <w:rFonts w:ascii="Arial" w:hAnsi="Arial" w:cs="Arial"/>
        </w:rPr>
        <w:t xml:space="preserve">and a fit-for-purpose site at </w:t>
      </w:r>
      <w:r w:rsidR="00F3525B" w:rsidRPr="00587DF1">
        <w:rPr>
          <w:rFonts w:ascii="Arial" w:hAnsi="Arial" w:cs="Arial"/>
        </w:rPr>
        <w:t>St Pancras</w:t>
      </w:r>
      <w:r w:rsidR="00952C66" w:rsidRPr="00587DF1">
        <w:rPr>
          <w:rFonts w:ascii="Arial" w:hAnsi="Arial" w:cs="Arial"/>
        </w:rPr>
        <w:t xml:space="preserve">. </w:t>
      </w:r>
      <w:r w:rsidR="00FC2580" w:rsidRPr="00587DF1">
        <w:rPr>
          <w:rFonts w:ascii="Arial" w:hAnsi="Arial" w:cs="Arial"/>
        </w:rPr>
        <w:t xml:space="preserve">The Decision-Making Business Case (DMBC) recommended </w:t>
      </w:r>
      <w:r w:rsidR="00882733">
        <w:rPr>
          <w:rFonts w:ascii="Arial" w:hAnsi="Arial" w:cs="Arial"/>
        </w:rPr>
        <w:t>establishment of a London Ophthalmology Collaborative.</w:t>
      </w:r>
      <w:r w:rsidR="00FC2580" w:rsidRPr="00587DF1">
        <w:rPr>
          <w:rFonts w:ascii="Arial" w:hAnsi="Arial" w:cs="Arial"/>
        </w:rPr>
        <w:t xml:space="preserve"> Through this forum, Moorfields will continue to work with commissioners to design the best model of care for ophthalmology which </w:t>
      </w:r>
      <w:r w:rsidR="00221DFF" w:rsidRPr="00587DF1">
        <w:rPr>
          <w:rFonts w:ascii="Arial" w:hAnsi="Arial" w:cs="Arial"/>
        </w:rPr>
        <w:t>provides</w:t>
      </w:r>
      <w:r w:rsidR="00FC2580" w:rsidRPr="00587DF1">
        <w:rPr>
          <w:rFonts w:ascii="Arial" w:hAnsi="Arial" w:cs="Arial"/>
        </w:rPr>
        <w:t xml:space="preserve"> care from the most appropriate setting and delivers value for money for the NHS.</w:t>
      </w:r>
    </w:p>
    <w:p w14:paraId="59E623F4" w14:textId="77777777" w:rsidR="00181896" w:rsidRPr="00587DF1" w:rsidRDefault="00FC2580" w:rsidP="004A7E6A">
      <w:pPr>
        <w:pBdr>
          <w:top w:val="nil"/>
          <w:left w:val="nil"/>
          <w:bottom w:val="nil"/>
          <w:right w:val="nil"/>
          <w:between w:val="nil"/>
        </w:pBdr>
        <w:tabs>
          <w:tab w:val="left" w:pos="567"/>
        </w:tabs>
        <w:rPr>
          <w:rFonts w:ascii="Arial" w:hAnsi="Arial" w:cs="Arial"/>
        </w:rPr>
      </w:pPr>
      <w:r w:rsidRPr="00587DF1">
        <w:rPr>
          <w:rFonts w:ascii="Arial" w:hAnsi="Arial" w:cs="Arial"/>
        </w:rPr>
        <w:t xml:space="preserve">The trust is already working </w:t>
      </w:r>
      <w:r w:rsidR="004A7E6A" w:rsidRPr="00587DF1">
        <w:rPr>
          <w:rFonts w:ascii="Arial" w:hAnsi="Arial" w:cs="Arial"/>
        </w:rPr>
        <w:t xml:space="preserve">with commissioners to upskill optometrists to provide screening and monitoring in some localities (Bedford and Croydon), however rolling this out across other areas is challenging due to the high turnover of the ophthalmology workforce in Central London. </w:t>
      </w:r>
      <w:r w:rsidRPr="00587DF1">
        <w:rPr>
          <w:rFonts w:ascii="Arial" w:hAnsi="Arial" w:cs="Arial"/>
        </w:rPr>
        <w:t xml:space="preserve">A central facility with the ability to support advancements in the field of ophthalmology, and to deliver care virtually, is required to efficiently deliver services which </w:t>
      </w:r>
      <w:r w:rsidR="004A7E6A" w:rsidRPr="00587DF1">
        <w:rPr>
          <w:rFonts w:ascii="Arial" w:hAnsi="Arial" w:cs="Arial"/>
        </w:rPr>
        <w:t>require expertise and specialised equipment.</w:t>
      </w:r>
    </w:p>
    <w:p w14:paraId="6CFE3149" w14:textId="06021FEC" w:rsidR="004A7E6A" w:rsidRPr="00587DF1" w:rsidRDefault="004A7E6A" w:rsidP="005E0D57">
      <w:pPr>
        <w:numPr>
          <w:ilvl w:val="2"/>
          <w:numId w:val="1"/>
        </w:numPr>
        <w:pBdr>
          <w:top w:val="nil"/>
          <w:left w:val="nil"/>
          <w:bottom w:val="nil"/>
          <w:right w:val="nil"/>
          <w:between w:val="nil"/>
        </w:pBdr>
        <w:tabs>
          <w:tab w:val="left" w:pos="567"/>
        </w:tabs>
        <w:ind w:left="567" w:hanging="567"/>
        <w:rPr>
          <w:rFonts w:ascii="Arial" w:eastAsia="Arial" w:hAnsi="Arial" w:cs="Arial"/>
          <w:b/>
          <w:color w:val="000000"/>
        </w:rPr>
      </w:pPr>
      <w:bookmarkStart w:id="227" w:name="_Ref27746299"/>
      <w:r w:rsidRPr="00587DF1">
        <w:rPr>
          <w:rFonts w:ascii="Arial" w:eastAsia="Arial" w:hAnsi="Arial" w:cs="Arial"/>
          <w:b/>
          <w:color w:val="000000"/>
        </w:rPr>
        <w:t xml:space="preserve">Developing </w:t>
      </w:r>
      <w:r w:rsidR="005B7B37" w:rsidRPr="00236908">
        <w:rPr>
          <w:rFonts w:ascii="Arial" w:eastAsia="Arial" w:hAnsi="Arial" w:cs="Arial"/>
          <w:b/>
          <w:color w:val="000000"/>
        </w:rPr>
        <w:t xml:space="preserve">the </w:t>
      </w:r>
      <w:r w:rsidR="00236908" w:rsidRPr="00236908">
        <w:rPr>
          <w:rFonts w:ascii="Arial" w:eastAsia="Arial" w:hAnsi="Arial" w:cs="Arial"/>
          <w:b/>
        </w:rPr>
        <w:t>Clinical Quality Case</w:t>
      </w:r>
      <w:r w:rsidR="00236908">
        <w:rPr>
          <w:rFonts w:ascii="Arial" w:eastAsia="Arial" w:hAnsi="Arial" w:cs="Arial"/>
        </w:rPr>
        <w:t xml:space="preserve"> </w:t>
      </w:r>
      <w:r w:rsidRPr="00587DF1">
        <w:rPr>
          <w:rFonts w:ascii="Arial" w:eastAsia="Arial" w:hAnsi="Arial" w:cs="Arial"/>
          <w:b/>
          <w:color w:val="000000"/>
        </w:rPr>
        <w:t>– clinical leadership and stakeholder engagement</w:t>
      </w:r>
      <w:bookmarkEnd w:id="227"/>
    </w:p>
    <w:p w14:paraId="6EB5C211" w14:textId="77777777" w:rsidR="004A7E6A" w:rsidRPr="00587DF1" w:rsidRDefault="004A7E6A" w:rsidP="004A7E6A">
      <w:pPr>
        <w:spacing w:after="0" w:line="264" w:lineRule="auto"/>
        <w:ind w:right="142"/>
        <w:rPr>
          <w:rFonts w:ascii="Arial" w:eastAsiaTheme="minorHAnsi" w:hAnsi="Arial" w:cs="Arial"/>
          <w:lang w:eastAsia="en-US"/>
        </w:rPr>
      </w:pPr>
      <w:r w:rsidRPr="00587DF1">
        <w:rPr>
          <w:rFonts w:ascii="Arial" w:eastAsiaTheme="minorHAnsi" w:hAnsi="Arial" w:cs="Arial"/>
          <w:lang w:eastAsia="en-US"/>
        </w:rPr>
        <w:t>The clinical and academic colleagues that work across Moorfields and UCL’s IoO are among world leaders in the field of ophthalmology.  As such, it is essential that their expertise and experience leads the design of Oriel to ensure it is innovative and fit for the future.  The early stages of design undertaken to date have, therefore, involved many members of staff across both organisations as well as feedback from patients and carers received before and during consultation. A broad range of input has been sought from commissioners, ophthalmology service</w:t>
      </w:r>
      <w:r w:rsidR="00F3525B" w:rsidRPr="00587DF1">
        <w:rPr>
          <w:rFonts w:ascii="Arial" w:eastAsiaTheme="minorHAnsi" w:hAnsi="Arial" w:cs="Arial"/>
          <w:lang w:eastAsia="en-US"/>
        </w:rPr>
        <w:t xml:space="preserve"> users</w:t>
      </w:r>
      <w:r w:rsidRPr="00587DF1">
        <w:rPr>
          <w:rFonts w:ascii="Arial" w:eastAsiaTheme="minorHAnsi" w:hAnsi="Arial" w:cs="Arial"/>
          <w:lang w:eastAsia="en-US"/>
        </w:rPr>
        <w:t xml:space="preserve"> and the public across London as part of the public consultation.</w:t>
      </w:r>
    </w:p>
    <w:p w14:paraId="1595F5BC" w14:textId="77777777" w:rsidR="004A7E6A" w:rsidRPr="00587DF1" w:rsidRDefault="004A7E6A" w:rsidP="004A7E6A">
      <w:pPr>
        <w:spacing w:after="0" w:line="264" w:lineRule="auto"/>
        <w:ind w:right="142"/>
        <w:rPr>
          <w:rFonts w:ascii="Arial" w:eastAsiaTheme="minorHAnsi" w:hAnsi="Arial" w:cs="Arial"/>
          <w:b/>
          <w:bCs/>
          <w:lang w:eastAsia="en-US"/>
        </w:rPr>
      </w:pPr>
      <w:r w:rsidRPr="00587DF1">
        <w:rPr>
          <w:rFonts w:ascii="Arial" w:eastAsiaTheme="minorHAnsi" w:hAnsi="Arial" w:cs="Arial"/>
          <w:b/>
          <w:bCs/>
          <w:lang w:eastAsia="en-US"/>
        </w:rPr>
        <w:lastRenderedPageBreak/>
        <w:t>Patient involvement</w:t>
      </w:r>
    </w:p>
    <w:p w14:paraId="3500EDBC" w14:textId="77777777" w:rsidR="004A7E6A" w:rsidRPr="00587DF1" w:rsidRDefault="004A7E6A" w:rsidP="004A7E6A">
      <w:pPr>
        <w:spacing w:after="0" w:line="264" w:lineRule="auto"/>
        <w:ind w:right="142"/>
        <w:rPr>
          <w:rFonts w:ascii="Arial" w:eastAsiaTheme="minorHAnsi" w:hAnsi="Arial" w:cs="Arial"/>
          <w:b/>
          <w:bCs/>
          <w:lang w:eastAsia="en-US"/>
        </w:rPr>
      </w:pPr>
    </w:p>
    <w:p w14:paraId="7FAD2739" w14:textId="77777777" w:rsidR="004A7E6A" w:rsidRPr="00587DF1" w:rsidRDefault="004A7E6A" w:rsidP="004A7E6A">
      <w:pPr>
        <w:spacing w:after="0" w:line="264" w:lineRule="auto"/>
        <w:ind w:right="142"/>
        <w:rPr>
          <w:rFonts w:ascii="Arial" w:eastAsiaTheme="minorHAnsi" w:hAnsi="Arial" w:cs="Arial"/>
          <w:lang w:eastAsia="en-US"/>
        </w:rPr>
      </w:pPr>
      <w:r w:rsidRPr="00587DF1">
        <w:rPr>
          <w:rFonts w:ascii="Arial" w:eastAsiaTheme="minorHAnsi" w:hAnsi="Arial" w:cs="Arial"/>
          <w:lang w:eastAsia="en-US"/>
        </w:rPr>
        <w:t>The clinical pathways have been developed recognising the vast range of patient</w:t>
      </w:r>
      <w:r w:rsidR="00F3525B" w:rsidRPr="00587DF1">
        <w:rPr>
          <w:rFonts w:ascii="Arial" w:eastAsiaTheme="minorHAnsi" w:hAnsi="Arial" w:cs="Arial"/>
          <w:lang w:eastAsia="en-US"/>
        </w:rPr>
        <w:t>s</w:t>
      </w:r>
      <w:r w:rsidRPr="00587DF1">
        <w:rPr>
          <w:rFonts w:ascii="Arial" w:eastAsiaTheme="minorHAnsi" w:hAnsi="Arial" w:cs="Arial"/>
          <w:lang w:eastAsia="en-US"/>
        </w:rPr>
        <w:t xml:space="preserve"> who visit Moorfields, from patients who visit regularly over the long term, to low-complexity cataract patients, and A&amp;E attendances with the potential to be any level of acuity. Common to all patients is the distressing nature of an eye condition, and the need for a reassuring and efficient service which directs them to the most appropriate clinician as quickly as possible, and provides them with holistic treatment, support to live and manage their condition or treatment plan and awareness of how they could be involved in research. </w:t>
      </w:r>
    </w:p>
    <w:p w14:paraId="30C6C56C" w14:textId="77777777" w:rsidR="004A7E6A" w:rsidRPr="00587DF1" w:rsidRDefault="004A7E6A" w:rsidP="004A7E6A">
      <w:pPr>
        <w:spacing w:after="0" w:line="264" w:lineRule="auto"/>
        <w:ind w:right="142"/>
        <w:rPr>
          <w:rFonts w:ascii="Arial" w:eastAsiaTheme="minorHAnsi" w:hAnsi="Arial" w:cs="Arial"/>
          <w:lang w:eastAsia="en-US"/>
        </w:rPr>
      </w:pPr>
    </w:p>
    <w:p w14:paraId="549082B2" w14:textId="0FB162D9" w:rsidR="004A7E6A" w:rsidRPr="00587DF1" w:rsidRDefault="004A7E6A" w:rsidP="004A7E6A">
      <w:pPr>
        <w:spacing w:after="0" w:line="264" w:lineRule="auto"/>
        <w:ind w:right="142"/>
        <w:rPr>
          <w:rFonts w:ascii="Arial" w:eastAsiaTheme="minorHAnsi" w:hAnsi="Arial" w:cs="Arial"/>
          <w:lang w:eastAsia="en-US"/>
        </w:rPr>
      </w:pPr>
      <w:r w:rsidRPr="00587DF1">
        <w:rPr>
          <w:rFonts w:ascii="Arial" w:eastAsiaTheme="minorHAnsi" w:hAnsi="Arial" w:cs="Arial"/>
          <w:lang w:eastAsia="en-US"/>
        </w:rPr>
        <w:t xml:space="preserve">In order to ensure the plans remain patient-centred and reflect the specific needs of Moorfields patients, the trust has established an Oriel Advisory Group, with patients and public representatives with diverse needs from across and outside of London.  The Group has been in place for over a year, and has provided valuable insight in preparation and throughout the public consultation process.  Upon the completion of the public consultation programme, the Group </w:t>
      </w:r>
      <w:r w:rsidR="00DB02F8">
        <w:rPr>
          <w:rFonts w:ascii="Arial" w:eastAsiaTheme="minorHAnsi" w:hAnsi="Arial" w:cs="Arial"/>
          <w:lang w:eastAsia="en-US"/>
        </w:rPr>
        <w:t>now focuses on development of the designs and accessibility planning for Oriel</w:t>
      </w:r>
      <w:r w:rsidRPr="00587DF1">
        <w:rPr>
          <w:rFonts w:ascii="Arial" w:eastAsiaTheme="minorHAnsi" w:hAnsi="Arial" w:cs="Arial"/>
          <w:lang w:eastAsia="en-US"/>
        </w:rPr>
        <w:t>, in particular addressing some of the feedback themes of the consultation. These include:</w:t>
      </w:r>
    </w:p>
    <w:p w14:paraId="46F2C4EC" w14:textId="77777777" w:rsidR="004A7E6A" w:rsidRPr="00587DF1" w:rsidRDefault="004A7E6A" w:rsidP="004A7E6A">
      <w:pPr>
        <w:spacing w:after="0" w:line="264" w:lineRule="auto"/>
        <w:ind w:right="142"/>
        <w:rPr>
          <w:rFonts w:ascii="Arial" w:eastAsiaTheme="minorHAnsi" w:hAnsi="Arial" w:cs="Arial"/>
          <w:lang w:eastAsia="en-US"/>
        </w:rPr>
      </w:pPr>
    </w:p>
    <w:p w14:paraId="6A797EE7" w14:textId="77777777" w:rsidR="00077EDB" w:rsidRPr="00587DF1" w:rsidRDefault="004A7E6A" w:rsidP="005E0D57">
      <w:pPr>
        <w:pStyle w:val="ListParagraph"/>
        <w:numPr>
          <w:ilvl w:val="0"/>
          <w:numId w:val="47"/>
        </w:numPr>
        <w:spacing w:after="0" w:line="264" w:lineRule="auto"/>
        <w:ind w:right="142"/>
        <w:rPr>
          <w:rFonts w:ascii="Arial" w:eastAsiaTheme="minorHAnsi" w:hAnsi="Arial" w:cs="Arial"/>
          <w:lang w:eastAsia="en-US"/>
        </w:rPr>
      </w:pPr>
      <w:r w:rsidRPr="00587DF1">
        <w:rPr>
          <w:rFonts w:ascii="Arial" w:eastAsiaTheme="minorHAnsi" w:hAnsi="Arial" w:cs="Arial"/>
          <w:lang w:eastAsia="en-US"/>
        </w:rPr>
        <w:t xml:space="preserve">The new building should represent an uplifting environment, which reduces anxiety and </w:t>
      </w:r>
      <w:r w:rsidR="00FC2580" w:rsidRPr="00587DF1">
        <w:rPr>
          <w:rFonts w:ascii="Arial" w:eastAsiaTheme="minorHAnsi" w:hAnsi="Arial" w:cs="Arial"/>
          <w:lang w:eastAsia="en-US"/>
        </w:rPr>
        <w:t>enables service users to be independent</w:t>
      </w:r>
      <w:r w:rsidR="00077EDB" w:rsidRPr="00587DF1">
        <w:rPr>
          <w:rFonts w:ascii="Arial" w:eastAsiaTheme="minorHAnsi" w:hAnsi="Arial" w:cs="Arial"/>
          <w:lang w:eastAsia="en-US"/>
        </w:rPr>
        <w:t>.</w:t>
      </w:r>
    </w:p>
    <w:p w14:paraId="520656B5" w14:textId="77777777" w:rsidR="004A7E6A" w:rsidRPr="00587DF1" w:rsidRDefault="004A7E6A" w:rsidP="005E0D57">
      <w:pPr>
        <w:pStyle w:val="ListParagraph"/>
        <w:numPr>
          <w:ilvl w:val="0"/>
          <w:numId w:val="47"/>
        </w:numPr>
        <w:spacing w:after="0" w:line="264" w:lineRule="auto"/>
        <w:ind w:right="142"/>
        <w:rPr>
          <w:rFonts w:ascii="Arial" w:eastAsiaTheme="minorHAnsi" w:hAnsi="Arial" w:cs="Arial"/>
          <w:lang w:eastAsia="en-US"/>
        </w:rPr>
      </w:pPr>
      <w:r w:rsidRPr="00587DF1">
        <w:rPr>
          <w:rFonts w:ascii="Arial" w:eastAsiaTheme="minorHAnsi" w:hAnsi="Arial" w:cs="Arial"/>
          <w:lang w:eastAsia="en-US"/>
        </w:rPr>
        <w:t xml:space="preserve">Wayfinding should enable visually impaired visitors to navigate independently, </w:t>
      </w:r>
      <w:r w:rsidR="00FC2580" w:rsidRPr="00587DF1">
        <w:rPr>
          <w:rFonts w:ascii="Arial" w:eastAsiaTheme="minorHAnsi" w:hAnsi="Arial" w:cs="Arial"/>
          <w:lang w:eastAsia="en-US"/>
        </w:rPr>
        <w:t>both within the building and on the ‘last half-mile’ between transport hubs and the new centre</w:t>
      </w:r>
      <w:r w:rsidRPr="00587DF1">
        <w:rPr>
          <w:rFonts w:ascii="Arial" w:eastAsiaTheme="minorHAnsi" w:hAnsi="Arial" w:cs="Arial"/>
          <w:lang w:eastAsia="en-US"/>
        </w:rPr>
        <w:t>.</w:t>
      </w:r>
    </w:p>
    <w:p w14:paraId="58394215" w14:textId="77777777" w:rsidR="00077EDB" w:rsidRPr="00587DF1" w:rsidRDefault="00077EDB" w:rsidP="005E0D57">
      <w:pPr>
        <w:pStyle w:val="ListParagraph"/>
        <w:numPr>
          <w:ilvl w:val="0"/>
          <w:numId w:val="47"/>
        </w:numPr>
        <w:spacing w:after="0" w:line="264" w:lineRule="auto"/>
        <w:ind w:right="142"/>
        <w:rPr>
          <w:rFonts w:ascii="Arial" w:eastAsiaTheme="minorHAnsi" w:hAnsi="Arial" w:cs="Arial"/>
          <w:lang w:eastAsia="en-US"/>
        </w:rPr>
      </w:pPr>
      <w:r w:rsidRPr="00587DF1">
        <w:rPr>
          <w:rFonts w:ascii="Arial" w:eastAsiaTheme="minorHAnsi" w:hAnsi="Arial" w:cs="Arial"/>
          <w:lang w:eastAsia="en-US"/>
        </w:rPr>
        <w:t>The new building is an opportunity to improve facilities for patients, as well as long-term service quality through integration with research and education.</w:t>
      </w:r>
    </w:p>
    <w:p w14:paraId="27A901C9" w14:textId="2329CB31" w:rsidR="00DF7E6E" w:rsidRDefault="004A7E6A" w:rsidP="005E0D57">
      <w:pPr>
        <w:pStyle w:val="ListParagraph"/>
        <w:numPr>
          <w:ilvl w:val="0"/>
          <w:numId w:val="47"/>
        </w:numPr>
        <w:spacing w:after="0" w:line="264" w:lineRule="auto"/>
        <w:ind w:right="142"/>
        <w:rPr>
          <w:rFonts w:ascii="Arial" w:eastAsiaTheme="minorHAnsi" w:hAnsi="Arial" w:cs="Arial"/>
          <w:lang w:eastAsia="en-US"/>
        </w:rPr>
      </w:pPr>
      <w:r w:rsidRPr="00587DF1">
        <w:rPr>
          <w:rFonts w:ascii="Arial" w:eastAsiaTheme="minorHAnsi" w:hAnsi="Arial" w:cs="Arial"/>
          <w:lang w:eastAsia="en-US"/>
        </w:rPr>
        <w:t>While the number one priority should be on the quality of medical care, the trust could do more to support patients holistically in living with their condition as well as treating it.</w:t>
      </w:r>
    </w:p>
    <w:p w14:paraId="1564DEA9" w14:textId="17F3A332" w:rsidR="00DB02F8" w:rsidRDefault="00DB02F8" w:rsidP="00DB02F8">
      <w:pPr>
        <w:spacing w:after="0" w:line="264" w:lineRule="auto"/>
        <w:ind w:right="142"/>
        <w:rPr>
          <w:rFonts w:ascii="Arial" w:eastAsiaTheme="minorHAnsi" w:hAnsi="Arial" w:cs="Arial"/>
          <w:lang w:eastAsia="en-US"/>
        </w:rPr>
      </w:pPr>
    </w:p>
    <w:p w14:paraId="78C86950" w14:textId="04ABF187" w:rsidR="00DB02F8" w:rsidRPr="00DB02F8" w:rsidRDefault="00DB02F8" w:rsidP="00DB02F8">
      <w:pPr>
        <w:spacing w:after="0" w:line="264" w:lineRule="auto"/>
        <w:ind w:right="142"/>
        <w:rPr>
          <w:rFonts w:ascii="Arial" w:eastAsiaTheme="minorHAnsi" w:hAnsi="Arial" w:cs="Arial"/>
          <w:lang w:eastAsia="en-US"/>
        </w:rPr>
      </w:pPr>
      <w:r>
        <w:rPr>
          <w:rFonts w:ascii="Arial" w:eastAsiaTheme="minorHAnsi" w:hAnsi="Arial" w:cs="Arial"/>
          <w:lang w:eastAsia="en-US"/>
        </w:rPr>
        <w:t xml:space="preserve">More information on the staff and patient Oriel Advisory Groups is included in the Management Case (section </w:t>
      </w:r>
      <w:r>
        <w:rPr>
          <w:rFonts w:ascii="Arial" w:eastAsiaTheme="minorHAnsi" w:hAnsi="Arial" w:cs="Arial"/>
          <w:lang w:eastAsia="en-US"/>
        </w:rPr>
        <w:fldChar w:fldCharType="begin"/>
      </w:r>
      <w:r>
        <w:rPr>
          <w:rFonts w:ascii="Arial" w:eastAsiaTheme="minorHAnsi" w:hAnsi="Arial" w:cs="Arial"/>
          <w:lang w:eastAsia="en-US"/>
        </w:rPr>
        <w:instrText xml:space="preserve"> REF _Ref32585495 \r \h </w:instrText>
      </w:r>
      <w:r>
        <w:rPr>
          <w:rFonts w:ascii="Arial" w:eastAsiaTheme="minorHAnsi" w:hAnsi="Arial" w:cs="Arial"/>
          <w:lang w:eastAsia="en-US"/>
        </w:rPr>
      </w:r>
      <w:r>
        <w:rPr>
          <w:rFonts w:ascii="Arial" w:eastAsiaTheme="minorHAnsi" w:hAnsi="Arial" w:cs="Arial"/>
          <w:lang w:eastAsia="en-US"/>
        </w:rPr>
        <w:fldChar w:fldCharType="separate"/>
      </w:r>
      <w:r w:rsidR="00A936CD">
        <w:rPr>
          <w:rFonts w:ascii="Arial" w:eastAsiaTheme="minorHAnsi" w:hAnsi="Arial" w:cs="Arial"/>
          <w:lang w:eastAsia="en-US"/>
        </w:rPr>
        <w:t>8.2</w:t>
      </w:r>
      <w:r>
        <w:rPr>
          <w:rFonts w:ascii="Arial" w:eastAsiaTheme="minorHAnsi" w:hAnsi="Arial" w:cs="Arial"/>
          <w:lang w:eastAsia="en-US"/>
        </w:rPr>
        <w:fldChar w:fldCharType="end"/>
      </w:r>
      <w:r>
        <w:rPr>
          <w:rFonts w:ascii="Arial" w:eastAsiaTheme="minorHAnsi" w:hAnsi="Arial" w:cs="Arial"/>
          <w:lang w:eastAsia="en-US"/>
        </w:rPr>
        <w:t>)</w:t>
      </w:r>
    </w:p>
    <w:p w14:paraId="19B653EA" w14:textId="77777777" w:rsidR="004A7E6A" w:rsidRPr="00587DF1" w:rsidRDefault="004A7E6A" w:rsidP="004A7E6A">
      <w:pPr>
        <w:spacing w:after="0" w:line="264" w:lineRule="auto"/>
        <w:ind w:right="142"/>
        <w:rPr>
          <w:rFonts w:ascii="Arial" w:eastAsiaTheme="minorHAnsi" w:hAnsi="Arial" w:cs="Arial"/>
          <w:lang w:eastAsia="en-US"/>
        </w:rPr>
      </w:pPr>
    </w:p>
    <w:p w14:paraId="02BDEDF6" w14:textId="77777777" w:rsidR="004A7E6A" w:rsidRPr="00587DF1" w:rsidRDefault="004A7E6A" w:rsidP="004A7E6A">
      <w:pPr>
        <w:spacing w:after="0" w:line="264" w:lineRule="auto"/>
        <w:ind w:right="142"/>
        <w:rPr>
          <w:rFonts w:ascii="Arial" w:eastAsiaTheme="minorHAnsi" w:hAnsi="Arial" w:cs="Arial"/>
          <w:b/>
          <w:bCs/>
          <w:lang w:eastAsia="en-US"/>
        </w:rPr>
      </w:pPr>
      <w:r w:rsidRPr="00587DF1">
        <w:rPr>
          <w:rFonts w:ascii="Arial" w:eastAsiaTheme="minorHAnsi" w:hAnsi="Arial" w:cs="Arial"/>
          <w:b/>
          <w:bCs/>
          <w:lang w:eastAsia="en-US"/>
        </w:rPr>
        <w:t>Clinical involvement and leadership</w:t>
      </w:r>
    </w:p>
    <w:p w14:paraId="4B5EA173" w14:textId="77777777" w:rsidR="004A7E6A" w:rsidRPr="00587DF1" w:rsidRDefault="004A7E6A" w:rsidP="004A7E6A">
      <w:pPr>
        <w:spacing w:after="0" w:line="264" w:lineRule="auto"/>
        <w:ind w:right="142"/>
        <w:rPr>
          <w:rFonts w:ascii="Arial" w:eastAsiaTheme="minorHAnsi" w:hAnsi="Arial" w:cs="Arial"/>
          <w:b/>
          <w:bCs/>
          <w:lang w:eastAsia="en-US"/>
        </w:rPr>
      </w:pPr>
    </w:p>
    <w:p w14:paraId="0864A3A2" w14:textId="77777777" w:rsidR="004A7E6A" w:rsidRPr="00587DF1" w:rsidRDefault="004A7E6A" w:rsidP="004A7E6A">
      <w:pPr>
        <w:rPr>
          <w:rFonts w:ascii="Arial" w:eastAsia="Arial" w:hAnsi="Arial" w:cs="Arial"/>
          <w:bCs/>
          <w:color w:val="000000"/>
        </w:rPr>
      </w:pPr>
      <w:r w:rsidRPr="00587DF1">
        <w:rPr>
          <w:rFonts w:ascii="Arial" w:eastAsia="Arial" w:hAnsi="Arial" w:cs="Arial"/>
          <w:bCs/>
          <w:color w:val="000000"/>
        </w:rPr>
        <w:t>To deliver the OBC and early designs for Oriel, the following workstreams have been established:</w:t>
      </w:r>
    </w:p>
    <w:p w14:paraId="17E622B8" w14:textId="083EE57A" w:rsidR="00FC34DB" w:rsidRDefault="00FC34DB" w:rsidP="00FC34DB">
      <w:pPr>
        <w:pStyle w:val="Caption"/>
      </w:pPr>
      <w:r>
        <w:t xml:space="preserve">Figure </w:t>
      </w:r>
      <w:r w:rsidR="00320059">
        <w:fldChar w:fldCharType="begin"/>
      </w:r>
      <w:r w:rsidR="00320059">
        <w:instrText xml:space="preserve"> SEQ Figure \* ARABIC </w:instrText>
      </w:r>
      <w:r w:rsidR="00320059">
        <w:fldChar w:fldCharType="separate"/>
      </w:r>
      <w:r w:rsidR="00A936CD">
        <w:rPr>
          <w:noProof/>
        </w:rPr>
        <w:t>13</w:t>
      </w:r>
      <w:r w:rsidR="00320059">
        <w:fldChar w:fldCharType="end"/>
      </w:r>
      <w:r>
        <w:t xml:space="preserve">: </w:t>
      </w:r>
      <w:r>
        <w:rPr>
          <w:b w:val="0"/>
          <w:bCs w:val="0"/>
        </w:rPr>
        <w:t>Clinical and non-clinical workstreams for developing OBC</w:t>
      </w:r>
    </w:p>
    <w:p w14:paraId="72CEAE67" w14:textId="77777777" w:rsidR="004A7E6A" w:rsidRPr="00587DF1" w:rsidRDefault="004A7E6A" w:rsidP="00FC34DB">
      <w:pPr>
        <w:ind w:left="-426"/>
        <w:rPr>
          <w:rFonts w:ascii="Arial" w:eastAsia="Arial" w:hAnsi="Arial" w:cs="Arial"/>
          <w:bCs/>
          <w:color w:val="000000"/>
        </w:rPr>
      </w:pPr>
      <w:r w:rsidRPr="00587DF1">
        <w:rPr>
          <w:rFonts w:ascii="Arial" w:hAnsi="Arial" w:cs="Arial"/>
          <w:noProof/>
        </w:rPr>
        <w:drawing>
          <wp:inline distT="0" distB="0" distL="0" distR="0" wp14:anchorId="037724B3" wp14:editId="0CC79569">
            <wp:extent cx="6353498" cy="1482436"/>
            <wp:effectExtent l="0" t="0" r="0" b="3810"/>
            <wp:docPr id="1483731202" name="Picture 148373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76874" cy="1487890"/>
                    </a:xfrm>
                    <a:prstGeom prst="rect">
                      <a:avLst/>
                    </a:prstGeom>
                  </pic:spPr>
                </pic:pic>
              </a:graphicData>
            </a:graphic>
          </wp:inline>
        </w:drawing>
      </w:r>
    </w:p>
    <w:p w14:paraId="7E05A325" w14:textId="77777777" w:rsidR="004A7E6A" w:rsidRPr="00587DF1" w:rsidRDefault="004A7E6A" w:rsidP="004A7E6A">
      <w:pPr>
        <w:rPr>
          <w:rFonts w:ascii="Arial" w:eastAsia="Arial" w:hAnsi="Arial" w:cs="Arial"/>
          <w:bCs/>
          <w:color w:val="000000"/>
        </w:rPr>
      </w:pPr>
      <w:r w:rsidRPr="00587DF1">
        <w:rPr>
          <w:rFonts w:ascii="Arial" w:eastAsia="Arial" w:hAnsi="Arial" w:cs="Arial"/>
          <w:bCs/>
          <w:color w:val="000000"/>
        </w:rPr>
        <w:lastRenderedPageBreak/>
        <w:t>Clinical teams have been integral to the development of the design. Within the clinical services workstream shown above, the following sub-groups have been set up to design the new models of care, agree the designs, equipment and IT proposals, and agree the content for the OBC:</w:t>
      </w:r>
    </w:p>
    <w:p w14:paraId="3950BADA" w14:textId="4B12322F" w:rsidR="00691888" w:rsidRDefault="00691888" w:rsidP="00691888">
      <w:pPr>
        <w:pStyle w:val="Caption"/>
      </w:pPr>
      <w:r>
        <w:t xml:space="preserve">Table </w:t>
      </w:r>
      <w:r>
        <w:fldChar w:fldCharType="begin"/>
      </w:r>
      <w:r>
        <w:instrText xml:space="preserve"> SEQ Table \* ARABIC </w:instrText>
      </w:r>
      <w:r>
        <w:fldChar w:fldCharType="separate"/>
      </w:r>
      <w:r w:rsidR="00A936CD">
        <w:rPr>
          <w:noProof/>
        </w:rPr>
        <w:t>22</w:t>
      </w:r>
      <w:r>
        <w:fldChar w:fldCharType="end"/>
      </w:r>
      <w:r>
        <w:t xml:space="preserve">: </w:t>
      </w:r>
      <w:r>
        <w:rPr>
          <w:b w:val="0"/>
          <w:bCs w:val="0"/>
        </w:rPr>
        <w:t>Clinical sub-groups</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844"/>
        <w:gridCol w:w="3845"/>
      </w:tblGrid>
      <w:tr w:rsidR="0025490F" w:rsidRPr="0025490F" w14:paraId="4E16C5A0" w14:textId="77777777" w:rsidTr="0025490F">
        <w:tc>
          <w:tcPr>
            <w:tcW w:w="1951" w:type="dxa"/>
            <w:shd w:val="clear" w:color="auto" w:fill="4F81BD"/>
          </w:tcPr>
          <w:p w14:paraId="691D1323" w14:textId="77777777" w:rsidR="00957E58" w:rsidRPr="0025490F" w:rsidRDefault="00957E58" w:rsidP="00FC2580">
            <w:pPr>
              <w:spacing w:after="0"/>
              <w:rPr>
                <w:rFonts w:ascii="Arial" w:eastAsia="Arial" w:hAnsi="Arial" w:cs="Arial"/>
                <w:b/>
                <w:color w:val="FFFFFF" w:themeColor="background1"/>
              </w:rPr>
            </w:pPr>
            <w:r w:rsidRPr="0025490F">
              <w:rPr>
                <w:rFonts w:ascii="Arial" w:eastAsia="Arial" w:hAnsi="Arial" w:cs="Arial"/>
                <w:b/>
                <w:color w:val="FFFFFF" w:themeColor="background1"/>
              </w:rPr>
              <w:t>Clinical planning group</w:t>
            </w:r>
          </w:p>
        </w:tc>
        <w:tc>
          <w:tcPr>
            <w:tcW w:w="7689" w:type="dxa"/>
            <w:gridSpan w:val="2"/>
            <w:shd w:val="clear" w:color="auto" w:fill="4F81BD"/>
          </w:tcPr>
          <w:p w14:paraId="1B740CAB" w14:textId="77777777" w:rsidR="00957E58" w:rsidRPr="0025490F" w:rsidRDefault="00957E58" w:rsidP="00FC2580">
            <w:pPr>
              <w:spacing w:after="0"/>
              <w:rPr>
                <w:rFonts w:ascii="Arial" w:eastAsia="Arial" w:hAnsi="Arial" w:cs="Arial"/>
                <w:b/>
                <w:color w:val="FFFFFF" w:themeColor="background1"/>
              </w:rPr>
            </w:pPr>
            <w:r w:rsidRPr="0025490F">
              <w:rPr>
                <w:rFonts w:ascii="Arial" w:eastAsia="Arial" w:hAnsi="Arial" w:cs="Arial"/>
                <w:b/>
                <w:color w:val="FFFFFF" w:themeColor="background1"/>
              </w:rPr>
              <w:t>Membership</w:t>
            </w:r>
          </w:p>
        </w:tc>
      </w:tr>
      <w:tr w:rsidR="00957E58" w:rsidRPr="00587DF1" w14:paraId="136FC366" w14:textId="77777777" w:rsidTr="00957E58">
        <w:tc>
          <w:tcPr>
            <w:tcW w:w="1951" w:type="dxa"/>
          </w:tcPr>
          <w:p w14:paraId="5AA86C3B" w14:textId="77777777" w:rsidR="00957E58" w:rsidRPr="00587DF1" w:rsidRDefault="00957E58" w:rsidP="00FC2580">
            <w:pPr>
              <w:spacing w:after="0"/>
              <w:rPr>
                <w:rFonts w:ascii="Arial" w:eastAsia="Arial" w:hAnsi="Arial" w:cs="Arial"/>
                <w:bCs/>
                <w:color w:val="000000"/>
              </w:rPr>
            </w:pPr>
            <w:r w:rsidRPr="00587DF1">
              <w:rPr>
                <w:rFonts w:ascii="Arial" w:eastAsia="Arial" w:hAnsi="Arial" w:cs="Arial"/>
                <w:bCs/>
                <w:color w:val="000000"/>
              </w:rPr>
              <w:t>Surgical</w:t>
            </w:r>
          </w:p>
        </w:tc>
        <w:tc>
          <w:tcPr>
            <w:tcW w:w="3844" w:type="dxa"/>
            <w:tcBorders>
              <w:right w:val="single" w:sz="4" w:space="0" w:color="FFFFFF" w:themeColor="background1"/>
            </w:tcBorders>
          </w:tcPr>
          <w:p w14:paraId="0A4CFCDC" w14:textId="77777777" w:rsidR="00957E58" w:rsidRPr="00587DF1" w:rsidRDefault="00957E58" w:rsidP="005E0D57">
            <w:pPr>
              <w:numPr>
                <w:ilvl w:val="0"/>
                <w:numId w:val="41"/>
              </w:numPr>
              <w:tabs>
                <w:tab w:val="clear" w:pos="720"/>
                <w:tab w:val="num" w:pos="371"/>
              </w:tabs>
              <w:spacing w:after="0"/>
              <w:ind w:left="371" w:hanging="371"/>
              <w:rPr>
                <w:rFonts w:ascii="Arial" w:eastAsia="Arial" w:hAnsi="Arial" w:cs="Arial"/>
                <w:bCs/>
                <w:color w:val="000000"/>
              </w:rPr>
            </w:pPr>
            <w:r w:rsidRPr="00587DF1">
              <w:rPr>
                <w:rFonts w:ascii="Arial" w:eastAsia="Arial" w:hAnsi="Arial" w:cs="Arial"/>
                <w:b/>
                <w:bCs/>
                <w:color w:val="000000"/>
              </w:rPr>
              <w:t>Chief Surgeon and Consultant Ophthalmologist (chair)</w:t>
            </w:r>
          </w:p>
          <w:p w14:paraId="468D4D34" w14:textId="77777777" w:rsidR="00957E58" w:rsidRPr="00587DF1" w:rsidRDefault="00957E58" w:rsidP="005E0D57">
            <w:pPr>
              <w:numPr>
                <w:ilvl w:val="0"/>
                <w:numId w:val="41"/>
              </w:numPr>
              <w:tabs>
                <w:tab w:val="clear" w:pos="720"/>
                <w:tab w:val="num" w:pos="371"/>
              </w:tabs>
              <w:spacing w:after="0"/>
              <w:ind w:left="371" w:hanging="371"/>
              <w:rPr>
                <w:rFonts w:ascii="Arial" w:eastAsia="Arial" w:hAnsi="Arial" w:cs="Arial"/>
                <w:bCs/>
                <w:color w:val="000000"/>
              </w:rPr>
            </w:pPr>
            <w:r w:rsidRPr="00587DF1">
              <w:rPr>
                <w:rFonts w:ascii="Arial" w:eastAsia="Arial" w:hAnsi="Arial" w:cs="Arial"/>
                <w:bCs/>
                <w:color w:val="000000"/>
              </w:rPr>
              <w:t>Theatre manager</w:t>
            </w:r>
          </w:p>
          <w:p w14:paraId="086AD2A7" w14:textId="641197A3" w:rsidR="0025699F" w:rsidRPr="0025699F" w:rsidRDefault="00957E58" w:rsidP="005E0D57">
            <w:pPr>
              <w:numPr>
                <w:ilvl w:val="0"/>
                <w:numId w:val="41"/>
              </w:numPr>
              <w:tabs>
                <w:tab w:val="clear" w:pos="720"/>
                <w:tab w:val="num" w:pos="371"/>
              </w:tabs>
              <w:spacing w:after="0"/>
              <w:ind w:left="371" w:hanging="371"/>
              <w:rPr>
                <w:rFonts w:ascii="Arial" w:eastAsia="Arial" w:hAnsi="Arial" w:cs="Arial"/>
                <w:bCs/>
                <w:color w:val="000000"/>
              </w:rPr>
            </w:pPr>
            <w:r w:rsidRPr="00587DF1">
              <w:rPr>
                <w:rFonts w:ascii="Arial" w:eastAsia="Arial" w:hAnsi="Arial" w:cs="Arial"/>
                <w:bCs/>
                <w:color w:val="000000"/>
              </w:rPr>
              <w:t>Ophthalmologists and Ophthalmic Surgeons (x3)</w:t>
            </w:r>
          </w:p>
          <w:p w14:paraId="29BFB825" w14:textId="77777777" w:rsidR="00957E58" w:rsidRPr="00587DF1" w:rsidRDefault="00957E58" w:rsidP="005E0D57">
            <w:pPr>
              <w:numPr>
                <w:ilvl w:val="0"/>
                <w:numId w:val="41"/>
              </w:numPr>
              <w:tabs>
                <w:tab w:val="clear" w:pos="720"/>
                <w:tab w:val="num" w:pos="371"/>
              </w:tabs>
              <w:spacing w:after="0"/>
              <w:ind w:left="371" w:hanging="371"/>
              <w:rPr>
                <w:rFonts w:ascii="Arial" w:eastAsia="Arial" w:hAnsi="Arial" w:cs="Arial"/>
                <w:bCs/>
                <w:color w:val="000000"/>
              </w:rPr>
            </w:pPr>
            <w:r w:rsidRPr="00587DF1">
              <w:rPr>
                <w:rFonts w:ascii="Arial" w:eastAsia="Arial" w:hAnsi="Arial" w:cs="Arial"/>
                <w:bCs/>
                <w:color w:val="000000"/>
              </w:rPr>
              <w:t>Head of Nursing</w:t>
            </w:r>
          </w:p>
        </w:tc>
        <w:tc>
          <w:tcPr>
            <w:tcW w:w="3845" w:type="dxa"/>
            <w:tcBorders>
              <w:left w:val="single" w:sz="4" w:space="0" w:color="FFFFFF" w:themeColor="background1"/>
            </w:tcBorders>
          </w:tcPr>
          <w:p w14:paraId="3B082B99" w14:textId="77777777" w:rsidR="00957E58" w:rsidRPr="00587DF1" w:rsidRDefault="00957E58" w:rsidP="005E0D57">
            <w:pPr>
              <w:numPr>
                <w:ilvl w:val="0"/>
                <w:numId w:val="41"/>
              </w:numPr>
              <w:tabs>
                <w:tab w:val="clear" w:pos="720"/>
                <w:tab w:val="num" w:pos="371"/>
              </w:tabs>
              <w:spacing w:after="0"/>
              <w:ind w:left="371" w:hanging="371"/>
              <w:rPr>
                <w:rFonts w:ascii="Arial" w:eastAsia="Arial" w:hAnsi="Arial" w:cs="Arial"/>
                <w:bCs/>
                <w:color w:val="000000"/>
              </w:rPr>
            </w:pPr>
            <w:r w:rsidRPr="00587DF1">
              <w:rPr>
                <w:rFonts w:ascii="Arial" w:eastAsia="Arial" w:hAnsi="Arial" w:cs="Arial"/>
                <w:bCs/>
                <w:color w:val="000000"/>
              </w:rPr>
              <w:t>Theatres Matron</w:t>
            </w:r>
          </w:p>
          <w:p w14:paraId="437D6359" w14:textId="77777777" w:rsidR="00957E58" w:rsidRPr="00587DF1" w:rsidRDefault="00957E58" w:rsidP="005E0D57">
            <w:pPr>
              <w:numPr>
                <w:ilvl w:val="0"/>
                <w:numId w:val="41"/>
              </w:numPr>
              <w:tabs>
                <w:tab w:val="clear" w:pos="720"/>
                <w:tab w:val="num" w:pos="371"/>
              </w:tabs>
              <w:spacing w:after="0"/>
              <w:ind w:left="371" w:hanging="371"/>
              <w:rPr>
                <w:rFonts w:ascii="Arial" w:eastAsia="Arial" w:hAnsi="Arial" w:cs="Arial"/>
                <w:bCs/>
                <w:color w:val="000000"/>
              </w:rPr>
            </w:pPr>
            <w:r w:rsidRPr="00587DF1">
              <w:rPr>
                <w:rFonts w:ascii="Arial" w:eastAsia="Arial" w:hAnsi="Arial" w:cs="Arial"/>
                <w:bCs/>
                <w:color w:val="000000"/>
              </w:rPr>
              <w:t>Ward Sister (x2)</w:t>
            </w:r>
          </w:p>
          <w:p w14:paraId="3C593436" w14:textId="77777777" w:rsidR="00957E58" w:rsidRPr="00587DF1" w:rsidRDefault="00957E58" w:rsidP="005E0D57">
            <w:pPr>
              <w:numPr>
                <w:ilvl w:val="0"/>
                <w:numId w:val="41"/>
              </w:numPr>
              <w:tabs>
                <w:tab w:val="clear" w:pos="720"/>
                <w:tab w:val="num" w:pos="371"/>
              </w:tabs>
              <w:spacing w:after="0"/>
              <w:ind w:left="371" w:hanging="371"/>
              <w:rPr>
                <w:rFonts w:ascii="Arial" w:eastAsia="Arial" w:hAnsi="Arial" w:cs="Arial"/>
                <w:bCs/>
                <w:color w:val="000000"/>
              </w:rPr>
            </w:pPr>
            <w:r w:rsidRPr="00587DF1">
              <w:rPr>
                <w:rFonts w:ascii="Arial" w:eastAsia="Arial" w:hAnsi="Arial" w:cs="Arial"/>
                <w:bCs/>
                <w:color w:val="000000"/>
              </w:rPr>
              <w:t>Consultant Anaesthetist (x4)</w:t>
            </w:r>
          </w:p>
          <w:p w14:paraId="4534BE27" w14:textId="77777777" w:rsidR="00957E58" w:rsidRPr="00587DF1" w:rsidRDefault="00957E58" w:rsidP="005E0D57">
            <w:pPr>
              <w:numPr>
                <w:ilvl w:val="0"/>
                <w:numId w:val="41"/>
              </w:numPr>
              <w:tabs>
                <w:tab w:val="clear" w:pos="720"/>
                <w:tab w:val="num" w:pos="371"/>
              </w:tabs>
              <w:spacing w:after="0"/>
              <w:ind w:left="371" w:hanging="371"/>
              <w:rPr>
                <w:rFonts w:ascii="Arial" w:eastAsia="Arial" w:hAnsi="Arial" w:cs="Arial"/>
                <w:b/>
                <w:bCs/>
                <w:color w:val="000000"/>
              </w:rPr>
            </w:pPr>
            <w:r w:rsidRPr="00587DF1">
              <w:rPr>
                <w:rFonts w:ascii="Arial" w:eastAsia="Arial" w:hAnsi="Arial" w:cs="Arial"/>
                <w:bCs/>
                <w:color w:val="000000"/>
              </w:rPr>
              <w:t>Clinical Director of Digital Innovation</w:t>
            </w:r>
          </w:p>
        </w:tc>
      </w:tr>
      <w:tr w:rsidR="00957E58" w:rsidRPr="00587DF1" w14:paraId="5A18D2CB" w14:textId="77777777" w:rsidTr="00957E58">
        <w:tc>
          <w:tcPr>
            <w:tcW w:w="1951" w:type="dxa"/>
          </w:tcPr>
          <w:p w14:paraId="41A7E2BE" w14:textId="77777777" w:rsidR="00957E58" w:rsidRPr="00587DF1" w:rsidRDefault="00957E58" w:rsidP="00FC2580">
            <w:pPr>
              <w:spacing w:after="0"/>
              <w:rPr>
                <w:rFonts w:ascii="Arial" w:eastAsia="Arial" w:hAnsi="Arial" w:cs="Arial"/>
                <w:bCs/>
                <w:color w:val="000000"/>
              </w:rPr>
            </w:pPr>
            <w:r w:rsidRPr="00587DF1">
              <w:rPr>
                <w:rFonts w:ascii="Arial" w:eastAsia="Arial" w:hAnsi="Arial" w:cs="Arial"/>
                <w:bCs/>
                <w:color w:val="000000"/>
              </w:rPr>
              <w:t>A&amp;E and Urgent care</w:t>
            </w:r>
          </w:p>
        </w:tc>
        <w:tc>
          <w:tcPr>
            <w:tcW w:w="3844" w:type="dxa"/>
            <w:tcBorders>
              <w:right w:val="single" w:sz="4" w:space="0" w:color="FFFFFF" w:themeColor="background1"/>
            </w:tcBorders>
          </w:tcPr>
          <w:p w14:paraId="60B25FD3" w14:textId="77777777" w:rsidR="00957E58" w:rsidRPr="00587DF1" w:rsidRDefault="00957E58" w:rsidP="005E0D57">
            <w:pPr>
              <w:numPr>
                <w:ilvl w:val="0"/>
                <w:numId w:val="42"/>
              </w:numPr>
              <w:tabs>
                <w:tab w:val="clear" w:pos="720"/>
                <w:tab w:val="num" w:pos="371"/>
              </w:tabs>
              <w:spacing w:after="0"/>
              <w:ind w:left="371" w:hanging="371"/>
              <w:rPr>
                <w:rFonts w:ascii="Arial" w:eastAsia="Arial" w:hAnsi="Arial" w:cs="Arial"/>
                <w:bCs/>
                <w:color w:val="000000"/>
              </w:rPr>
            </w:pPr>
            <w:r w:rsidRPr="00587DF1">
              <w:rPr>
                <w:rFonts w:ascii="Arial" w:eastAsia="Arial" w:hAnsi="Arial" w:cs="Arial"/>
                <w:b/>
                <w:bCs/>
                <w:color w:val="000000"/>
              </w:rPr>
              <w:t>Ophthalmic Specialist and Clinical Service Director  A&amp;E (chair)</w:t>
            </w:r>
          </w:p>
          <w:p w14:paraId="36130276" w14:textId="77777777" w:rsidR="00957E58" w:rsidRPr="00587DF1" w:rsidRDefault="00957E58" w:rsidP="005E0D57">
            <w:pPr>
              <w:numPr>
                <w:ilvl w:val="0"/>
                <w:numId w:val="42"/>
              </w:numPr>
              <w:tabs>
                <w:tab w:val="clear" w:pos="720"/>
                <w:tab w:val="num" w:pos="371"/>
              </w:tabs>
              <w:spacing w:after="0"/>
              <w:ind w:left="371" w:hanging="371"/>
              <w:rPr>
                <w:rFonts w:ascii="Arial" w:eastAsia="Arial" w:hAnsi="Arial" w:cs="Arial"/>
                <w:bCs/>
                <w:color w:val="000000"/>
              </w:rPr>
            </w:pPr>
            <w:r w:rsidRPr="00587DF1">
              <w:rPr>
                <w:rFonts w:ascii="Arial" w:eastAsia="Arial" w:hAnsi="Arial" w:cs="Arial"/>
                <w:bCs/>
                <w:color w:val="000000"/>
              </w:rPr>
              <w:t>Consultant Ophthalmologist (</w:t>
            </w:r>
            <w:r w:rsidR="00F3525B" w:rsidRPr="00587DF1">
              <w:rPr>
                <w:rFonts w:ascii="Arial" w:eastAsia="Arial" w:hAnsi="Arial" w:cs="Arial"/>
                <w:bCs/>
                <w:color w:val="000000"/>
              </w:rPr>
              <w:t>x</w:t>
            </w:r>
            <w:r w:rsidRPr="00587DF1">
              <w:rPr>
                <w:rFonts w:ascii="Arial" w:eastAsia="Arial" w:hAnsi="Arial" w:cs="Arial"/>
                <w:bCs/>
                <w:color w:val="000000"/>
              </w:rPr>
              <w:t>3)</w:t>
            </w:r>
          </w:p>
          <w:p w14:paraId="1252366C" w14:textId="77777777" w:rsidR="00957E58" w:rsidRPr="00587DF1" w:rsidRDefault="00957E58" w:rsidP="005E0D57">
            <w:pPr>
              <w:numPr>
                <w:ilvl w:val="0"/>
                <w:numId w:val="42"/>
              </w:numPr>
              <w:tabs>
                <w:tab w:val="clear" w:pos="720"/>
                <w:tab w:val="num" w:pos="371"/>
              </w:tabs>
              <w:spacing w:after="0"/>
              <w:ind w:left="371" w:hanging="371"/>
              <w:rPr>
                <w:rFonts w:ascii="Arial" w:eastAsia="Arial" w:hAnsi="Arial" w:cs="Arial"/>
                <w:bCs/>
                <w:color w:val="000000"/>
              </w:rPr>
            </w:pPr>
            <w:r w:rsidRPr="00587DF1">
              <w:rPr>
                <w:rFonts w:ascii="Arial" w:eastAsia="Arial" w:hAnsi="Arial" w:cs="Arial"/>
                <w:bCs/>
                <w:color w:val="000000"/>
              </w:rPr>
              <w:t>Senior Resident A&amp;E Service Manager</w:t>
            </w:r>
          </w:p>
        </w:tc>
        <w:tc>
          <w:tcPr>
            <w:tcW w:w="3845" w:type="dxa"/>
            <w:tcBorders>
              <w:left w:val="single" w:sz="4" w:space="0" w:color="FFFFFF" w:themeColor="background1"/>
            </w:tcBorders>
          </w:tcPr>
          <w:p w14:paraId="76FE80A2" w14:textId="77777777" w:rsidR="00957E58" w:rsidRPr="00587DF1" w:rsidRDefault="00957E58" w:rsidP="005E0D57">
            <w:pPr>
              <w:numPr>
                <w:ilvl w:val="0"/>
                <w:numId w:val="42"/>
              </w:numPr>
              <w:tabs>
                <w:tab w:val="clear" w:pos="720"/>
                <w:tab w:val="num" w:pos="371"/>
              </w:tabs>
              <w:spacing w:after="0"/>
              <w:ind w:left="371" w:hanging="371"/>
              <w:rPr>
                <w:rFonts w:ascii="Arial" w:eastAsia="Arial" w:hAnsi="Arial" w:cs="Arial"/>
                <w:bCs/>
                <w:color w:val="000000"/>
              </w:rPr>
            </w:pPr>
            <w:r w:rsidRPr="00587DF1">
              <w:rPr>
                <w:rFonts w:ascii="Arial" w:eastAsia="Arial" w:hAnsi="Arial" w:cs="Arial"/>
                <w:bCs/>
                <w:color w:val="000000"/>
              </w:rPr>
              <w:t>A&amp;E Matron</w:t>
            </w:r>
          </w:p>
          <w:p w14:paraId="1C99B7EC" w14:textId="77777777" w:rsidR="00957E58" w:rsidRPr="00587DF1" w:rsidRDefault="00957E58" w:rsidP="005E0D57">
            <w:pPr>
              <w:numPr>
                <w:ilvl w:val="0"/>
                <w:numId w:val="42"/>
              </w:numPr>
              <w:tabs>
                <w:tab w:val="clear" w:pos="720"/>
                <w:tab w:val="num" w:pos="371"/>
              </w:tabs>
              <w:spacing w:after="0"/>
              <w:ind w:left="371" w:hanging="371"/>
              <w:rPr>
                <w:rFonts w:ascii="Arial" w:eastAsia="Arial" w:hAnsi="Arial" w:cs="Arial"/>
                <w:bCs/>
                <w:color w:val="000000"/>
              </w:rPr>
            </w:pPr>
            <w:r w:rsidRPr="00587DF1">
              <w:rPr>
                <w:rFonts w:ascii="Arial" w:eastAsia="Arial" w:hAnsi="Arial" w:cs="Arial"/>
                <w:bCs/>
                <w:color w:val="000000"/>
              </w:rPr>
              <w:t>Senior Nurse Specialist, A&amp;E</w:t>
            </w:r>
          </w:p>
          <w:p w14:paraId="50318FF5" w14:textId="77777777" w:rsidR="00957E58" w:rsidRPr="00587DF1" w:rsidRDefault="00957E58" w:rsidP="005E0D57">
            <w:pPr>
              <w:numPr>
                <w:ilvl w:val="0"/>
                <w:numId w:val="42"/>
              </w:numPr>
              <w:tabs>
                <w:tab w:val="clear" w:pos="720"/>
                <w:tab w:val="num" w:pos="371"/>
              </w:tabs>
              <w:spacing w:after="0"/>
              <w:ind w:left="371" w:hanging="371"/>
              <w:rPr>
                <w:rFonts w:ascii="Arial" w:eastAsia="Arial" w:hAnsi="Arial" w:cs="Arial"/>
                <w:bCs/>
                <w:color w:val="000000"/>
              </w:rPr>
            </w:pPr>
            <w:r w:rsidRPr="00587DF1">
              <w:rPr>
                <w:rFonts w:ascii="Arial" w:eastAsia="Arial" w:hAnsi="Arial" w:cs="Arial"/>
                <w:bCs/>
                <w:color w:val="000000"/>
              </w:rPr>
              <w:t>Lead Optometrist, Urgent Care</w:t>
            </w:r>
          </w:p>
          <w:p w14:paraId="186C7ED3" w14:textId="77777777" w:rsidR="00957E58" w:rsidRPr="00587DF1" w:rsidRDefault="00957E58" w:rsidP="005E0D57">
            <w:pPr>
              <w:numPr>
                <w:ilvl w:val="0"/>
                <w:numId w:val="42"/>
              </w:numPr>
              <w:tabs>
                <w:tab w:val="clear" w:pos="720"/>
                <w:tab w:val="num" w:pos="371"/>
              </w:tabs>
              <w:spacing w:after="0"/>
              <w:ind w:left="371" w:hanging="371"/>
              <w:rPr>
                <w:rFonts w:ascii="Arial" w:eastAsia="Arial" w:hAnsi="Arial" w:cs="Arial"/>
                <w:b/>
                <w:bCs/>
                <w:color w:val="000000"/>
              </w:rPr>
            </w:pPr>
            <w:r w:rsidRPr="00587DF1">
              <w:rPr>
                <w:rFonts w:ascii="Arial" w:eastAsia="Arial" w:hAnsi="Arial" w:cs="Arial"/>
                <w:bCs/>
                <w:color w:val="000000"/>
              </w:rPr>
              <w:t>Associate Chief Pharmacist</w:t>
            </w:r>
          </w:p>
          <w:p w14:paraId="154A2FCF" w14:textId="77777777" w:rsidR="00957E58" w:rsidRPr="00587DF1" w:rsidRDefault="00957E58" w:rsidP="005E0D57">
            <w:pPr>
              <w:numPr>
                <w:ilvl w:val="0"/>
                <w:numId w:val="42"/>
              </w:numPr>
              <w:tabs>
                <w:tab w:val="clear" w:pos="720"/>
                <w:tab w:val="num" w:pos="371"/>
              </w:tabs>
              <w:spacing w:after="0"/>
              <w:ind w:left="371" w:hanging="371"/>
              <w:rPr>
                <w:rFonts w:ascii="Arial" w:eastAsia="Arial" w:hAnsi="Arial" w:cs="Arial"/>
                <w:bCs/>
                <w:color w:val="000000"/>
              </w:rPr>
            </w:pPr>
            <w:r w:rsidRPr="00587DF1">
              <w:rPr>
                <w:rFonts w:ascii="Arial" w:eastAsia="Arial" w:hAnsi="Arial" w:cs="Arial"/>
                <w:bCs/>
                <w:color w:val="000000"/>
              </w:rPr>
              <w:t>Paediatric Consultant</w:t>
            </w:r>
          </w:p>
        </w:tc>
      </w:tr>
      <w:tr w:rsidR="00957E58" w:rsidRPr="00587DF1" w14:paraId="2DF99E2E" w14:textId="77777777" w:rsidTr="00957E58">
        <w:tc>
          <w:tcPr>
            <w:tcW w:w="1951" w:type="dxa"/>
          </w:tcPr>
          <w:p w14:paraId="055B913D" w14:textId="77777777" w:rsidR="00957E58" w:rsidRPr="00587DF1" w:rsidRDefault="00957E58" w:rsidP="00FC2580">
            <w:pPr>
              <w:spacing w:after="0"/>
              <w:rPr>
                <w:rFonts w:ascii="Arial" w:eastAsia="Arial" w:hAnsi="Arial" w:cs="Arial"/>
                <w:bCs/>
                <w:color w:val="000000"/>
              </w:rPr>
            </w:pPr>
            <w:r w:rsidRPr="00587DF1">
              <w:rPr>
                <w:rFonts w:ascii="Arial" w:eastAsia="Arial" w:hAnsi="Arial" w:cs="Arial"/>
                <w:bCs/>
                <w:color w:val="000000"/>
              </w:rPr>
              <w:t>Children and young people</w:t>
            </w:r>
          </w:p>
        </w:tc>
        <w:tc>
          <w:tcPr>
            <w:tcW w:w="3844" w:type="dxa"/>
            <w:tcBorders>
              <w:right w:val="single" w:sz="4" w:space="0" w:color="FFFFFF" w:themeColor="background1"/>
            </w:tcBorders>
          </w:tcPr>
          <w:p w14:paraId="24DF7C52" w14:textId="77777777" w:rsidR="00957E58" w:rsidRPr="00587DF1" w:rsidRDefault="00957E58" w:rsidP="005E0D57">
            <w:pPr>
              <w:numPr>
                <w:ilvl w:val="0"/>
                <w:numId w:val="43"/>
              </w:numPr>
              <w:tabs>
                <w:tab w:val="clear" w:pos="720"/>
                <w:tab w:val="num" w:pos="371"/>
              </w:tabs>
              <w:spacing w:after="0"/>
              <w:ind w:left="371" w:hanging="371"/>
              <w:rPr>
                <w:rFonts w:ascii="Arial" w:eastAsia="Arial" w:hAnsi="Arial" w:cs="Arial"/>
                <w:bCs/>
                <w:color w:val="000000"/>
              </w:rPr>
            </w:pPr>
            <w:r w:rsidRPr="00587DF1">
              <w:rPr>
                <w:rFonts w:ascii="Arial" w:eastAsia="Arial" w:hAnsi="Arial" w:cs="Arial"/>
                <w:b/>
                <w:bCs/>
                <w:color w:val="000000"/>
              </w:rPr>
              <w:t>Paediatric Clinical Service Director and Ophthalmology Consultant (chair)</w:t>
            </w:r>
          </w:p>
          <w:p w14:paraId="2CB1213E" w14:textId="77777777" w:rsidR="00957E58" w:rsidRPr="00587DF1" w:rsidRDefault="00957E58" w:rsidP="005E0D57">
            <w:pPr>
              <w:numPr>
                <w:ilvl w:val="0"/>
                <w:numId w:val="43"/>
              </w:numPr>
              <w:tabs>
                <w:tab w:val="clear" w:pos="720"/>
                <w:tab w:val="num" w:pos="371"/>
              </w:tabs>
              <w:spacing w:after="0"/>
              <w:ind w:left="371" w:hanging="371"/>
              <w:rPr>
                <w:rFonts w:ascii="Arial" w:eastAsia="Arial" w:hAnsi="Arial" w:cs="Arial"/>
                <w:bCs/>
                <w:color w:val="000000"/>
              </w:rPr>
            </w:pPr>
            <w:r w:rsidRPr="00587DF1">
              <w:rPr>
                <w:rFonts w:ascii="Arial" w:eastAsia="Arial" w:hAnsi="Arial" w:cs="Arial"/>
                <w:bCs/>
                <w:color w:val="000000"/>
              </w:rPr>
              <w:t>Consultant Ophthalmologist (</w:t>
            </w:r>
            <w:r w:rsidR="00F3525B" w:rsidRPr="00587DF1">
              <w:rPr>
                <w:rFonts w:ascii="Arial" w:eastAsia="Arial" w:hAnsi="Arial" w:cs="Arial"/>
                <w:bCs/>
                <w:color w:val="000000"/>
              </w:rPr>
              <w:t>x</w:t>
            </w:r>
            <w:r w:rsidRPr="00587DF1">
              <w:rPr>
                <w:rFonts w:ascii="Arial" w:eastAsia="Arial" w:hAnsi="Arial" w:cs="Arial"/>
                <w:bCs/>
                <w:color w:val="000000"/>
              </w:rPr>
              <w:t>5)</w:t>
            </w:r>
          </w:p>
          <w:p w14:paraId="22551DFE" w14:textId="77777777" w:rsidR="00957E58" w:rsidRPr="00587DF1" w:rsidRDefault="00957E58" w:rsidP="005E0D57">
            <w:pPr>
              <w:numPr>
                <w:ilvl w:val="0"/>
                <w:numId w:val="43"/>
              </w:numPr>
              <w:tabs>
                <w:tab w:val="clear" w:pos="720"/>
                <w:tab w:val="num" w:pos="371"/>
              </w:tabs>
              <w:spacing w:after="0"/>
              <w:ind w:left="371" w:hanging="371"/>
              <w:rPr>
                <w:rFonts w:ascii="Arial" w:eastAsia="Arial" w:hAnsi="Arial" w:cs="Arial"/>
                <w:bCs/>
                <w:color w:val="000000"/>
              </w:rPr>
            </w:pPr>
            <w:r w:rsidRPr="00587DF1">
              <w:rPr>
                <w:rFonts w:ascii="Arial" w:eastAsia="Arial" w:hAnsi="Arial" w:cs="Arial"/>
                <w:bCs/>
                <w:color w:val="000000"/>
              </w:rPr>
              <w:t>Consultant Paediatrician (x2)</w:t>
            </w:r>
          </w:p>
          <w:p w14:paraId="366C6447" w14:textId="77777777" w:rsidR="00957E58" w:rsidRPr="00587DF1" w:rsidRDefault="00957E58" w:rsidP="005E0D57">
            <w:pPr>
              <w:numPr>
                <w:ilvl w:val="0"/>
                <w:numId w:val="43"/>
              </w:numPr>
              <w:tabs>
                <w:tab w:val="clear" w:pos="720"/>
                <w:tab w:val="num" w:pos="371"/>
              </w:tabs>
              <w:spacing w:after="0"/>
              <w:ind w:left="371" w:hanging="371"/>
              <w:rPr>
                <w:rFonts w:ascii="Arial" w:eastAsia="Arial" w:hAnsi="Arial" w:cs="Arial"/>
                <w:bCs/>
                <w:color w:val="000000"/>
              </w:rPr>
            </w:pPr>
            <w:r w:rsidRPr="00587DF1">
              <w:rPr>
                <w:rFonts w:ascii="Arial" w:eastAsia="Arial" w:hAnsi="Arial" w:cs="Arial"/>
                <w:bCs/>
                <w:color w:val="000000"/>
              </w:rPr>
              <w:t>Consultant Anaesthetist</w:t>
            </w:r>
          </w:p>
          <w:p w14:paraId="774FCACF" w14:textId="77777777" w:rsidR="00957E58" w:rsidRPr="00587DF1" w:rsidRDefault="00957E58" w:rsidP="005E0D57">
            <w:pPr>
              <w:numPr>
                <w:ilvl w:val="0"/>
                <w:numId w:val="43"/>
              </w:numPr>
              <w:tabs>
                <w:tab w:val="clear" w:pos="720"/>
                <w:tab w:val="num" w:pos="371"/>
              </w:tabs>
              <w:spacing w:after="0"/>
              <w:ind w:left="371" w:hanging="371"/>
              <w:rPr>
                <w:rFonts w:ascii="Arial" w:eastAsia="Arial" w:hAnsi="Arial" w:cs="Arial"/>
                <w:bCs/>
                <w:color w:val="000000"/>
              </w:rPr>
            </w:pPr>
            <w:r w:rsidRPr="00587DF1">
              <w:rPr>
                <w:rFonts w:ascii="Arial" w:eastAsia="Arial" w:hAnsi="Arial" w:cs="Arial"/>
                <w:bCs/>
                <w:color w:val="000000"/>
              </w:rPr>
              <w:t>Paediatric Matron</w:t>
            </w:r>
          </w:p>
          <w:p w14:paraId="4B24714B" w14:textId="77777777" w:rsidR="00957E58" w:rsidRPr="00587DF1" w:rsidRDefault="00957E58" w:rsidP="005E0D57">
            <w:pPr>
              <w:numPr>
                <w:ilvl w:val="0"/>
                <w:numId w:val="43"/>
              </w:numPr>
              <w:tabs>
                <w:tab w:val="clear" w:pos="720"/>
                <w:tab w:val="num" w:pos="371"/>
              </w:tabs>
              <w:spacing w:after="0"/>
              <w:ind w:left="371" w:hanging="371"/>
              <w:rPr>
                <w:rFonts w:ascii="Arial" w:eastAsia="Arial" w:hAnsi="Arial" w:cs="Arial"/>
                <w:bCs/>
                <w:color w:val="000000"/>
              </w:rPr>
            </w:pPr>
            <w:r w:rsidRPr="00587DF1">
              <w:rPr>
                <w:rFonts w:ascii="Arial" w:eastAsia="Arial" w:hAnsi="Arial" w:cs="Arial"/>
                <w:bCs/>
                <w:color w:val="000000"/>
              </w:rPr>
              <w:t>Paediatric Sister</w:t>
            </w:r>
          </w:p>
        </w:tc>
        <w:tc>
          <w:tcPr>
            <w:tcW w:w="3845" w:type="dxa"/>
            <w:tcBorders>
              <w:left w:val="single" w:sz="4" w:space="0" w:color="FFFFFF" w:themeColor="background1"/>
            </w:tcBorders>
          </w:tcPr>
          <w:p w14:paraId="501B1B18" w14:textId="77777777" w:rsidR="00957E58" w:rsidRPr="00587DF1" w:rsidRDefault="00957E58" w:rsidP="005E0D57">
            <w:pPr>
              <w:numPr>
                <w:ilvl w:val="0"/>
                <w:numId w:val="43"/>
              </w:numPr>
              <w:tabs>
                <w:tab w:val="clear" w:pos="720"/>
                <w:tab w:val="num" w:pos="371"/>
              </w:tabs>
              <w:spacing w:after="0"/>
              <w:ind w:left="371" w:hanging="371"/>
              <w:rPr>
                <w:rFonts w:ascii="Arial" w:eastAsia="Arial" w:hAnsi="Arial" w:cs="Arial"/>
                <w:bCs/>
                <w:color w:val="000000"/>
              </w:rPr>
            </w:pPr>
            <w:r w:rsidRPr="00587DF1">
              <w:rPr>
                <w:rFonts w:ascii="Arial" w:eastAsia="Arial" w:hAnsi="Arial" w:cs="Arial"/>
                <w:bCs/>
                <w:color w:val="000000"/>
              </w:rPr>
              <w:t>Head of Optometry</w:t>
            </w:r>
          </w:p>
          <w:p w14:paraId="3AEB412F" w14:textId="77777777" w:rsidR="00957E58" w:rsidRPr="00587DF1" w:rsidRDefault="00957E58" w:rsidP="005E0D57">
            <w:pPr>
              <w:numPr>
                <w:ilvl w:val="0"/>
                <w:numId w:val="43"/>
              </w:numPr>
              <w:tabs>
                <w:tab w:val="clear" w:pos="720"/>
                <w:tab w:val="num" w:pos="371"/>
              </w:tabs>
              <w:spacing w:after="0"/>
              <w:ind w:left="371" w:hanging="371"/>
              <w:rPr>
                <w:rFonts w:ascii="Arial" w:eastAsia="Arial" w:hAnsi="Arial" w:cs="Arial"/>
                <w:bCs/>
                <w:color w:val="000000"/>
              </w:rPr>
            </w:pPr>
            <w:r w:rsidRPr="00587DF1">
              <w:rPr>
                <w:rFonts w:ascii="Arial" w:eastAsia="Arial" w:hAnsi="Arial" w:cs="Arial"/>
                <w:bCs/>
                <w:color w:val="000000"/>
              </w:rPr>
              <w:t>Specialist Optometrist</w:t>
            </w:r>
          </w:p>
          <w:p w14:paraId="6E307D44" w14:textId="77777777" w:rsidR="00957E58" w:rsidRPr="00587DF1" w:rsidRDefault="00957E58" w:rsidP="005E0D57">
            <w:pPr>
              <w:numPr>
                <w:ilvl w:val="0"/>
                <w:numId w:val="43"/>
              </w:numPr>
              <w:tabs>
                <w:tab w:val="clear" w:pos="720"/>
                <w:tab w:val="num" w:pos="371"/>
              </w:tabs>
              <w:spacing w:after="0"/>
              <w:ind w:left="371" w:hanging="371"/>
              <w:rPr>
                <w:rFonts w:ascii="Arial" w:eastAsia="Arial" w:hAnsi="Arial" w:cs="Arial"/>
                <w:bCs/>
                <w:color w:val="000000"/>
              </w:rPr>
            </w:pPr>
            <w:r w:rsidRPr="00587DF1">
              <w:rPr>
                <w:rFonts w:ascii="Arial" w:eastAsia="Arial" w:hAnsi="Arial" w:cs="Arial"/>
                <w:bCs/>
                <w:color w:val="000000"/>
              </w:rPr>
              <w:t>Head Orthoptist</w:t>
            </w:r>
          </w:p>
          <w:p w14:paraId="554287B2" w14:textId="77777777" w:rsidR="00957E58" w:rsidRPr="00587DF1" w:rsidRDefault="00957E58" w:rsidP="005E0D57">
            <w:pPr>
              <w:numPr>
                <w:ilvl w:val="0"/>
                <w:numId w:val="43"/>
              </w:numPr>
              <w:tabs>
                <w:tab w:val="clear" w:pos="720"/>
                <w:tab w:val="num" w:pos="371"/>
              </w:tabs>
              <w:spacing w:after="0"/>
              <w:ind w:left="371" w:hanging="371"/>
              <w:rPr>
                <w:rFonts w:ascii="Arial" w:eastAsia="Arial" w:hAnsi="Arial" w:cs="Arial"/>
                <w:bCs/>
                <w:color w:val="000000"/>
              </w:rPr>
            </w:pPr>
            <w:r w:rsidRPr="00587DF1">
              <w:rPr>
                <w:rFonts w:ascii="Arial" w:eastAsia="Arial" w:hAnsi="Arial" w:cs="Arial"/>
                <w:bCs/>
                <w:color w:val="000000"/>
              </w:rPr>
              <w:t>Medical Photographer</w:t>
            </w:r>
          </w:p>
          <w:p w14:paraId="745CAA60" w14:textId="77777777" w:rsidR="00957E58" w:rsidRPr="00587DF1" w:rsidRDefault="00957E58" w:rsidP="005E0D57">
            <w:pPr>
              <w:numPr>
                <w:ilvl w:val="0"/>
                <w:numId w:val="43"/>
              </w:numPr>
              <w:tabs>
                <w:tab w:val="clear" w:pos="720"/>
                <w:tab w:val="num" w:pos="371"/>
              </w:tabs>
              <w:spacing w:after="0"/>
              <w:ind w:left="371" w:hanging="371"/>
              <w:rPr>
                <w:rFonts w:ascii="Arial" w:eastAsia="Arial" w:hAnsi="Arial" w:cs="Arial"/>
                <w:bCs/>
                <w:color w:val="000000"/>
              </w:rPr>
            </w:pPr>
            <w:r w:rsidRPr="00587DF1">
              <w:rPr>
                <w:rFonts w:ascii="Arial" w:eastAsia="Arial" w:hAnsi="Arial" w:cs="Arial"/>
                <w:bCs/>
                <w:color w:val="000000"/>
              </w:rPr>
              <w:t>Associate Chief Pharmacist (x2)</w:t>
            </w:r>
          </w:p>
          <w:p w14:paraId="2201289A" w14:textId="77777777" w:rsidR="00957E58" w:rsidRPr="00587DF1" w:rsidRDefault="00957E58" w:rsidP="005E0D57">
            <w:pPr>
              <w:numPr>
                <w:ilvl w:val="0"/>
                <w:numId w:val="43"/>
              </w:numPr>
              <w:tabs>
                <w:tab w:val="clear" w:pos="720"/>
                <w:tab w:val="num" w:pos="371"/>
              </w:tabs>
              <w:spacing w:after="0"/>
              <w:ind w:left="371" w:hanging="371"/>
              <w:rPr>
                <w:rFonts w:ascii="Arial" w:eastAsia="Arial" w:hAnsi="Arial" w:cs="Arial"/>
                <w:bCs/>
                <w:color w:val="000000"/>
              </w:rPr>
            </w:pPr>
            <w:r w:rsidRPr="00587DF1">
              <w:rPr>
                <w:rFonts w:ascii="Arial" w:eastAsia="Arial" w:hAnsi="Arial" w:cs="Arial"/>
                <w:bCs/>
                <w:color w:val="000000"/>
              </w:rPr>
              <w:t>Family Support Specialist</w:t>
            </w:r>
          </w:p>
          <w:p w14:paraId="217F5C03" w14:textId="77777777" w:rsidR="00957E58" w:rsidRPr="00587DF1" w:rsidRDefault="00957E58" w:rsidP="005E0D57">
            <w:pPr>
              <w:numPr>
                <w:ilvl w:val="0"/>
                <w:numId w:val="43"/>
              </w:numPr>
              <w:tabs>
                <w:tab w:val="clear" w:pos="720"/>
                <w:tab w:val="num" w:pos="371"/>
              </w:tabs>
              <w:spacing w:after="0"/>
              <w:ind w:left="371" w:hanging="371"/>
              <w:rPr>
                <w:rFonts w:ascii="Arial" w:eastAsia="Arial" w:hAnsi="Arial" w:cs="Arial"/>
                <w:b/>
                <w:bCs/>
                <w:color w:val="000000"/>
              </w:rPr>
            </w:pPr>
            <w:r w:rsidRPr="00587DF1">
              <w:rPr>
                <w:rFonts w:ascii="Arial" w:eastAsia="Arial" w:hAnsi="Arial" w:cs="Arial"/>
                <w:bCs/>
                <w:color w:val="000000"/>
              </w:rPr>
              <w:t>Assistant Divisional Manager</w:t>
            </w:r>
          </w:p>
        </w:tc>
      </w:tr>
      <w:tr w:rsidR="00957E58" w:rsidRPr="00587DF1" w14:paraId="34F0E674" w14:textId="77777777" w:rsidTr="00957E58">
        <w:tc>
          <w:tcPr>
            <w:tcW w:w="1951" w:type="dxa"/>
          </w:tcPr>
          <w:p w14:paraId="5C36224D" w14:textId="77777777" w:rsidR="00957E58" w:rsidRPr="00587DF1" w:rsidRDefault="00957E58" w:rsidP="00FC2580">
            <w:pPr>
              <w:spacing w:after="0"/>
              <w:rPr>
                <w:rFonts w:ascii="Arial" w:eastAsia="Arial" w:hAnsi="Arial" w:cs="Arial"/>
                <w:bCs/>
                <w:color w:val="000000"/>
              </w:rPr>
            </w:pPr>
            <w:r w:rsidRPr="00587DF1">
              <w:rPr>
                <w:rFonts w:ascii="Arial" w:eastAsia="Arial" w:hAnsi="Arial" w:cs="Arial"/>
                <w:bCs/>
                <w:color w:val="000000"/>
              </w:rPr>
              <w:t>Outpatients, applied research and clinical support services</w:t>
            </w:r>
          </w:p>
        </w:tc>
        <w:tc>
          <w:tcPr>
            <w:tcW w:w="3844" w:type="dxa"/>
            <w:tcBorders>
              <w:right w:val="single" w:sz="4" w:space="0" w:color="FFFFFF" w:themeColor="background1"/>
            </w:tcBorders>
          </w:tcPr>
          <w:p w14:paraId="23CECAC7" w14:textId="77777777" w:rsidR="00957E58" w:rsidRPr="00587DF1" w:rsidRDefault="00957E58" w:rsidP="005E0D57">
            <w:pPr>
              <w:numPr>
                <w:ilvl w:val="0"/>
                <w:numId w:val="44"/>
              </w:numPr>
              <w:tabs>
                <w:tab w:val="clear" w:pos="720"/>
                <w:tab w:val="num" w:pos="371"/>
              </w:tabs>
              <w:spacing w:after="0"/>
              <w:ind w:left="371" w:hanging="371"/>
              <w:rPr>
                <w:rFonts w:ascii="Arial" w:eastAsia="Arial" w:hAnsi="Arial" w:cs="Arial"/>
                <w:b/>
                <w:bCs/>
                <w:color w:val="000000"/>
              </w:rPr>
            </w:pPr>
            <w:r w:rsidRPr="00587DF1">
              <w:rPr>
                <w:rFonts w:ascii="Arial" w:eastAsia="Arial" w:hAnsi="Arial" w:cs="Arial"/>
                <w:b/>
                <w:bCs/>
                <w:color w:val="000000"/>
              </w:rPr>
              <w:t>Consultant Ophthalmologist (co-chair)</w:t>
            </w:r>
          </w:p>
          <w:p w14:paraId="4F45EFDC" w14:textId="77777777" w:rsidR="00957E58" w:rsidRPr="00587DF1" w:rsidRDefault="00957E58" w:rsidP="005E0D57">
            <w:pPr>
              <w:numPr>
                <w:ilvl w:val="0"/>
                <w:numId w:val="44"/>
              </w:numPr>
              <w:tabs>
                <w:tab w:val="clear" w:pos="720"/>
                <w:tab w:val="num" w:pos="371"/>
              </w:tabs>
              <w:spacing w:after="0"/>
              <w:ind w:left="371" w:hanging="371"/>
              <w:rPr>
                <w:rFonts w:ascii="Arial" w:eastAsia="Arial" w:hAnsi="Arial" w:cs="Arial"/>
                <w:b/>
                <w:bCs/>
                <w:color w:val="000000"/>
              </w:rPr>
            </w:pPr>
            <w:r w:rsidRPr="00587DF1">
              <w:rPr>
                <w:rFonts w:ascii="Arial" w:eastAsia="Arial" w:hAnsi="Arial" w:cs="Arial"/>
                <w:b/>
                <w:bCs/>
                <w:color w:val="000000"/>
              </w:rPr>
              <w:t>Clinical Director of Support Services (co-chair)</w:t>
            </w:r>
          </w:p>
          <w:p w14:paraId="490FB445" w14:textId="77777777" w:rsidR="00957E58" w:rsidRPr="00587DF1" w:rsidRDefault="00957E58" w:rsidP="005E0D57">
            <w:pPr>
              <w:numPr>
                <w:ilvl w:val="0"/>
                <w:numId w:val="44"/>
              </w:numPr>
              <w:tabs>
                <w:tab w:val="clear" w:pos="720"/>
                <w:tab w:val="num" w:pos="371"/>
              </w:tabs>
              <w:spacing w:after="0"/>
              <w:ind w:left="371" w:hanging="371"/>
              <w:rPr>
                <w:rFonts w:ascii="Arial" w:eastAsia="Arial" w:hAnsi="Arial" w:cs="Arial"/>
                <w:color w:val="000000"/>
              </w:rPr>
            </w:pPr>
            <w:r w:rsidRPr="00587DF1">
              <w:rPr>
                <w:rFonts w:ascii="Arial" w:eastAsia="Arial" w:hAnsi="Arial" w:cs="Arial"/>
                <w:color w:val="000000"/>
              </w:rPr>
              <w:t>Consultant Ophthalmologist (x12)</w:t>
            </w:r>
          </w:p>
          <w:p w14:paraId="7A83A3BD" w14:textId="77777777" w:rsidR="00957E58" w:rsidRPr="00587DF1" w:rsidRDefault="00957E58" w:rsidP="005E0D57">
            <w:pPr>
              <w:numPr>
                <w:ilvl w:val="0"/>
                <w:numId w:val="44"/>
              </w:numPr>
              <w:tabs>
                <w:tab w:val="clear" w:pos="720"/>
                <w:tab w:val="num" w:pos="371"/>
              </w:tabs>
              <w:spacing w:after="0"/>
              <w:ind w:left="371" w:hanging="371"/>
              <w:rPr>
                <w:rFonts w:ascii="Arial" w:eastAsia="Arial" w:hAnsi="Arial" w:cs="Arial"/>
                <w:color w:val="000000"/>
              </w:rPr>
            </w:pPr>
            <w:r w:rsidRPr="00587DF1">
              <w:rPr>
                <w:rFonts w:ascii="Arial" w:eastAsia="Arial" w:hAnsi="Arial" w:cs="Arial"/>
                <w:color w:val="000000"/>
              </w:rPr>
              <w:t>Nurse Consultant</w:t>
            </w:r>
          </w:p>
        </w:tc>
        <w:tc>
          <w:tcPr>
            <w:tcW w:w="3845" w:type="dxa"/>
            <w:tcBorders>
              <w:left w:val="single" w:sz="4" w:space="0" w:color="FFFFFF" w:themeColor="background1"/>
            </w:tcBorders>
          </w:tcPr>
          <w:p w14:paraId="272D8059" w14:textId="77777777" w:rsidR="00957E58" w:rsidRPr="00587DF1" w:rsidRDefault="00957E58" w:rsidP="005E0D57">
            <w:pPr>
              <w:numPr>
                <w:ilvl w:val="0"/>
                <w:numId w:val="44"/>
              </w:numPr>
              <w:tabs>
                <w:tab w:val="clear" w:pos="720"/>
                <w:tab w:val="num" w:pos="371"/>
              </w:tabs>
              <w:spacing w:after="0"/>
              <w:ind w:left="371" w:hanging="371"/>
              <w:rPr>
                <w:rFonts w:ascii="Arial" w:eastAsia="Arial" w:hAnsi="Arial" w:cs="Arial"/>
                <w:color w:val="000000"/>
              </w:rPr>
            </w:pPr>
            <w:r w:rsidRPr="00587DF1">
              <w:rPr>
                <w:rFonts w:ascii="Arial" w:eastAsia="Arial" w:hAnsi="Arial" w:cs="Arial"/>
                <w:color w:val="000000"/>
              </w:rPr>
              <w:t xml:space="preserve">Chief Ocular </w:t>
            </w:r>
            <w:r w:rsidR="00F3525B" w:rsidRPr="00587DF1">
              <w:rPr>
                <w:rFonts w:ascii="Arial" w:eastAsia="Arial" w:hAnsi="Arial" w:cs="Arial"/>
                <w:color w:val="000000"/>
              </w:rPr>
              <w:t>Prosthetist</w:t>
            </w:r>
          </w:p>
          <w:p w14:paraId="17A1A562" w14:textId="77777777" w:rsidR="00957E58" w:rsidRPr="00587DF1" w:rsidRDefault="00957E58" w:rsidP="005E0D57">
            <w:pPr>
              <w:numPr>
                <w:ilvl w:val="0"/>
                <w:numId w:val="44"/>
              </w:numPr>
              <w:tabs>
                <w:tab w:val="clear" w:pos="720"/>
                <w:tab w:val="num" w:pos="371"/>
              </w:tabs>
              <w:spacing w:after="0"/>
              <w:ind w:left="371" w:hanging="371"/>
              <w:rPr>
                <w:rFonts w:ascii="Arial" w:eastAsia="Arial" w:hAnsi="Arial" w:cs="Arial"/>
                <w:color w:val="000000"/>
              </w:rPr>
            </w:pPr>
            <w:r w:rsidRPr="00587DF1">
              <w:rPr>
                <w:rFonts w:ascii="Arial" w:eastAsia="Arial" w:hAnsi="Arial" w:cs="Arial"/>
                <w:color w:val="000000"/>
              </w:rPr>
              <w:t>Outpatients Matron</w:t>
            </w:r>
          </w:p>
          <w:p w14:paraId="2F526C48" w14:textId="77777777" w:rsidR="00957E58" w:rsidRPr="00587DF1" w:rsidRDefault="00957E58" w:rsidP="005E0D57">
            <w:pPr>
              <w:numPr>
                <w:ilvl w:val="0"/>
                <w:numId w:val="44"/>
              </w:numPr>
              <w:tabs>
                <w:tab w:val="clear" w:pos="720"/>
                <w:tab w:val="num" w:pos="371"/>
              </w:tabs>
              <w:spacing w:after="0"/>
              <w:ind w:left="371" w:hanging="371"/>
              <w:rPr>
                <w:rFonts w:ascii="Arial" w:eastAsia="Arial" w:hAnsi="Arial" w:cs="Arial"/>
                <w:color w:val="000000"/>
              </w:rPr>
            </w:pPr>
            <w:r w:rsidRPr="00587DF1">
              <w:rPr>
                <w:rFonts w:ascii="Arial" w:eastAsia="Arial" w:hAnsi="Arial" w:cs="Arial"/>
                <w:color w:val="000000"/>
              </w:rPr>
              <w:t>Head of Optometry</w:t>
            </w:r>
          </w:p>
          <w:p w14:paraId="0810CB2B" w14:textId="77777777" w:rsidR="00957E58" w:rsidRPr="00587DF1" w:rsidRDefault="00957E58" w:rsidP="005E0D57">
            <w:pPr>
              <w:numPr>
                <w:ilvl w:val="0"/>
                <w:numId w:val="44"/>
              </w:numPr>
              <w:tabs>
                <w:tab w:val="clear" w:pos="720"/>
                <w:tab w:val="num" w:pos="371"/>
              </w:tabs>
              <w:spacing w:after="0"/>
              <w:ind w:left="371" w:hanging="371"/>
              <w:rPr>
                <w:rFonts w:ascii="Arial" w:eastAsia="Arial" w:hAnsi="Arial" w:cs="Arial"/>
                <w:color w:val="000000"/>
              </w:rPr>
            </w:pPr>
            <w:r w:rsidRPr="00587DF1">
              <w:rPr>
                <w:rFonts w:ascii="Arial" w:eastAsia="Arial" w:hAnsi="Arial" w:cs="Arial"/>
                <w:color w:val="000000"/>
              </w:rPr>
              <w:t>Head Orthoptist</w:t>
            </w:r>
          </w:p>
          <w:p w14:paraId="074EEF44" w14:textId="77777777" w:rsidR="00957E58" w:rsidRPr="00587DF1" w:rsidRDefault="00957E58" w:rsidP="005E0D57">
            <w:pPr>
              <w:numPr>
                <w:ilvl w:val="0"/>
                <w:numId w:val="44"/>
              </w:numPr>
              <w:tabs>
                <w:tab w:val="clear" w:pos="720"/>
                <w:tab w:val="num" w:pos="371"/>
              </w:tabs>
              <w:spacing w:after="0"/>
              <w:ind w:left="371" w:hanging="371"/>
              <w:rPr>
                <w:rFonts w:ascii="Arial" w:eastAsia="Arial" w:hAnsi="Arial" w:cs="Arial"/>
                <w:color w:val="000000"/>
              </w:rPr>
            </w:pPr>
            <w:r w:rsidRPr="00587DF1">
              <w:rPr>
                <w:rFonts w:ascii="Arial" w:eastAsia="Arial" w:hAnsi="Arial" w:cs="Arial"/>
                <w:color w:val="000000"/>
              </w:rPr>
              <w:t>Chief Pharmacist</w:t>
            </w:r>
          </w:p>
          <w:p w14:paraId="7A3DB17B" w14:textId="77777777" w:rsidR="00957E58" w:rsidRPr="00587DF1" w:rsidRDefault="00957E58" w:rsidP="005E0D57">
            <w:pPr>
              <w:numPr>
                <w:ilvl w:val="0"/>
                <w:numId w:val="44"/>
              </w:numPr>
              <w:tabs>
                <w:tab w:val="clear" w:pos="720"/>
                <w:tab w:val="num" w:pos="371"/>
              </w:tabs>
              <w:spacing w:after="0"/>
              <w:ind w:left="371" w:hanging="371"/>
              <w:rPr>
                <w:rFonts w:ascii="Arial" w:eastAsia="Arial" w:hAnsi="Arial" w:cs="Arial"/>
                <w:color w:val="000000"/>
              </w:rPr>
            </w:pPr>
            <w:r w:rsidRPr="00587DF1">
              <w:rPr>
                <w:rFonts w:ascii="Arial" w:eastAsia="Arial" w:hAnsi="Arial" w:cs="Arial"/>
                <w:color w:val="000000"/>
              </w:rPr>
              <w:t>Sister (Nursing)</w:t>
            </w:r>
          </w:p>
          <w:p w14:paraId="2BCEBB37" w14:textId="77777777" w:rsidR="00957E58" w:rsidRPr="00587DF1" w:rsidRDefault="00957E58" w:rsidP="005E0D57">
            <w:pPr>
              <w:numPr>
                <w:ilvl w:val="0"/>
                <w:numId w:val="44"/>
              </w:numPr>
              <w:tabs>
                <w:tab w:val="clear" w:pos="720"/>
                <w:tab w:val="num" w:pos="371"/>
              </w:tabs>
              <w:spacing w:after="0"/>
              <w:ind w:left="371" w:hanging="371"/>
              <w:rPr>
                <w:rFonts w:ascii="Arial" w:eastAsia="Arial" w:hAnsi="Arial" w:cs="Arial"/>
                <w:b/>
                <w:bCs/>
                <w:color w:val="000000"/>
              </w:rPr>
            </w:pPr>
            <w:r w:rsidRPr="00587DF1">
              <w:rPr>
                <w:rFonts w:ascii="Arial" w:eastAsia="Arial" w:hAnsi="Arial" w:cs="Arial"/>
                <w:color w:val="000000"/>
              </w:rPr>
              <w:t>Advanced Nurse Practitioner</w:t>
            </w:r>
          </w:p>
        </w:tc>
      </w:tr>
      <w:tr w:rsidR="00957E58" w:rsidRPr="00587DF1" w14:paraId="735CBBD9" w14:textId="77777777" w:rsidTr="00957E58">
        <w:tc>
          <w:tcPr>
            <w:tcW w:w="1951" w:type="dxa"/>
          </w:tcPr>
          <w:p w14:paraId="18C5AFD5" w14:textId="77777777" w:rsidR="00957E58" w:rsidRPr="00587DF1" w:rsidRDefault="00957E58" w:rsidP="00FC2580">
            <w:pPr>
              <w:spacing w:after="0"/>
              <w:rPr>
                <w:rFonts w:ascii="Arial" w:eastAsia="Arial" w:hAnsi="Arial" w:cs="Arial"/>
                <w:bCs/>
                <w:color w:val="000000"/>
              </w:rPr>
            </w:pPr>
            <w:r w:rsidRPr="00587DF1">
              <w:rPr>
                <w:rFonts w:ascii="Arial" w:eastAsia="Arial" w:hAnsi="Arial" w:cs="Arial"/>
                <w:bCs/>
                <w:color w:val="000000"/>
              </w:rPr>
              <w:t>Centralised and shared clinical support services</w:t>
            </w:r>
          </w:p>
        </w:tc>
        <w:tc>
          <w:tcPr>
            <w:tcW w:w="3844" w:type="dxa"/>
            <w:tcBorders>
              <w:right w:val="single" w:sz="4" w:space="0" w:color="FFFFFF" w:themeColor="background1"/>
            </w:tcBorders>
          </w:tcPr>
          <w:p w14:paraId="72F740FD" w14:textId="77777777" w:rsidR="00957E58" w:rsidRPr="00587DF1" w:rsidRDefault="00957E58" w:rsidP="005E0D57">
            <w:pPr>
              <w:numPr>
                <w:ilvl w:val="0"/>
                <w:numId w:val="45"/>
              </w:numPr>
              <w:tabs>
                <w:tab w:val="clear" w:pos="720"/>
                <w:tab w:val="num" w:pos="371"/>
              </w:tabs>
              <w:spacing w:after="0"/>
              <w:ind w:left="371" w:hanging="371"/>
              <w:rPr>
                <w:rFonts w:ascii="Arial" w:eastAsia="Arial" w:hAnsi="Arial" w:cs="Arial"/>
                <w:bCs/>
                <w:color w:val="000000"/>
              </w:rPr>
            </w:pPr>
            <w:r w:rsidRPr="00587DF1">
              <w:rPr>
                <w:rFonts w:ascii="Arial" w:eastAsia="Arial" w:hAnsi="Arial" w:cs="Arial"/>
                <w:b/>
                <w:bCs/>
                <w:color w:val="000000"/>
              </w:rPr>
              <w:t>Clinical Director of Support Services (chair)</w:t>
            </w:r>
          </w:p>
          <w:p w14:paraId="1285161C" w14:textId="77777777" w:rsidR="00957E58" w:rsidRPr="00587DF1" w:rsidRDefault="00957E58" w:rsidP="005E0D57">
            <w:pPr>
              <w:numPr>
                <w:ilvl w:val="0"/>
                <w:numId w:val="45"/>
              </w:numPr>
              <w:tabs>
                <w:tab w:val="clear" w:pos="720"/>
                <w:tab w:val="num" w:pos="371"/>
              </w:tabs>
              <w:spacing w:after="0"/>
              <w:ind w:left="371" w:hanging="371"/>
              <w:rPr>
                <w:rFonts w:ascii="Arial" w:eastAsia="Arial" w:hAnsi="Arial" w:cs="Arial"/>
                <w:bCs/>
                <w:color w:val="000000"/>
              </w:rPr>
            </w:pPr>
            <w:r w:rsidRPr="00587DF1">
              <w:rPr>
                <w:rFonts w:ascii="Arial" w:eastAsia="Arial" w:hAnsi="Arial" w:cs="Arial"/>
                <w:bCs/>
                <w:color w:val="000000"/>
              </w:rPr>
              <w:t>Head of Life Sciences</w:t>
            </w:r>
          </w:p>
        </w:tc>
        <w:tc>
          <w:tcPr>
            <w:tcW w:w="3845" w:type="dxa"/>
            <w:tcBorders>
              <w:left w:val="single" w:sz="4" w:space="0" w:color="FFFFFF" w:themeColor="background1"/>
            </w:tcBorders>
          </w:tcPr>
          <w:p w14:paraId="16ADEEBD" w14:textId="77777777" w:rsidR="00957E58" w:rsidRPr="00587DF1" w:rsidRDefault="00957E58" w:rsidP="005E0D57">
            <w:pPr>
              <w:numPr>
                <w:ilvl w:val="0"/>
                <w:numId w:val="45"/>
              </w:numPr>
              <w:tabs>
                <w:tab w:val="clear" w:pos="720"/>
                <w:tab w:val="num" w:pos="371"/>
              </w:tabs>
              <w:spacing w:after="0"/>
              <w:ind w:left="371" w:hanging="371"/>
              <w:rPr>
                <w:rFonts w:ascii="Arial" w:eastAsia="Arial" w:hAnsi="Arial" w:cs="Arial"/>
                <w:bCs/>
                <w:color w:val="000000"/>
              </w:rPr>
            </w:pPr>
            <w:r w:rsidRPr="00587DF1">
              <w:rPr>
                <w:rFonts w:ascii="Arial" w:eastAsia="Arial" w:hAnsi="Arial" w:cs="Arial"/>
                <w:bCs/>
                <w:color w:val="000000"/>
              </w:rPr>
              <w:t>Superintendent Radiographer</w:t>
            </w:r>
          </w:p>
          <w:p w14:paraId="29AC95D7" w14:textId="77777777" w:rsidR="00957E58" w:rsidRPr="00587DF1" w:rsidRDefault="00957E58" w:rsidP="005E0D57">
            <w:pPr>
              <w:numPr>
                <w:ilvl w:val="0"/>
                <w:numId w:val="45"/>
              </w:numPr>
              <w:tabs>
                <w:tab w:val="clear" w:pos="720"/>
                <w:tab w:val="num" w:pos="371"/>
              </w:tabs>
              <w:spacing w:after="0"/>
              <w:ind w:left="371" w:hanging="371"/>
              <w:rPr>
                <w:rFonts w:ascii="Arial" w:eastAsia="Arial" w:hAnsi="Arial" w:cs="Arial"/>
                <w:bCs/>
                <w:color w:val="000000"/>
              </w:rPr>
            </w:pPr>
            <w:r w:rsidRPr="00587DF1">
              <w:rPr>
                <w:rFonts w:ascii="Arial" w:eastAsia="Arial" w:hAnsi="Arial" w:cs="Arial"/>
                <w:bCs/>
                <w:color w:val="000000"/>
              </w:rPr>
              <w:t>Electrophysiologist</w:t>
            </w:r>
          </w:p>
          <w:p w14:paraId="5CFD1007" w14:textId="77777777" w:rsidR="00957E58" w:rsidRPr="00587DF1" w:rsidRDefault="00957E58" w:rsidP="005E0D57">
            <w:pPr>
              <w:numPr>
                <w:ilvl w:val="0"/>
                <w:numId w:val="45"/>
              </w:numPr>
              <w:tabs>
                <w:tab w:val="clear" w:pos="720"/>
                <w:tab w:val="num" w:pos="371"/>
              </w:tabs>
              <w:spacing w:after="0"/>
              <w:ind w:left="371" w:hanging="371"/>
              <w:rPr>
                <w:rFonts w:ascii="Arial" w:eastAsia="Arial" w:hAnsi="Arial" w:cs="Arial"/>
                <w:b/>
                <w:bCs/>
                <w:color w:val="000000"/>
              </w:rPr>
            </w:pPr>
            <w:r w:rsidRPr="00587DF1">
              <w:rPr>
                <w:rFonts w:ascii="Arial" w:eastAsia="Arial" w:hAnsi="Arial" w:cs="Arial"/>
                <w:bCs/>
                <w:color w:val="000000"/>
              </w:rPr>
              <w:t xml:space="preserve">Medical Physics expert </w:t>
            </w:r>
          </w:p>
        </w:tc>
      </w:tr>
    </w:tbl>
    <w:p w14:paraId="479F75D5" w14:textId="77777777" w:rsidR="004A7E6A" w:rsidRPr="00587DF1" w:rsidRDefault="004A7E6A" w:rsidP="004A7E6A">
      <w:pPr>
        <w:rPr>
          <w:rFonts w:ascii="Arial" w:eastAsia="Arial" w:hAnsi="Arial" w:cs="Arial"/>
          <w:bCs/>
          <w:color w:val="000000"/>
        </w:rPr>
      </w:pPr>
    </w:p>
    <w:p w14:paraId="4B784BE9" w14:textId="77777777" w:rsidR="004A7E6A" w:rsidRPr="00587DF1" w:rsidRDefault="004A7E6A" w:rsidP="004A7E6A">
      <w:pPr>
        <w:rPr>
          <w:rFonts w:ascii="Arial" w:eastAsia="Arial" w:hAnsi="Arial" w:cs="Arial"/>
          <w:bCs/>
          <w:color w:val="000000"/>
        </w:rPr>
      </w:pPr>
      <w:r w:rsidRPr="00587DF1">
        <w:rPr>
          <w:rFonts w:ascii="Arial" w:eastAsia="Arial" w:hAnsi="Arial" w:cs="Arial"/>
          <w:bCs/>
          <w:color w:val="000000"/>
        </w:rPr>
        <w:t xml:space="preserve">Once reviewed by the clinical sub-groups, the </w:t>
      </w:r>
      <w:r w:rsidR="00691888">
        <w:rPr>
          <w:rFonts w:ascii="Arial" w:eastAsia="Arial" w:hAnsi="Arial" w:cs="Arial"/>
          <w:bCs/>
          <w:color w:val="000000"/>
        </w:rPr>
        <w:t>‘t</w:t>
      </w:r>
      <w:r w:rsidRPr="00587DF1">
        <w:rPr>
          <w:rFonts w:ascii="Arial" w:eastAsia="Arial" w:hAnsi="Arial" w:cs="Arial"/>
          <w:bCs/>
          <w:color w:val="000000"/>
        </w:rPr>
        <w:t xml:space="preserve">est to </w:t>
      </w:r>
      <w:r w:rsidR="00691888">
        <w:rPr>
          <w:rFonts w:ascii="Arial" w:eastAsia="Arial" w:hAnsi="Arial" w:cs="Arial"/>
          <w:bCs/>
          <w:color w:val="000000"/>
        </w:rPr>
        <w:t>f</w:t>
      </w:r>
      <w:r w:rsidRPr="00587DF1">
        <w:rPr>
          <w:rFonts w:ascii="Arial" w:eastAsia="Arial" w:hAnsi="Arial" w:cs="Arial"/>
          <w:bCs/>
          <w:color w:val="000000"/>
        </w:rPr>
        <w:t>it</w:t>
      </w:r>
      <w:r w:rsidR="00691888">
        <w:rPr>
          <w:rFonts w:ascii="Arial" w:eastAsia="Arial" w:hAnsi="Arial" w:cs="Arial"/>
          <w:bCs/>
          <w:color w:val="000000"/>
        </w:rPr>
        <w:t>’</w:t>
      </w:r>
      <w:r w:rsidRPr="00587DF1">
        <w:rPr>
          <w:rFonts w:ascii="Arial" w:eastAsia="Arial" w:hAnsi="Arial" w:cs="Arial"/>
          <w:bCs/>
          <w:color w:val="000000"/>
        </w:rPr>
        <w:t xml:space="preserve"> drawings have been agreed by the Clinical Oversight Group, of which membership includes:</w:t>
      </w:r>
    </w:p>
    <w:p w14:paraId="61051A2F" w14:textId="77777777" w:rsidR="004A7E6A" w:rsidRPr="00587DF1" w:rsidRDefault="004A7E6A" w:rsidP="005E0D57">
      <w:pPr>
        <w:pStyle w:val="ListParagraph"/>
        <w:numPr>
          <w:ilvl w:val="0"/>
          <w:numId w:val="40"/>
        </w:numPr>
        <w:rPr>
          <w:rFonts w:ascii="Arial" w:eastAsia="Arial" w:hAnsi="Arial" w:cs="Arial"/>
          <w:bCs/>
          <w:color w:val="000000"/>
        </w:rPr>
      </w:pPr>
      <w:r w:rsidRPr="00587DF1">
        <w:rPr>
          <w:rFonts w:ascii="Arial" w:eastAsia="Arial" w:hAnsi="Arial" w:cs="Arial"/>
          <w:bCs/>
          <w:color w:val="000000"/>
        </w:rPr>
        <w:t>Director Of Nursing And Allied Health Professions</w:t>
      </w:r>
      <w:r w:rsidR="00D87224" w:rsidRPr="00587DF1">
        <w:rPr>
          <w:rFonts w:ascii="Arial" w:eastAsia="Arial" w:hAnsi="Arial" w:cs="Arial"/>
          <w:bCs/>
          <w:color w:val="000000"/>
        </w:rPr>
        <w:t>.</w:t>
      </w:r>
    </w:p>
    <w:p w14:paraId="1BCA7689" w14:textId="77777777" w:rsidR="004A7E6A" w:rsidRPr="00587DF1" w:rsidRDefault="004A7E6A" w:rsidP="005E0D57">
      <w:pPr>
        <w:pStyle w:val="ListParagraph"/>
        <w:numPr>
          <w:ilvl w:val="0"/>
          <w:numId w:val="40"/>
        </w:numPr>
        <w:rPr>
          <w:rFonts w:ascii="Arial" w:eastAsia="Arial" w:hAnsi="Arial" w:cs="Arial"/>
          <w:bCs/>
          <w:color w:val="000000"/>
        </w:rPr>
      </w:pPr>
      <w:r w:rsidRPr="00587DF1">
        <w:rPr>
          <w:rFonts w:ascii="Arial" w:eastAsia="Arial" w:hAnsi="Arial" w:cs="Arial"/>
          <w:bCs/>
          <w:color w:val="000000"/>
        </w:rPr>
        <w:t>Medical Director</w:t>
      </w:r>
      <w:r w:rsidR="00D87224" w:rsidRPr="00587DF1">
        <w:rPr>
          <w:rFonts w:ascii="Arial" w:eastAsia="Arial" w:hAnsi="Arial" w:cs="Arial"/>
          <w:bCs/>
          <w:color w:val="000000"/>
        </w:rPr>
        <w:t>.</w:t>
      </w:r>
    </w:p>
    <w:p w14:paraId="41322A1B" w14:textId="77777777" w:rsidR="004A7E6A" w:rsidRPr="00587DF1" w:rsidRDefault="004A7E6A" w:rsidP="005E0D57">
      <w:pPr>
        <w:pStyle w:val="ListParagraph"/>
        <w:numPr>
          <w:ilvl w:val="0"/>
          <w:numId w:val="40"/>
        </w:numPr>
        <w:rPr>
          <w:rFonts w:ascii="Arial" w:eastAsia="Arial" w:hAnsi="Arial" w:cs="Arial"/>
          <w:bCs/>
          <w:color w:val="000000"/>
        </w:rPr>
      </w:pPr>
      <w:r w:rsidRPr="00587DF1">
        <w:rPr>
          <w:rFonts w:ascii="Arial" w:eastAsia="Arial" w:hAnsi="Arial" w:cs="Arial"/>
          <w:bCs/>
          <w:color w:val="000000"/>
        </w:rPr>
        <w:t>Chief Operating Officer</w:t>
      </w:r>
      <w:r w:rsidR="00D87224" w:rsidRPr="00587DF1">
        <w:rPr>
          <w:rFonts w:ascii="Arial" w:eastAsia="Arial" w:hAnsi="Arial" w:cs="Arial"/>
          <w:bCs/>
          <w:color w:val="000000"/>
        </w:rPr>
        <w:t>.</w:t>
      </w:r>
    </w:p>
    <w:p w14:paraId="3C861A76" w14:textId="77777777" w:rsidR="004A7E6A" w:rsidRPr="00587DF1" w:rsidRDefault="004A7E6A" w:rsidP="005E0D57">
      <w:pPr>
        <w:pStyle w:val="ListParagraph"/>
        <w:numPr>
          <w:ilvl w:val="0"/>
          <w:numId w:val="40"/>
        </w:numPr>
        <w:rPr>
          <w:rFonts w:ascii="Arial" w:eastAsia="Arial" w:hAnsi="Arial" w:cs="Arial"/>
          <w:bCs/>
          <w:color w:val="000000"/>
        </w:rPr>
      </w:pPr>
      <w:r w:rsidRPr="00587DF1">
        <w:rPr>
          <w:rFonts w:ascii="Arial" w:eastAsia="Arial" w:hAnsi="Arial" w:cs="Arial"/>
          <w:bCs/>
          <w:color w:val="000000"/>
        </w:rPr>
        <w:lastRenderedPageBreak/>
        <w:t>Director of Service Improvement and Sustainability</w:t>
      </w:r>
      <w:r w:rsidR="00D87224" w:rsidRPr="00587DF1">
        <w:rPr>
          <w:rFonts w:ascii="Arial" w:eastAsia="Arial" w:hAnsi="Arial" w:cs="Arial"/>
          <w:bCs/>
          <w:color w:val="000000"/>
        </w:rPr>
        <w:t>.</w:t>
      </w:r>
    </w:p>
    <w:p w14:paraId="7FB1F3BC" w14:textId="77777777" w:rsidR="004A7E6A" w:rsidRPr="00587DF1" w:rsidRDefault="004A7E6A" w:rsidP="005E0D57">
      <w:pPr>
        <w:pStyle w:val="ListParagraph"/>
        <w:numPr>
          <w:ilvl w:val="0"/>
          <w:numId w:val="40"/>
        </w:numPr>
        <w:rPr>
          <w:rFonts w:ascii="Arial" w:eastAsia="Arial" w:hAnsi="Arial" w:cs="Arial"/>
          <w:bCs/>
          <w:color w:val="000000"/>
        </w:rPr>
      </w:pPr>
      <w:r w:rsidRPr="00587DF1">
        <w:rPr>
          <w:rFonts w:ascii="Arial" w:eastAsia="Arial" w:hAnsi="Arial" w:cs="Arial"/>
          <w:bCs/>
          <w:color w:val="000000"/>
        </w:rPr>
        <w:t>Clinical Director of Service Redesign</w:t>
      </w:r>
      <w:r w:rsidR="00D87224" w:rsidRPr="00587DF1">
        <w:rPr>
          <w:rFonts w:ascii="Arial" w:eastAsia="Arial" w:hAnsi="Arial" w:cs="Arial"/>
          <w:bCs/>
          <w:color w:val="000000"/>
        </w:rPr>
        <w:t>.</w:t>
      </w:r>
    </w:p>
    <w:p w14:paraId="68E06F73" w14:textId="77777777" w:rsidR="004A7E6A" w:rsidRPr="00587DF1" w:rsidRDefault="004A7E6A" w:rsidP="005E0D57">
      <w:pPr>
        <w:pStyle w:val="ListParagraph"/>
        <w:numPr>
          <w:ilvl w:val="0"/>
          <w:numId w:val="40"/>
        </w:numPr>
        <w:rPr>
          <w:rFonts w:ascii="Arial" w:eastAsia="Arial" w:hAnsi="Arial" w:cs="Arial"/>
          <w:bCs/>
          <w:color w:val="000000"/>
        </w:rPr>
      </w:pPr>
      <w:r w:rsidRPr="00587DF1">
        <w:rPr>
          <w:rFonts w:ascii="Arial" w:eastAsia="Arial" w:hAnsi="Arial" w:cs="Arial"/>
          <w:bCs/>
          <w:color w:val="000000"/>
        </w:rPr>
        <w:t>Chairs of each of the clinical planning groups</w:t>
      </w:r>
      <w:r w:rsidR="00D87224" w:rsidRPr="00587DF1">
        <w:rPr>
          <w:rFonts w:ascii="Arial" w:eastAsia="Arial" w:hAnsi="Arial" w:cs="Arial"/>
          <w:bCs/>
          <w:color w:val="000000"/>
        </w:rPr>
        <w:t>.</w:t>
      </w:r>
    </w:p>
    <w:p w14:paraId="05208E3C" w14:textId="77777777" w:rsidR="004A7E6A" w:rsidRPr="00587DF1" w:rsidRDefault="004A7E6A" w:rsidP="004A7E6A">
      <w:pPr>
        <w:rPr>
          <w:rFonts w:ascii="Arial" w:eastAsia="Arial" w:hAnsi="Arial" w:cs="Arial"/>
          <w:b/>
          <w:color w:val="000000"/>
        </w:rPr>
      </w:pPr>
      <w:r w:rsidRPr="00587DF1">
        <w:rPr>
          <w:rFonts w:ascii="Arial" w:eastAsia="Arial" w:hAnsi="Arial" w:cs="Arial"/>
          <w:b/>
          <w:color w:val="000000"/>
        </w:rPr>
        <w:t>Non-clinical involvement</w:t>
      </w:r>
    </w:p>
    <w:p w14:paraId="4CFD4626" w14:textId="2ED36A94" w:rsidR="004A7E6A" w:rsidRPr="00587DF1" w:rsidRDefault="00D76672" w:rsidP="004A7E6A">
      <w:pPr>
        <w:rPr>
          <w:rFonts w:ascii="Arial" w:eastAsia="Arial" w:hAnsi="Arial" w:cs="Arial"/>
          <w:bCs/>
          <w:color w:val="000000"/>
        </w:rPr>
      </w:pPr>
      <w:r>
        <w:rPr>
          <w:rFonts w:ascii="Arial" w:eastAsia="Arial" w:hAnsi="Arial" w:cs="Arial"/>
          <w:bCs/>
          <w:color w:val="000000"/>
        </w:rPr>
        <w:t xml:space="preserve">The following </w:t>
      </w:r>
      <w:r w:rsidR="0025699F">
        <w:rPr>
          <w:rFonts w:ascii="Arial" w:eastAsia="Arial" w:hAnsi="Arial" w:cs="Arial"/>
          <w:bCs/>
          <w:color w:val="000000"/>
        </w:rPr>
        <w:t>non-clinical</w:t>
      </w:r>
      <w:r w:rsidR="004A7E6A" w:rsidRPr="00587DF1">
        <w:rPr>
          <w:rFonts w:ascii="Arial" w:eastAsia="Arial" w:hAnsi="Arial" w:cs="Arial"/>
          <w:bCs/>
          <w:color w:val="000000"/>
        </w:rPr>
        <w:t xml:space="preserve"> stakeholders have been involved in the building design process:</w:t>
      </w:r>
    </w:p>
    <w:p w14:paraId="5B69FC79" w14:textId="77777777" w:rsidR="004A7E6A" w:rsidRPr="00587DF1" w:rsidRDefault="004A7E6A" w:rsidP="005E0D57">
      <w:pPr>
        <w:pStyle w:val="ListParagraph"/>
        <w:numPr>
          <w:ilvl w:val="0"/>
          <w:numId w:val="40"/>
        </w:numPr>
        <w:rPr>
          <w:rFonts w:ascii="Arial" w:eastAsia="Arial" w:hAnsi="Arial" w:cs="Arial"/>
          <w:bCs/>
          <w:color w:val="000000"/>
        </w:rPr>
      </w:pPr>
      <w:r w:rsidRPr="00587DF1">
        <w:rPr>
          <w:rFonts w:ascii="Arial" w:eastAsia="Arial" w:hAnsi="Arial" w:cs="Arial"/>
          <w:bCs/>
          <w:color w:val="000000"/>
        </w:rPr>
        <w:t>UCL scientists, and joint clinician scientists</w:t>
      </w:r>
      <w:r w:rsidR="00D87224" w:rsidRPr="00587DF1">
        <w:rPr>
          <w:rFonts w:ascii="Arial" w:eastAsia="Arial" w:hAnsi="Arial" w:cs="Arial"/>
          <w:bCs/>
          <w:color w:val="000000"/>
        </w:rPr>
        <w:t>.</w:t>
      </w:r>
    </w:p>
    <w:p w14:paraId="0C079CEE" w14:textId="77777777" w:rsidR="004A7E6A" w:rsidRPr="00587DF1" w:rsidRDefault="004A7E6A" w:rsidP="005E0D57">
      <w:pPr>
        <w:pStyle w:val="ListParagraph"/>
        <w:numPr>
          <w:ilvl w:val="0"/>
          <w:numId w:val="40"/>
        </w:numPr>
        <w:rPr>
          <w:rFonts w:ascii="Arial" w:eastAsia="Arial" w:hAnsi="Arial" w:cs="Arial"/>
          <w:bCs/>
          <w:color w:val="000000"/>
        </w:rPr>
      </w:pPr>
      <w:r w:rsidRPr="00587DF1">
        <w:rPr>
          <w:rFonts w:ascii="Arial" w:eastAsia="Arial" w:hAnsi="Arial" w:cs="Arial"/>
          <w:bCs/>
          <w:color w:val="000000"/>
        </w:rPr>
        <w:t>Joint Director of Education and educator colleagues</w:t>
      </w:r>
      <w:r w:rsidR="00D87224" w:rsidRPr="00587DF1">
        <w:rPr>
          <w:rFonts w:ascii="Arial" w:eastAsia="Arial" w:hAnsi="Arial" w:cs="Arial"/>
          <w:bCs/>
          <w:color w:val="000000"/>
        </w:rPr>
        <w:t>.</w:t>
      </w:r>
    </w:p>
    <w:p w14:paraId="1B1C0A50" w14:textId="77777777" w:rsidR="004A7E6A" w:rsidRPr="00587DF1" w:rsidRDefault="004A7E6A" w:rsidP="005E0D57">
      <w:pPr>
        <w:pStyle w:val="ListParagraph"/>
        <w:numPr>
          <w:ilvl w:val="0"/>
          <w:numId w:val="40"/>
        </w:numPr>
        <w:rPr>
          <w:rFonts w:ascii="Arial" w:eastAsia="Arial" w:hAnsi="Arial" w:cs="Arial"/>
          <w:bCs/>
          <w:color w:val="000000"/>
        </w:rPr>
      </w:pPr>
      <w:r w:rsidRPr="00587DF1">
        <w:rPr>
          <w:rFonts w:ascii="Arial" w:eastAsia="Arial" w:hAnsi="Arial" w:cs="Arial"/>
          <w:bCs/>
          <w:color w:val="000000"/>
        </w:rPr>
        <w:t>Operational/management colleagues</w:t>
      </w:r>
      <w:r w:rsidR="00D87224" w:rsidRPr="00587DF1">
        <w:rPr>
          <w:rFonts w:ascii="Arial" w:eastAsia="Arial" w:hAnsi="Arial" w:cs="Arial"/>
          <w:bCs/>
          <w:color w:val="000000"/>
        </w:rPr>
        <w:t>.</w:t>
      </w:r>
    </w:p>
    <w:p w14:paraId="1DC46D37" w14:textId="77777777" w:rsidR="004A7E6A" w:rsidRPr="00587DF1" w:rsidRDefault="004A7E6A" w:rsidP="005E0D57">
      <w:pPr>
        <w:pStyle w:val="ListParagraph"/>
        <w:numPr>
          <w:ilvl w:val="0"/>
          <w:numId w:val="40"/>
        </w:numPr>
        <w:rPr>
          <w:rFonts w:ascii="Arial" w:eastAsia="Arial" w:hAnsi="Arial" w:cs="Arial"/>
          <w:bCs/>
          <w:color w:val="000000"/>
        </w:rPr>
      </w:pPr>
      <w:r w:rsidRPr="00587DF1">
        <w:rPr>
          <w:rFonts w:ascii="Arial" w:eastAsia="Arial" w:hAnsi="Arial" w:cs="Arial"/>
          <w:bCs/>
          <w:color w:val="000000"/>
        </w:rPr>
        <w:t xml:space="preserve">Chief Information Officer and </w:t>
      </w:r>
      <w:r w:rsidR="00957E58" w:rsidRPr="00587DF1">
        <w:rPr>
          <w:rFonts w:ascii="Arial" w:eastAsia="Arial" w:hAnsi="Arial" w:cs="Arial"/>
          <w:bCs/>
          <w:color w:val="000000"/>
        </w:rPr>
        <w:t>IT</w:t>
      </w:r>
      <w:r w:rsidRPr="00587DF1">
        <w:rPr>
          <w:rFonts w:ascii="Arial" w:eastAsia="Arial" w:hAnsi="Arial" w:cs="Arial"/>
          <w:bCs/>
          <w:color w:val="000000"/>
        </w:rPr>
        <w:t xml:space="preserve"> colleagues</w:t>
      </w:r>
      <w:r w:rsidR="00D87224" w:rsidRPr="00587DF1">
        <w:rPr>
          <w:rFonts w:ascii="Arial" w:eastAsia="Arial" w:hAnsi="Arial" w:cs="Arial"/>
          <w:bCs/>
          <w:color w:val="000000"/>
        </w:rPr>
        <w:t>.</w:t>
      </w:r>
    </w:p>
    <w:p w14:paraId="139E9BC5" w14:textId="77777777" w:rsidR="004A7E6A" w:rsidRPr="00587DF1" w:rsidRDefault="004A7E6A" w:rsidP="005E0D57">
      <w:pPr>
        <w:pStyle w:val="ListParagraph"/>
        <w:numPr>
          <w:ilvl w:val="0"/>
          <w:numId w:val="40"/>
        </w:numPr>
        <w:rPr>
          <w:rFonts w:ascii="Arial" w:eastAsia="Arial" w:hAnsi="Arial" w:cs="Arial"/>
          <w:bCs/>
          <w:color w:val="000000"/>
        </w:rPr>
      </w:pPr>
      <w:r w:rsidRPr="00587DF1">
        <w:rPr>
          <w:rFonts w:ascii="Arial" w:eastAsia="Arial" w:hAnsi="Arial" w:cs="Arial"/>
          <w:bCs/>
          <w:color w:val="000000"/>
        </w:rPr>
        <w:t>Director of Workforce and Organisational Development and workforce colleagues</w:t>
      </w:r>
      <w:r w:rsidR="00D87224" w:rsidRPr="00587DF1">
        <w:rPr>
          <w:rFonts w:ascii="Arial" w:eastAsia="Arial" w:hAnsi="Arial" w:cs="Arial"/>
          <w:bCs/>
          <w:color w:val="000000"/>
        </w:rPr>
        <w:t>.</w:t>
      </w:r>
    </w:p>
    <w:p w14:paraId="46CA7E4D" w14:textId="77777777" w:rsidR="004A7E6A" w:rsidRPr="00587DF1" w:rsidRDefault="004A7E6A" w:rsidP="005E0D57">
      <w:pPr>
        <w:pStyle w:val="ListParagraph"/>
        <w:numPr>
          <w:ilvl w:val="0"/>
          <w:numId w:val="40"/>
        </w:numPr>
        <w:rPr>
          <w:rFonts w:ascii="Arial" w:hAnsi="Arial" w:cs="Arial"/>
        </w:rPr>
      </w:pPr>
      <w:r w:rsidRPr="00587DF1">
        <w:rPr>
          <w:rFonts w:ascii="Arial" w:eastAsia="Arial" w:hAnsi="Arial" w:cs="Arial"/>
          <w:bCs/>
          <w:color w:val="000000"/>
        </w:rPr>
        <w:t>Director of Estates and Major Projects and estates colleagues</w:t>
      </w:r>
      <w:r w:rsidR="00D87224" w:rsidRPr="00587DF1">
        <w:rPr>
          <w:rFonts w:ascii="Arial" w:eastAsia="Arial" w:hAnsi="Arial" w:cs="Arial"/>
          <w:bCs/>
          <w:color w:val="000000"/>
        </w:rPr>
        <w:t>.</w:t>
      </w:r>
    </w:p>
    <w:p w14:paraId="615C307B" w14:textId="77777777" w:rsidR="004A7E6A" w:rsidRPr="00587DF1" w:rsidRDefault="004A7E6A" w:rsidP="005E0D57">
      <w:pPr>
        <w:pStyle w:val="ListParagraph"/>
        <w:numPr>
          <w:ilvl w:val="0"/>
          <w:numId w:val="40"/>
        </w:numPr>
        <w:rPr>
          <w:rFonts w:ascii="Arial" w:eastAsia="Arial" w:hAnsi="Arial" w:cs="Arial"/>
          <w:bCs/>
          <w:color w:val="000000"/>
        </w:rPr>
      </w:pPr>
      <w:r w:rsidRPr="00587DF1">
        <w:rPr>
          <w:rFonts w:ascii="Arial" w:eastAsia="Arial" w:hAnsi="Arial" w:cs="Arial"/>
          <w:bCs/>
          <w:color w:val="000000"/>
        </w:rPr>
        <w:t>Moorfields Eye Charity</w:t>
      </w:r>
      <w:r w:rsidR="00D87224" w:rsidRPr="00587DF1">
        <w:rPr>
          <w:rFonts w:ascii="Arial" w:eastAsia="Arial" w:hAnsi="Arial" w:cs="Arial"/>
          <w:bCs/>
          <w:color w:val="000000"/>
        </w:rPr>
        <w:t>.</w:t>
      </w:r>
    </w:p>
    <w:p w14:paraId="28BCB6BA" w14:textId="77777777" w:rsidR="004A7E6A" w:rsidRPr="00587DF1" w:rsidRDefault="004A7E6A" w:rsidP="005E0D57">
      <w:pPr>
        <w:pStyle w:val="ListParagraph"/>
        <w:numPr>
          <w:ilvl w:val="0"/>
          <w:numId w:val="40"/>
        </w:numPr>
        <w:rPr>
          <w:rFonts w:ascii="Arial" w:eastAsia="Arial" w:hAnsi="Arial" w:cs="Arial"/>
          <w:bCs/>
          <w:color w:val="000000"/>
        </w:rPr>
      </w:pPr>
      <w:r w:rsidRPr="00587DF1">
        <w:rPr>
          <w:rFonts w:ascii="Arial" w:eastAsia="Arial" w:hAnsi="Arial" w:cs="Arial"/>
          <w:bCs/>
          <w:color w:val="000000"/>
        </w:rPr>
        <w:t>Friends of Moorfields Charity</w:t>
      </w:r>
      <w:r w:rsidR="00D87224" w:rsidRPr="00587DF1">
        <w:rPr>
          <w:rFonts w:ascii="Arial" w:eastAsia="Arial" w:hAnsi="Arial" w:cs="Arial"/>
          <w:bCs/>
          <w:color w:val="000000"/>
        </w:rPr>
        <w:t>.</w:t>
      </w:r>
    </w:p>
    <w:p w14:paraId="6ABAC174" w14:textId="77777777" w:rsidR="004A7E6A" w:rsidRPr="00587DF1" w:rsidRDefault="004A7E6A" w:rsidP="005E0D57">
      <w:pPr>
        <w:pStyle w:val="ListParagraph"/>
        <w:numPr>
          <w:ilvl w:val="0"/>
          <w:numId w:val="40"/>
        </w:numPr>
        <w:rPr>
          <w:rFonts w:ascii="Arial" w:eastAsia="Arial" w:hAnsi="Arial" w:cs="Arial"/>
          <w:bCs/>
          <w:color w:val="000000"/>
        </w:rPr>
      </w:pPr>
      <w:r w:rsidRPr="00587DF1">
        <w:rPr>
          <w:rFonts w:ascii="Arial" w:eastAsia="Arial" w:hAnsi="Arial" w:cs="Arial"/>
          <w:bCs/>
          <w:color w:val="000000"/>
        </w:rPr>
        <w:t>PALS, ECLOs (Eye Care Liaison Officers) and Nurse counsellors</w:t>
      </w:r>
      <w:r w:rsidR="00D87224" w:rsidRPr="00587DF1">
        <w:rPr>
          <w:rFonts w:ascii="Arial" w:eastAsia="Arial" w:hAnsi="Arial" w:cs="Arial"/>
          <w:bCs/>
          <w:color w:val="000000"/>
        </w:rPr>
        <w:t>.</w:t>
      </w:r>
    </w:p>
    <w:p w14:paraId="4D629E84" w14:textId="17E90CAA" w:rsidR="00DB02F8" w:rsidRPr="00DB02F8" w:rsidRDefault="004A7E6A" w:rsidP="00DB02F8">
      <w:pPr>
        <w:pStyle w:val="ListParagraph"/>
        <w:numPr>
          <w:ilvl w:val="0"/>
          <w:numId w:val="40"/>
        </w:numPr>
        <w:rPr>
          <w:rFonts w:ascii="Arial" w:eastAsia="Arial" w:hAnsi="Arial" w:cs="Arial"/>
          <w:bCs/>
          <w:color w:val="000000"/>
        </w:rPr>
      </w:pPr>
      <w:r w:rsidRPr="00587DF1">
        <w:rPr>
          <w:rFonts w:ascii="Arial" w:eastAsia="Arial" w:hAnsi="Arial" w:cs="Arial"/>
          <w:bCs/>
          <w:color w:val="000000"/>
        </w:rPr>
        <w:t>Moorfields Arts Committee</w:t>
      </w:r>
      <w:r w:rsidR="00D87224" w:rsidRPr="00587DF1">
        <w:rPr>
          <w:rFonts w:ascii="Arial" w:eastAsia="Arial" w:hAnsi="Arial" w:cs="Arial"/>
          <w:bCs/>
          <w:color w:val="000000"/>
        </w:rPr>
        <w:t>.</w:t>
      </w:r>
    </w:p>
    <w:p w14:paraId="67DB0831" w14:textId="28ED5209" w:rsidR="00DB02F8" w:rsidRPr="00587DF1" w:rsidRDefault="00DB02F8" w:rsidP="00DB02F8">
      <w:pPr>
        <w:numPr>
          <w:ilvl w:val="2"/>
          <w:numId w:val="1"/>
        </w:numPr>
        <w:pBdr>
          <w:top w:val="nil"/>
          <w:left w:val="nil"/>
          <w:bottom w:val="nil"/>
          <w:right w:val="nil"/>
          <w:between w:val="nil"/>
        </w:pBdr>
        <w:tabs>
          <w:tab w:val="left" w:pos="567"/>
        </w:tabs>
        <w:jc w:val="both"/>
        <w:rPr>
          <w:rFonts w:ascii="Arial" w:eastAsia="Arial" w:hAnsi="Arial" w:cs="Arial"/>
          <w:color w:val="000000"/>
        </w:rPr>
      </w:pPr>
      <w:r>
        <w:rPr>
          <w:rFonts w:ascii="Arial" w:eastAsia="Arial" w:hAnsi="Arial" w:cs="Arial"/>
          <w:b/>
          <w:color w:val="000000"/>
        </w:rPr>
        <w:t>Ongoing clinical involvement</w:t>
      </w:r>
    </w:p>
    <w:p w14:paraId="441DD4C3" w14:textId="13697933" w:rsidR="00DB02F8" w:rsidRDefault="00DB02F8" w:rsidP="00DB02F8">
      <w:pPr>
        <w:rPr>
          <w:rFonts w:ascii="Arial" w:eastAsia="Arial" w:hAnsi="Arial" w:cs="Arial"/>
          <w:bCs/>
          <w:color w:val="000000"/>
        </w:rPr>
      </w:pPr>
      <w:r>
        <w:rPr>
          <w:rFonts w:ascii="Arial" w:eastAsia="Arial" w:hAnsi="Arial" w:cs="Arial"/>
          <w:bCs/>
          <w:color w:val="000000"/>
        </w:rPr>
        <w:t xml:space="preserve">As design development moves into the next phase, additional working groups have been established. These are described in section </w:t>
      </w:r>
      <w:r>
        <w:rPr>
          <w:rFonts w:ascii="Arial" w:eastAsia="Arial" w:hAnsi="Arial" w:cs="Arial"/>
          <w:bCs/>
          <w:color w:val="000000"/>
        </w:rPr>
        <w:fldChar w:fldCharType="begin"/>
      </w:r>
      <w:r>
        <w:rPr>
          <w:rFonts w:ascii="Arial" w:eastAsia="Arial" w:hAnsi="Arial" w:cs="Arial"/>
          <w:bCs/>
          <w:color w:val="000000"/>
        </w:rPr>
        <w:instrText xml:space="preserve"> REF _Ref32585598 \r \h </w:instrText>
      </w:r>
      <w:r>
        <w:rPr>
          <w:rFonts w:ascii="Arial" w:eastAsia="Arial" w:hAnsi="Arial" w:cs="Arial"/>
          <w:bCs/>
          <w:color w:val="000000"/>
        </w:rPr>
      </w:r>
      <w:r>
        <w:rPr>
          <w:rFonts w:ascii="Arial" w:eastAsia="Arial" w:hAnsi="Arial" w:cs="Arial"/>
          <w:bCs/>
          <w:color w:val="000000"/>
        </w:rPr>
        <w:fldChar w:fldCharType="separate"/>
      </w:r>
      <w:r w:rsidR="00A936CD">
        <w:rPr>
          <w:rFonts w:ascii="Arial" w:eastAsia="Arial" w:hAnsi="Arial" w:cs="Arial"/>
          <w:bCs/>
          <w:color w:val="000000"/>
        </w:rPr>
        <w:t>8.8</w:t>
      </w:r>
      <w:r>
        <w:rPr>
          <w:rFonts w:ascii="Arial" w:eastAsia="Arial" w:hAnsi="Arial" w:cs="Arial"/>
          <w:bCs/>
          <w:color w:val="000000"/>
        </w:rPr>
        <w:fldChar w:fldCharType="end"/>
      </w:r>
      <w:r>
        <w:rPr>
          <w:rFonts w:ascii="Arial" w:eastAsia="Arial" w:hAnsi="Arial" w:cs="Arial"/>
          <w:bCs/>
          <w:color w:val="000000"/>
        </w:rPr>
        <w:t xml:space="preserve"> of the Management Case.</w:t>
      </w:r>
    </w:p>
    <w:p w14:paraId="50279A22" w14:textId="20F14414" w:rsidR="00E037F8" w:rsidRPr="00587DF1" w:rsidRDefault="00E037F8" w:rsidP="00E037F8">
      <w:pPr>
        <w:numPr>
          <w:ilvl w:val="2"/>
          <w:numId w:val="1"/>
        </w:numPr>
        <w:pBdr>
          <w:top w:val="nil"/>
          <w:left w:val="nil"/>
          <w:bottom w:val="nil"/>
          <w:right w:val="nil"/>
          <w:between w:val="nil"/>
        </w:pBdr>
        <w:tabs>
          <w:tab w:val="left" w:pos="567"/>
        </w:tabs>
        <w:jc w:val="both"/>
        <w:rPr>
          <w:rFonts w:ascii="Arial" w:eastAsia="Arial" w:hAnsi="Arial" w:cs="Arial"/>
          <w:color w:val="000000"/>
        </w:rPr>
      </w:pPr>
      <w:r>
        <w:rPr>
          <w:rFonts w:ascii="Arial" w:eastAsia="Arial" w:hAnsi="Arial" w:cs="Arial"/>
          <w:b/>
          <w:color w:val="000000"/>
        </w:rPr>
        <w:t>Clinical senate review</w:t>
      </w:r>
    </w:p>
    <w:p w14:paraId="4AED286A" w14:textId="130CC724" w:rsidR="00466BD8" w:rsidRPr="00466BD8" w:rsidRDefault="00466BD8" w:rsidP="00466BD8">
      <w:pPr>
        <w:rPr>
          <w:rFonts w:ascii="Arial" w:eastAsia="Arial" w:hAnsi="Arial" w:cs="Arial"/>
          <w:bCs/>
          <w:color w:val="000000"/>
        </w:rPr>
      </w:pPr>
      <w:r>
        <w:rPr>
          <w:rFonts w:ascii="Arial" w:eastAsia="Arial" w:hAnsi="Arial" w:cs="Arial"/>
          <w:bCs/>
          <w:color w:val="000000"/>
        </w:rPr>
        <w:t>As part of the public consultation, commissioners presented t</w:t>
      </w:r>
      <w:r w:rsidRPr="00466BD8">
        <w:rPr>
          <w:rFonts w:ascii="Arial" w:eastAsia="Arial" w:hAnsi="Arial" w:cs="Arial"/>
          <w:bCs/>
          <w:color w:val="000000"/>
        </w:rPr>
        <w:t xml:space="preserve">he clinical case for change and the proposals </w:t>
      </w:r>
      <w:r>
        <w:rPr>
          <w:rFonts w:ascii="Arial" w:eastAsia="Arial" w:hAnsi="Arial" w:cs="Arial"/>
          <w:bCs/>
          <w:color w:val="000000"/>
        </w:rPr>
        <w:t xml:space="preserve">for </w:t>
      </w:r>
      <w:r w:rsidRPr="00466BD8">
        <w:rPr>
          <w:rFonts w:ascii="Arial" w:eastAsia="Arial" w:hAnsi="Arial" w:cs="Arial"/>
          <w:bCs/>
          <w:color w:val="000000"/>
        </w:rPr>
        <w:t xml:space="preserve">review by the London Clinical Senate at a panel in November 2018. </w:t>
      </w:r>
      <w:r>
        <w:rPr>
          <w:rFonts w:ascii="Arial" w:eastAsia="Arial" w:hAnsi="Arial" w:cs="Arial"/>
          <w:bCs/>
          <w:color w:val="000000"/>
        </w:rPr>
        <w:t xml:space="preserve">This was supported by Moorfields. </w:t>
      </w:r>
      <w:r w:rsidRPr="00466BD8">
        <w:rPr>
          <w:rFonts w:ascii="Arial" w:eastAsia="Arial" w:hAnsi="Arial" w:cs="Arial"/>
          <w:bCs/>
          <w:color w:val="000000"/>
        </w:rPr>
        <w:t>Following the Review Panel, the London Clinical Senate submitted a report on its findings to the CCGs in which it confirmed that it found “that there was a clear, clinical evidence base to support the proposed move of the services at City Road to the new site at St Pancras Hospital.”</w:t>
      </w:r>
    </w:p>
    <w:p w14:paraId="0734409B" w14:textId="658E66B5" w:rsidR="00466BD8" w:rsidRPr="00466BD8" w:rsidRDefault="00466BD8" w:rsidP="00466BD8">
      <w:pPr>
        <w:rPr>
          <w:rFonts w:ascii="Arial" w:hAnsi="Arial" w:cs="Arial"/>
        </w:rPr>
      </w:pPr>
      <w:r w:rsidRPr="00466BD8">
        <w:rPr>
          <w:rFonts w:ascii="Arial" w:eastAsia="Arial" w:hAnsi="Arial" w:cs="Arial"/>
          <w:bCs/>
          <w:color w:val="000000"/>
        </w:rPr>
        <w:t>The panel made recommendations to which commissioners have responded. Its report, and subsequent correspondence, was published by commissioners as part of the formal consultation, which notes that all recommendations have now been addressed. They are available at</w:t>
      </w:r>
      <w:r w:rsidRPr="00466BD8">
        <w:rPr>
          <w:rFonts w:ascii="Arial" w:hAnsi="Arial" w:cs="Arial"/>
        </w:rPr>
        <w:t xml:space="preserve"> </w:t>
      </w:r>
      <w:hyperlink r:id="rId28" w:history="1">
        <w:r w:rsidRPr="00466BD8">
          <w:rPr>
            <w:rStyle w:val="Hyperlink"/>
            <w:rFonts w:ascii="Arial" w:hAnsi="Arial" w:cs="Arial"/>
          </w:rPr>
          <w:t>www.oriel-london.org.uk</w:t>
        </w:r>
      </w:hyperlink>
      <w:r w:rsidRPr="00466BD8">
        <w:rPr>
          <w:rFonts w:ascii="Arial" w:hAnsi="Arial" w:cs="Arial"/>
        </w:rPr>
        <w:t>.</w:t>
      </w:r>
    </w:p>
    <w:p w14:paraId="33A280F8" w14:textId="77777777" w:rsidR="00DB02F8" w:rsidRPr="00DB02F8" w:rsidRDefault="00DB02F8" w:rsidP="00DB02F8">
      <w:pPr>
        <w:rPr>
          <w:rFonts w:ascii="Arial" w:eastAsia="Arial" w:hAnsi="Arial" w:cs="Arial"/>
          <w:bCs/>
          <w:color w:val="000000"/>
        </w:rPr>
      </w:pPr>
    </w:p>
    <w:p w14:paraId="2150015A" w14:textId="77777777" w:rsidR="004A7E6A" w:rsidRPr="00587DF1" w:rsidRDefault="004A7E6A" w:rsidP="005E0D57">
      <w:pPr>
        <w:pStyle w:val="Heading2"/>
        <w:numPr>
          <w:ilvl w:val="1"/>
          <w:numId w:val="1"/>
        </w:numPr>
        <w:rPr>
          <w:rFonts w:ascii="Arial" w:eastAsia="Arial" w:hAnsi="Arial" w:cs="Arial"/>
        </w:rPr>
      </w:pPr>
      <w:bookmarkStart w:id="228" w:name="_Ref27729515"/>
      <w:bookmarkStart w:id="229" w:name="_Toc32842720"/>
      <w:r w:rsidRPr="00587DF1">
        <w:rPr>
          <w:rFonts w:ascii="Arial" w:eastAsia="Arial" w:hAnsi="Arial" w:cs="Arial"/>
        </w:rPr>
        <w:t>Clinical pathways</w:t>
      </w:r>
      <w:bookmarkEnd w:id="228"/>
      <w:bookmarkEnd w:id="229"/>
    </w:p>
    <w:p w14:paraId="1550AD3E" w14:textId="77777777" w:rsidR="004A7E6A" w:rsidRPr="00587DF1" w:rsidRDefault="004A7E6A" w:rsidP="004A7E6A">
      <w:pPr>
        <w:pBdr>
          <w:top w:val="nil"/>
          <w:left w:val="nil"/>
          <w:bottom w:val="nil"/>
          <w:right w:val="nil"/>
          <w:between w:val="nil"/>
        </w:pBdr>
        <w:tabs>
          <w:tab w:val="left" w:pos="567"/>
        </w:tabs>
        <w:spacing w:after="0"/>
        <w:rPr>
          <w:rFonts w:ascii="Arial" w:eastAsia="Arial" w:hAnsi="Arial" w:cs="Arial"/>
          <w:bCs/>
          <w:color w:val="000000"/>
          <w:highlight w:val="yellow"/>
        </w:rPr>
      </w:pPr>
    </w:p>
    <w:p w14:paraId="5312EB4E" w14:textId="77777777" w:rsidR="004A7E6A" w:rsidRPr="00587DF1" w:rsidRDefault="004A7E6A" w:rsidP="005E0D57">
      <w:pPr>
        <w:numPr>
          <w:ilvl w:val="2"/>
          <w:numId w:val="1"/>
        </w:numPr>
        <w:pBdr>
          <w:top w:val="nil"/>
          <w:left w:val="nil"/>
          <w:bottom w:val="nil"/>
          <w:right w:val="nil"/>
          <w:between w:val="nil"/>
        </w:pBdr>
        <w:tabs>
          <w:tab w:val="left" w:pos="567"/>
        </w:tabs>
        <w:jc w:val="both"/>
        <w:rPr>
          <w:rFonts w:ascii="Arial" w:eastAsia="Arial" w:hAnsi="Arial" w:cs="Arial"/>
          <w:color w:val="000000"/>
        </w:rPr>
      </w:pPr>
      <w:r w:rsidRPr="00587DF1">
        <w:rPr>
          <w:rFonts w:ascii="Arial" w:eastAsia="Arial" w:hAnsi="Arial" w:cs="Arial"/>
          <w:b/>
          <w:color w:val="000000"/>
        </w:rPr>
        <w:t xml:space="preserve">Overarching principles </w:t>
      </w:r>
    </w:p>
    <w:p w14:paraId="17D9E9A1" w14:textId="77777777" w:rsidR="004A7E6A" w:rsidRPr="00587DF1" w:rsidRDefault="004A7E6A" w:rsidP="004A7E6A">
      <w:pPr>
        <w:spacing w:after="0" w:line="264" w:lineRule="auto"/>
        <w:ind w:right="142"/>
        <w:rPr>
          <w:rFonts w:ascii="Arial" w:eastAsiaTheme="minorHAnsi" w:hAnsi="Arial" w:cs="Arial"/>
          <w:lang w:eastAsia="en-US"/>
        </w:rPr>
      </w:pPr>
      <w:r w:rsidRPr="00587DF1">
        <w:rPr>
          <w:rFonts w:ascii="Arial" w:eastAsiaTheme="minorHAnsi" w:hAnsi="Arial" w:cs="Arial"/>
          <w:lang w:eastAsia="en-US"/>
        </w:rPr>
        <w:t xml:space="preserve">Clinical pathway blueprints have been developed for three core journeys in adult and </w:t>
      </w:r>
      <w:r w:rsidR="00F3525B" w:rsidRPr="00587DF1">
        <w:rPr>
          <w:rFonts w:ascii="Arial" w:eastAsia="Arial" w:hAnsi="Arial" w:cs="Arial"/>
          <w:bCs/>
          <w:color w:val="000000"/>
        </w:rPr>
        <w:t xml:space="preserve">children and young people’s </w:t>
      </w:r>
      <w:r w:rsidRPr="00587DF1">
        <w:rPr>
          <w:rFonts w:ascii="Arial" w:eastAsiaTheme="minorHAnsi" w:hAnsi="Arial" w:cs="Arial"/>
          <w:lang w:eastAsia="en-US"/>
        </w:rPr>
        <w:t>care;</w:t>
      </w:r>
    </w:p>
    <w:p w14:paraId="1DE4743F" w14:textId="77777777" w:rsidR="004A7E6A" w:rsidRPr="00587DF1" w:rsidRDefault="004A7E6A" w:rsidP="005E0D57">
      <w:pPr>
        <w:pStyle w:val="ListParagraph"/>
        <w:numPr>
          <w:ilvl w:val="0"/>
          <w:numId w:val="27"/>
        </w:numPr>
        <w:spacing w:after="0" w:line="264" w:lineRule="auto"/>
        <w:ind w:right="142"/>
        <w:rPr>
          <w:rFonts w:ascii="Arial" w:eastAsiaTheme="minorHAnsi" w:hAnsi="Arial" w:cs="Arial"/>
          <w:lang w:eastAsia="en-US"/>
        </w:rPr>
      </w:pPr>
      <w:r w:rsidRPr="00587DF1">
        <w:rPr>
          <w:rFonts w:ascii="Arial" w:eastAsiaTheme="minorHAnsi" w:hAnsi="Arial" w:cs="Arial"/>
          <w:lang w:eastAsia="en-US"/>
        </w:rPr>
        <w:t>A&amp;E and urgent care</w:t>
      </w:r>
    </w:p>
    <w:p w14:paraId="604C558C" w14:textId="77777777" w:rsidR="004A7E6A" w:rsidRPr="00587DF1" w:rsidRDefault="004A7E6A" w:rsidP="005E0D57">
      <w:pPr>
        <w:pStyle w:val="ListParagraph"/>
        <w:numPr>
          <w:ilvl w:val="0"/>
          <w:numId w:val="27"/>
        </w:numPr>
        <w:spacing w:after="0" w:line="264" w:lineRule="auto"/>
        <w:ind w:right="142"/>
        <w:rPr>
          <w:rFonts w:ascii="Arial" w:eastAsiaTheme="minorHAnsi" w:hAnsi="Arial" w:cs="Arial"/>
          <w:lang w:eastAsia="en-US"/>
        </w:rPr>
      </w:pPr>
      <w:r w:rsidRPr="00587DF1">
        <w:rPr>
          <w:rFonts w:ascii="Arial" w:eastAsiaTheme="minorHAnsi" w:hAnsi="Arial" w:cs="Arial"/>
          <w:lang w:eastAsia="en-US"/>
        </w:rPr>
        <w:t>Surgery</w:t>
      </w:r>
    </w:p>
    <w:p w14:paraId="6B7AD2B1" w14:textId="77777777" w:rsidR="004A7E6A" w:rsidRPr="00587DF1" w:rsidRDefault="004A7E6A" w:rsidP="005E0D57">
      <w:pPr>
        <w:pStyle w:val="ListParagraph"/>
        <w:numPr>
          <w:ilvl w:val="0"/>
          <w:numId w:val="27"/>
        </w:numPr>
        <w:spacing w:after="0" w:line="264" w:lineRule="auto"/>
        <w:ind w:right="142"/>
        <w:rPr>
          <w:rFonts w:ascii="Arial" w:eastAsiaTheme="minorHAnsi" w:hAnsi="Arial" w:cs="Arial"/>
          <w:lang w:eastAsia="en-US"/>
        </w:rPr>
      </w:pPr>
      <w:r w:rsidRPr="00587DF1">
        <w:rPr>
          <w:rFonts w:ascii="Arial" w:eastAsiaTheme="minorHAnsi" w:hAnsi="Arial" w:cs="Arial"/>
          <w:lang w:eastAsia="en-US"/>
        </w:rPr>
        <w:t>Outpatients, applied research, diagnostic and support services</w:t>
      </w:r>
    </w:p>
    <w:p w14:paraId="61F1D3A6" w14:textId="77777777" w:rsidR="004A7E6A" w:rsidRPr="00587DF1" w:rsidRDefault="004A7E6A" w:rsidP="004A7E6A">
      <w:pPr>
        <w:spacing w:after="0" w:line="264" w:lineRule="auto"/>
        <w:ind w:right="142"/>
        <w:rPr>
          <w:rFonts w:ascii="Arial" w:eastAsiaTheme="minorHAnsi" w:hAnsi="Arial" w:cs="Arial"/>
          <w:lang w:eastAsia="en-US"/>
        </w:rPr>
      </w:pPr>
    </w:p>
    <w:p w14:paraId="1551712E" w14:textId="77777777" w:rsidR="004A7E6A" w:rsidRPr="00587DF1" w:rsidRDefault="004A7E6A" w:rsidP="004A7E6A">
      <w:pPr>
        <w:spacing w:after="0" w:line="264" w:lineRule="auto"/>
        <w:ind w:right="142"/>
        <w:rPr>
          <w:rFonts w:ascii="Arial" w:eastAsiaTheme="minorHAnsi" w:hAnsi="Arial" w:cs="Arial"/>
          <w:lang w:eastAsia="en-US"/>
        </w:rPr>
      </w:pPr>
      <w:r w:rsidRPr="00587DF1">
        <w:rPr>
          <w:rFonts w:ascii="Arial" w:eastAsiaTheme="minorHAnsi" w:hAnsi="Arial" w:cs="Arial"/>
          <w:lang w:eastAsia="en-US"/>
        </w:rPr>
        <w:t>These were based on a number of core principles:</w:t>
      </w:r>
    </w:p>
    <w:p w14:paraId="706FBE6F" w14:textId="77777777" w:rsidR="004A7E6A" w:rsidRPr="00587DF1" w:rsidRDefault="004A7E6A" w:rsidP="004F4B79">
      <w:pPr>
        <w:pStyle w:val="ListParagraph"/>
        <w:numPr>
          <w:ilvl w:val="0"/>
          <w:numId w:val="150"/>
        </w:numPr>
        <w:spacing w:after="0" w:line="264" w:lineRule="auto"/>
        <w:ind w:right="142"/>
        <w:rPr>
          <w:rFonts w:ascii="Arial" w:eastAsiaTheme="minorHAnsi" w:hAnsi="Arial" w:cs="Arial"/>
          <w:b/>
          <w:bCs/>
          <w:u w:val="single"/>
          <w:lang w:eastAsia="en-US"/>
        </w:rPr>
      </w:pPr>
      <w:bookmarkStart w:id="230" w:name="_Hlk27140375"/>
      <w:r w:rsidRPr="00587DF1">
        <w:rPr>
          <w:rFonts w:ascii="Arial" w:eastAsiaTheme="minorHAnsi" w:hAnsi="Arial" w:cs="Arial"/>
          <w:b/>
          <w:bCs/>
          <w:u w:val="single"/>
          <w:lang w:eastAsia="en-US"/>
        </w:rPr>
        <w:t>Patient Experience</w:t>
      </w:r>
    </w:p>
    <w:p w14:paraId="09E9A888" w14:textId="772A2328" w:rsidR="004A7E6A" w:rsidRPr="00587DF1" w:rsidRDefault="004A7E6A" w:rsidP="005E0D57">
      <w:pPr>
        <w:pStyle w:val="ListParagraph"/>
        <w:numPr>
          <w:ilvl w:val="0"/>
          <w:numId w:val="29"/>
        </w:numPr>
        <w:spacing w:line="264" w:lineRule="auto"/>
        <w:ind w:right="142"/>
        <w:rPr>
          <w:rFonts w:ascii="Arial" w:eastAsiaTheme="minorHAnsi" w:hAnsi="Arial" w:cs="Arial"/>
          <w:lang w:eastAsia="en-US"/>
        </w:rPr>
      </w:pPr>
      <w:bookmarkStart w:id="231" w:name="_Hlk27140433"/>
      <w:r w:rsidRPr="00587DF1">
        <w:rPr>
          <w:rFonts w:ascii="Arial" w:eastAsiaTheme="minorHAnsi" w:hAnsi="Arial" w:cs="Arial"/>
          <w:b/>
          <w:bCs/>
          <w:lang w:eastAsia="en-US"/>
        </w:rPr>
        <w:t>Patient-centred</w:t>
      </w:r>
      <w:r w:rsidRPr="00587DF1">
        <w:rPr>
          <w:rFonts w:ascii="Arial" w:eastAsiaTheme="minorHAnsi" w:hAnsi="Arial" w:cs="Arial"/>
          <w:lang w:eastAsia="en-US"/>
        </w:rPr>
        <w:t>: users’ needs and perspective drive the design</w:t>
      </w:r>
      <w:r w:rsidR="0025490F">
        <w:rPr>
          <w:rFonts w:ascii="Arial" w:eastAsiaTheme="minorHAnsi" w:hAnsi="Arial" w:cs="Arial"/>
          <w:lang w:eastAsia="en-US"/>
        </w:rPr>
        <w:t>.</w:t>
      </w:r>
    </w:p>
    <w:bookmarkEnd w:id="231"/>
    <w:p w14:paraId="63F314CA" w14:textId="2693ACD2" w:rsidR="004A7E6A" w:rsidRPr="00587DF1" w:rsidRDefault="004A7E6A" w:rsidP="005E0D57">
      <w:pPr>
        <w:pStyle w:val="ListParagraph"/>
        <w:numPr>
          <w:ilvl w:val="0"/>
          <w:numId w:val="29"/>
        </w:numPr>
        <w:spacing w:line="264" w:lineRule="auto"/>
        <w:ind w:right="142"/>
        <w:rPr>
          <w:rFonts w:ascii="Arial" w:eastAsiaTheme="minorHAnsi" w:hAnsi="Arial" w:cs="Arial"/>
          <w:lang w:eastAsia="en-US"/>
        </w:rPr>
      </w:pPr>
      <w:r w:rsidRPr="00587DF1">
        <w:rPr>
          <w:rFonts w:ascii="Arial" w:eastAsiaTheme="minorHAnsi" w:hAnsi="Arial" w:cs="Arial"/>
          <w:b/>
          <w:bCs/>
          <w:lang w:eastAsia="en-US"/>
        </w:rPr>
        <w:t>Personalised care</w:t>
      </w:r>
      <w:r w:rsidRPr="00587DF1">
        <w:rPr>
          <w:rFonts w:ascii="Arial" w:eastAsiaTheme="minorHAnsi" w:hAnsi="Arial" w:cs="Arial"/>
          <w:lang w:eastAsia="en-US"/>
        </w:rPr>
        <w:t>: we provide patients with different levels of reassurance</w:t>
      </w:r>
      <w:r w:rsidR="00957E58" w:rsidRPr="00587DF1">
        <w:rPr>
          <w:rFonts w:ascii="Arial" w:eastAsiaTheme="minorHAnsi" w:hAnsi="Arial" w:cs="Arial"/>
          <w:lang w:eastAsia="en-US"/>
        </w:rPr>
        <w:t xml:space="preserve"> </w:t>
      </w:r>
      <w:r w:rsidRPr="00587DF1">
        <w:rPr>
          <w:rFonts w:ascii="Arial" w:eastAsiaTheme="minorHAnsi" w:hAnsi="Arial" w:cs="Arial"/>
          <w:lang w:eastAsia="en-US"/>
        </w:rPr>
        <w:t>and reminders to improve their experience; we provide additional and appropriate support to vulnerable patients</w:t>
      </w:r>
      <w:r w:rsidR="0025490F">
        <w:rPr>
          <w:rFonts w:ascii="Arial" w:eastAsiaTheme="minorHAnsi" w:hAnsi="Arial" w:cs="Arial"/>
          <w:lang w:eastAsia="en-US"/>
        </w:rPr>
        <w:t>.</w:t>
      </w:r>
    </w:p>
    <w:p w14:paraId="7F7169BD" w14:textId="2D82D07F" w:rsidR="004A7E6A" w:rsidRPr="00587DF1" w:rsidRDefault="004A7E6A" w:rsidP="005E0D57">
      <w:pPr>
        <w:pStyle w:val="ListParagraph"/>
        <w:numPr>
          <w:ilvl w:val="0"/>
          <w:numId w:val="29"/>
        </w:numPr>
        <w:spacing w:line="264" w:lineRule="auto"/>
        <w:ind w:right="142"/>
        <w:rPr>
          <w:rFonts w:ascii="Arial" w:eastAsiaTheme="minorHAnsi" w:hAnsi="Arial" w:cs="Arial"/>
          <w:lang w:eastAsia="en-US"/>
        </w:rPr>
      </w:pPr>
      <w:r w:rsidRPr="00587DF1">
        <w:rPr>
          <w:rFonts w:ascii="Arial" w:eastAsiaTheme="minorHAnsi" w:hAnsi="Arial" w:cs="Arial"/>
          <w:b/>
          <w:bCs/>
          <w:lang w:eastAsia="en-US"/>
        </w:rPr>
        <w:t>Empowered patients</w:t>
      </w:r>
      <w:r w:rsidRPr="00587DF1">
        <w:rPr>
          <w:rFonts w:ascii="Arial" w:eastAsiaTheme="minorHAnsi" w:hAnsi="Arial" w:cs="Arial"/>
          <w:lang w:eastAsia="en-US"/>
        </w:rPr>
        <w:t xml:space="preserve">: we proactively educate patients and support </w:t>
      </w:r>
      <w:r w:rsidR="00957E58" w:rsidRPr="00587DF1">
        <w:rPr>
          <w:rFonts w:ascii="Arial" w:eastAsiaTheme="minorHAnsi" w:hAnsi="Arial" w:cs="Arial"/>
          <w:lang w:eastAsia="en-US"/>
        </w:rPr>
        <w:t>s</w:t>
      </w:r>
      <w:r w:rsidRPr="00587DF1">
        <w:rPr>
          <w:rFonts w:ascii="Arial" w:eastAsiaTheme="minorHAnsi" w:hAnsi="Arial" w:cs="Arial"/>
          <w:lang w:eastAsia="en-US"/>
        </w:rPr>
        <w:t>elf-care</w:t>
      </w:r>
      <w:r w:rsidR="0025490F">
        <w:rPr>
          <w:rFonts w:ascii="Arial" w:eastAsiaTheme="minorHAnsi" w:hAnsi="Arial" w:cs="Arial"/>
          <w:lang w:eastAsia="en-US"/>
        </w:rPr>
        <w:t>.</w:t>
      </w:r>
    </w:p>
    <w:p w14:paraId="3CF26821" w14:textId="0E856025" w:rsidR="004A7E6A" w:rsidRPr="00587DF1" w:rsidRDefault="004A7E6A" w:rsidP="005E0D57">
      <w:pPr>
        <w:pStyle w:val="ListParagraph"/>
        <w:numPr>
          <w:ilvl w:val="0"/>
          <w:numId w:val="29"/>
        </w:numPr>
        <w:spacing w:line="264" w:lineRule="auto"/>
        <w:ind w:right="142"/>
        <w:rPr>
          <w:rFonts w:ascii="Arial" w:eastAsiaTheme="minorHAnsi" w:hAnsi="Arial" w:cs="Arial"/>
          <w:lang w:eastAsia="en-US"/>
        </w:rPr>
      </w:pPr>
      <w:r w:rsidRPr="00587DF1">
        <w:rPr>
          <w:rFonts w:ascii="Arial" w:eastAsiaTheme="minorHAnsi" w:hAnsi="Arial" w:cs="Arial"/>
          <w:b/>
          <w:bCs/>
          <w:lang w:eastAsia="en-US"/>
        </w:rPr>
        <w:t>Research driven</w:t>
      </w:r>
      <w:r w:rsidRPr="00587DF1">
        <w:rPr>
          <w:rFonts w:ascii="Arial" w:eastAsiaTheme="minorHAnsi" w:hAnsi="Arial" w:cs="Arial"/>
          <w:lang w:eastAsia="en-US"/>
        </w:rPr>
        <w:t>: we consider all patients as potential research candidates</w:t>
      </w:r>
      <w:r w:rsidR="0025490F">
        <w:rPr>
          <w:rFonts w:ascii="Arial" w:eastAsiaTheme="minorHAnsi" w:hAnsi="Arial" w:cs="Arial"/>
          <w:lang w:eastAsia="en-US"/>
        </w:rPr>
        <w:t>.</w:t>
      </w:r>
    </w:p>
    <w:p w14:paraId="3A918631" w14:textId="2DC63446" w:rsidR="004A7E6A" w:rsidRPr="00587DF1" w:rsidRDefault="004A7E6A" w:rsidP="005E0D57">
      <w:pPr>
        <w:pStyle w:val="ListParagraph"/>
        <w:numPr>
          <w:ilvl w:val="0"/>
          <w:numId w:val="29"/>
        </w:numPr>
        <w:spacing w:line="264" w:lineRule="auto"/>
        <w:ind w:right="142"/>
        <w:rPr>
          <w:rFonts w:ascii="Arial" w:eastAsiaTheme="minorHAnsi" w:hAnsi="Arial" w:cs="Arial"/>
          <w:lang w:eastAsia="en-US"/>
        </w:rPr>
      </w:pPr>
      <w:r w:rsidRPr="00587DF1">
        <w:rPr>
          <w:rFonts w:ascii="Arial" w:eastAsiaTheme="minorHAnsi" w:hAnsi="Arial" w:cs="Arial"/>
          <w:b/>
          <w:bCs/>
          <w:lang w:eastAsia="en-US"/>
        </w:rPr>
        <w:t>Great communication</w:t>
      </w:r>
      <w:r w:rsidRPr="00587DF1">
        <w:rPr>
          <w:rFonts w:ascii="Arial" w:eastAsiaTheme="minorHAnsi" w:hAnsi="Arial" w:cs="Arial"/>
          <w:lang w:eastAsia="en-US"/>
        </w:rPr>
        <w:t>: we communicate clearly with patients both face to face and virtually, and improve how they can communicate to us</w:t>
      </w:r>
      <w:r w:rsidR="0025490F">
        <w:rPr>
          <w:rFonts w:ascii="Arial" w:eastAsiaTheme="minorHAnsi" w:hAnsi="Arial" w:cs="Arial"/>
          <w:lang w:eastAsia="en-US"/>
        </w:rPr>
        <w:t>.</w:t>
      </w:r>
    </w:p>
    <w:p w14:paraId="7BD5D539" w14:textId="77777777" w:rsidR="004A7E6A" w:rsidRPr="00587DF1" w:rsidRDefault="004A7E6A" w:rsidP="004F4B79">
      <w:pPr>
        <w:pStyle w:val="ListParagraph"/>
        <w:numPr>
          <w:ilvl w:val="0"/>
          <w:numId w:val="150"/>
        </w:numPr>
        <w:spacing w:after="0" w:line="264" w:lineRule="auto"/>
        <w:ind w:right="142"/>
        <w:rPr>
          <w:rFonts w:ascii="Arial" w:eastAsiaTheme="minorHAnsi" w:hAnsi="Arial" w:cs="Arial"/>
          <w:b/>
          <w:bCs/>
          <w:u w:val="single"/>
          <w:lang w:eastAsia="en-US"/>
        </w:rPr>
      </w:pPr>
      <w:r w:rsidRPr="00587DF1">
        <w:rPr>
          <w:rFonts w:ascii="Arial" w:eastAsiaTheme="minorHAnsi" w:hAnsi="Arial" w:cs="Arial"/>
          <w:b/>
          <w:bCs/>
          <w:u w:val="single"/>
          <w:lang w:eastAsia="en-US"/>
        </w:rPr>
        <w:t>Workforce</w:t>
      </w:r>
    </w:p>
    <w:p w14:paraId="5561DA3A" w14:textId="77EF3539" w:rsidR="004A7E6A" w:rsidRPr="00587DF1" w:rsidRDefault="004A7E6A" w:rsidP="005E0D57">
      <w:pPr>
        <w:pStyle w:val="ListParagraph"/>
        <w:numPr>
          <w:ilvl w:val="0"/>
          <w:numId w:val="29"/>
        </w:numPr>
        <w:spacing w:line="264" w:lineRule="auto"/>
        <w:ind w:right="142"/>
        <w:rPr>
          <w:rFonts w:ascii="Arial" w:eastAsiaTheme="minorHAnsi" w:hAnsi="Arial" w:cs="Arial"/>
          <w:lang w:eastAsia="en-US"/>
        </w:rPr>
      </w:pPr>
      <w:r w:rsidRPr="00587DF1">
        <w:rPr>
          <w:rFonts w:ascii="Arial" w:eastAsiaTheme="minorHAnsi" w:hAnsi="Arial" w:cs="Arial"/>
          <w:b/>
          <w:bCs/>
          <w:lang w:eastAsia="en-US"/>
        </w:rPr>
        <w:t>Flexible deployment</w:t>
      </w:r>
      <w:r w:rsidRPr="00587DF1">
        <w:rPr>
          <w:rFonts w:ascii="Arial" w:eastAsiaTheme="minorHAnsi" w:hAnsi="Arial" w:cs="Arial"/>
          <w:lang w:eastAsia="en-US"/>
        </w:rPr>
        <w:t>: staff roles and tasks challenge traditional hierarchies and provide opportunities to take greater responsibility</w:t>
      </w:r>
      <w:r w:rsidR="0025490F">
        <w:rPr>
          <w:rFonts w:ascii="Arial" w:eastAsiaTheme="minorHAnsi" w:hAnsi="Arial" w:cs="Arial"/>
          <w:lang w:eastAsia="en-US"/>
        </w:rPr>
        <w:t>.</w:t>
      </w:r>
    </w:p>
    <w:p w14:paraId="25FDB9EA" w14:textId="2ED9B7FB" w:rsidR="004A7E6A" w:rsidRPr="00587DF1" w:rsidRDefault="004A7E6A" w:rsidP="005E0D57">
      <w:pPr>
        <w:pStyle w:val="ListParagraph"/>
        <w:numPr>
          <w:ilvl w:val="0"/>
          <w:numId w:val="29"/>
        </w:numPr>
        <w:spacing w:line="264" w:lineRule="auto"/>
        <w:ind w:right="142"/>
        <w:rPr>
          <w:rFonts w:ascii="Arial" w:eastAsiaTheme="minorHAnsi" w:hAnsi="Arial" w:cs="Arial"/>
          <w:lang w:eastAsia="en-US"/>
        </w:rPr>
      </w:pPr>
      <w:r w:rsidRPr="00587DF1">
        <w:rPr>
          <w:rFonts w:ascii="Arial" w:eastAsiaTheme="minorHAnsi" w:hAnsi="Arial" w:cs="Arial"/>
          <w:b/>
          <w:bCs/>
          <w:lang w:eastAsia="en-US"/>
        </w:rPr>
        <w:t>Growth and learning</w:t>
      </w:r>
      <w:r w:rsidRPr="00587DF1">
        <w:rPr>
          <w:rFonts w:ascii="Arial" w:eastAsiaTheme="minorHAnsi" w:hAnsi="Arial" w:cs="Arial"/>
          <w:lang w:eastAsia="en-US"/>
        </w:rPr>
        <w:t>: we encourage continuous development of our teams</w:t>
      </w:r>
      <w:r w:rsidR="0025490F">
        <w:rPr>
          <w:rFonts w:ascii="Arial" w:eastAsiaTheme="minorHAnsi" w:hAnsi="Arial" w:cs="Arial"/>
          <w:lang w:eastAsia="en-US"/>
        </w:rPr>
        <w:t>.</w:t>
      </w:r>
    </w:p>
    <w:p w14:paraId="11D20D7E" w14:textId="7173DDCA" w:rsidR="004A7E6A" w:rsidRPr="00587DF1" w:rsidRDefault="004A7E6A" w:rsidP="005E0D57">
      <w:pPr>
        <w:pStyle w:val="ListParagraph"/>
        <w:numPr>
          <w:ilvl w:val="0"/>
          <w:numId w:val="29"/>
        </w:numPr>
        <w:spacing w:line="264" w:lineRule="auto"/>
        <w:ind w:right="142"/>
        <w:rPr>
          <w:rFonts w:ascii="Arial" w:eastAsiaTheme="minorHAnsi" w:hAnsi="Arial" w:cs="Arial"/>
          <w:lang w:eastAsia="en-US"/>
        </w:rPr>
      </w:pPr>
      <w:r w:rsidRPr="00587DF1">
        <w:rPr>
          <w:rFonts w:ascii="Arial" w:eastAsiaTheme="minorHAnsi" w:hAnsi="Arial" w:cs="Arial"/>
          <w:b/>
          <w:bCs/>
          <w:lang w:eastAsia="en-US"/>
        </w:rPr>
        <w:t>Supporting career development</w:t>
      </w:r>
      <w:r w:rsidRPr="00587DF1">
        <w:rPr>
          <w:rFonts w:ascii="Arial" w:eastAsiaTheme="minorHAnsi" w:hAnsi="Arial" w:cs="Arial"/>
          <w:lang w:eastAsia="en-US"/>
        </w:rPr>
        <w:t>: we create desirable roles and career pathways, through meaningful work experiences and appropriate education</w:t>
      </w:r>
      <w:r w:rsidR="0025490F">
        <w:rPr>
          <w:rFonts w:ascii="Arial" w:eastAsiaTheme="minorHAnsi" w:hAnsi="Arial" w:cs="Arial"/>
          <w:lang w:eastAsia="en-US"/>
        </w:rPr>
        <w:t>.</w:t>
      </w:r>
    </w:p>
    <w:p w14:paraId="425C5930" w14:textId="051084C6" w:rsidR="004A7E6A" w:rsidRPr="00587DF1" w:rsidRDefault="004A7E6A" w:rsidP="005E0D57">
      <w:pPr>
        <w:pStyle w:val="ListParagraph"/>
        <w:numPr>
          <w:ilvl w:val="0"/>
          <w:numId w:val="29"/>
        </w:numPr>
        <w:spacing w:line="264" w:lineRule="auto"/>
        <w:ind w:right="142"/>
        <w:rPr>
          <w:rFonts w:ascii="Arial" w:eastAsiaTheme="minorHAnsi" w:hAnsi="Arial" w:cs="Arial"/>
          <w:lang w:eastAsia="en-US"/>
        </w:rPr>
      </w:pPr>
      <w:r w:rsidRPr="00587DF1">
        <w:rPr>
          <w:rFonts w:ascii="Arial" w:eastAsiaTheme="minorHAnsi" w:hAnsi="Arial" w:cs="Arial"/>
          <w:b/>
          <w:bCs/>
          <w:lang w:eastAsia="en-US"/>
        </w:rPr>
        <w:t>Supporting wider workforce</w:t>
      </w:r>
      <w:r w:rsidRPr="00587DF1">
        <w:rPr>
          <w:rFonts w:ascii="Arial" w:eastAsiaTheme="minorHAnsi" w:hAnsi="Arial" w:cs="Arial"/>
          <w:lang w:eastAsia="en-US"/>
        </w:rPr>
        <w:t>: we recognise the value of community staff and contribute to their upskilling</w:t>
      </w:r>
      <w:r w:rsidR="0025490F">
        <w:rPr>
          <w:rFonts w:ascii="Arial" w:eastAsiaTheme="minorHAnsi" w:hAnsi="Arial" w:cs="Arial"/>
          <w:lang w:eastAsia="en-US"/>
        </w:rPr>
        <w:t>.</w:t>
      </w:r>
    </w:p>
    <w:p w14:paraId="6BD66C0A" w14:textId="77777777" w:rsidR="004A7E6A" w:rsidRPr="00587DF1" w:rsidRDefault="004A7E6A" w:rsidP="004F4B79">
      <w:pPr>
        <w:pStyle w:val="ListParagraph"/>
        <w:numPr>
          <w:ilvl w:val="0"/>
          <w:numId w:val="150"/>
        </w:numPr>
        <w:spacing w:after="0" w:line="264" w:lineRule="auto"/>
        <w:ind w:right="142"/>
        <w:rPr>
          <w:rFonts w:ascii="Arial" w:eastAsiaTheme="minorHAnsi" w:hAnsi="Arial" w:cs="Arial"/>
          <w:b/>
          <w:bCs/>
          <w:u w:val="single"/>
          <w:lang w:eastAsia="en-US"/>
        </w:rPr>
      </w:pPr>
      <w:r w:rsidRPr="00587DF1">
        <w:rPr>
          <w:rFonts w:ascii="Arial" w:eastAsiaTheme="minorHAnsi" w:hAnsi="Arial" w:cs="Arial"/>
          <w:b/>
          <w:bCs/>
          <w:u w:val="single"/>
          <w:lang w:eastAsia="en-US"/>
        </w:rPr>
        <w:t>Care delivery</w:t>
      </w:r>
    </w:p>
    <w:p w14:paraId="1BFBA12A" w14:textId="65C2531B" w:rsidR="004A7E6A" w:rsidRPr="00587DF1" w:rsidRDefault="004A7E6A" w:rsidP="005E0D57">
      <w:pPr>
        <w:pStyle w:val="ListParagraph"/>
        <w:numPr>
          <w:ilvl w:val="0"/>
          <w:numId w:val="29"/>
        </w:numPr>
        <w:spacing w:line="264" w:lineRule="auto"/>
        <w:ind w:right="142"/>
        <w:rPr>
          <w:rFonts w:ascii="Arial" w:eastAsiaTheme="minorHAnsi" w:hAnsi="Arial" w:cs="Arial"/>
          <w:lang w:eastAsia="en-US"/>
        </w:rPr>
      </w:pPr>
      <w:r w:rsidRPr="00587DF1">
        <w:rPr>
          <w:rFonts w:ascii="Arial" w:eastAsiaTheme="minorHAnsi" w:hAnsi="Arial" w:cs="Arial"/>
          <w:b/>
          <w:bCs/>
          <w:lang w:eastAsia="en-US"/>
        </w:rPr>
        <w:t>Diagnostics first</w:t>
      </w:r>
      <w:r w:rsidRPr="00587DF1">
        <w:rPr>
          <w:rFonts w:ascii="Arial" w:eastAsiaTheme="minorHAnsi" w:hAnsi="Arial" w:cs="Arial"/>
          <w:lang w:eastAsia="en-US"/>
        </w:rPr>
        <w:t>: we streamline patients through diagnostics and imaging</w:t>
      </w:r>
      <w:r w:rsidR="0025490F">
        <w:rPr>
          <w:rFonts w:ascii="Arial" w:eastAsiaTheme="minorHAnsi" w:hAnsi="Arial" w:cs="Arial"/>
          <w:lang w:eastAsia="en-US"/>
        </w:rPr>
        <w:t>.</w:t>
      </w:r>
    </w:p>
    <w:p w14:paraId="1F628088" w14:textId="6AFB0EF8" w:rsidR="004A7E6A" w:rsidRPr="00587DF1" w:rsidRDefault="004A7E6A" w:rsidP="005E0D57">
      <w:pPr>
        <w:pStyle w:val="ListParagraph"/>
        <w:numPr>
          <w:ilvl w:val="0"/>
          <w:numId w:val="29"/>
        </w:numPr>
        <w:spacing w:line="264" w:lineRule="auto"/>
        <w:ind w:right="142"/>
        <w:rPr>
          <w:rFonts w:ascii="Arial" w:eastAsiaTheme="minorHAnsi" w:hAnsi="Arial" w:cs="Arial"/>
          <w:lang w:eastAsia="en-US"/>
        </w:rPr>
      </w:pPr>
      <w:r w:rsidRPr="00587DF1">
        <w:rPr>
          <w:rFonts w:ascii="Arial" w:eastAsiaTheme="minorHAnsi" w:hAnsi="Arial" w:cs="Arial"/>
          <w:b/>
          <w:bCs/>
          <w:lang w:eastAsia="en-US"/>
        </w:rPr>
        <w:t>Standard bundles</w:t>
      </w:r>
      <w:r w:rsidRPr="00587DF1">
        <w:rPr>
          <w:rFonts w:ascii="Arial" w:eastAsiaTheme="minorHAnsi" w:hAnsi="Arial" w:cs="Arial"/>
          <w:lang w:eastAsia="en-US"/>
        </w:rPr>
        <w:t>: we standardise diagnostic bundles, medication packages and approaches for routine pathways</w:t>
      </w:r>
      <w:r w:rsidR="0025490F">
        <w:rPr>
          <w:rFonts w:ascii="Arial" w:eastAsiaTheme="minorHAnsi" w:hAnsi="Arial" w:cs="Arial"/>
          <w:lang w:eastAsia="en-US"/>
        </w:rPr>
        <w:t>.</w:t>
      </w:r>
    </w:p>
    <w:p w14:paraId="20E9A4B2" w14:textId="3C7A29F8" w:rsidR="004A7E6A" w:rsidRPr="00587DF1" w:rsidRDefault="004A7E6A" w:rsidP="005E0D57">
      <w:pPr>
        <w:pStyle w:val="ListParagraph"/>
        <w:numPr>
          <w:ilvl w:val="0"/>
          <w:numId w:val="29"/>
        </w:numPr>
        <w:spacing w:line="264" w:lineRule="auto"/>
        <w:ind w:right="142"/>
        <w:rPr>
          <w:rFonts w:ascii="Arial" w:eastAsiaTheme="minorHAnsi" w:hAnsi="Arial" w:cs="Arial"/>
          <w:lang w:eastAsia="en-US"/>
        </w:rPr>
      </w:pPr>
      <w:r w:rsidRPr="00587DF1">
        <w:rPr>
          <w:rFonts w:ascii="Arial" w:eastAsiaTheme="minorHAnsi" w:hAnsi="Arial" w:cs="Arial"/>
          <w:b/>
          <w:bCs/>
          <w:lang w:eastAsia="en-US"/>
        </w:rPr>
        <w:t>Smart stratification</w:t>
      </w:r>
      <w:r w:rsidRPr="00587DF1">
        <w:rPr>
          <w:rFonts w:ascii="Arial" w:eastAsiaTheme="minorHAnsi" w:hAnsi="Arial" w:cs="Arial"/>
          <w:lang w:eastAsia="en-US"/>
        </w:rPr>
        <w:t>: we use data to stratify patients into pathways, bundles and research opportunities</w:t>
      </w:r>
      <w:r w:rsidR="0025490F">
        <w:rPr>
          <w:rFonts w:ascii="Arial" w:eastAsiaTheme="minorHAnsi" w:hAnsi="Arial" w:cs="Arial"/>
          <w:lang w:eastAsia="en-US"/>
        </w:rPr>
        <w:t>.</w:t>
      </w:r>
    </w:p>
    <w:p w14:paraId="3E5FF87C" w14:textId="49218D05" w:rsidR="004A7E6A" w:rsidRPr="00587DF1" w:rsidRDefault="004A7E6A" w:rsidP="005E0D57">
      <w:pPr>
        <w:pStyle w:val="ListParagraph"/>
        <w:numPr>
          <w:ilvl w:val="0"/>
          <w:numId w:val="29"/>
        </w:numPr>
        <w:spacing w:line="264" w:lineRule="auto"/>
        <w:ind w:right="142"/>
        <w:rPr>
          <w:rFonts w:ascii="Arial" w:eastAsiaTheme="minorHAnsi" w:hAnsi="Arial" w:cs="Arial"/>
          <w:lang w:eastAsia="en-US"/>
        </w:rPr>
      </w:pPr>
      <w:r w:rsidRPr="00587DF1">
        <w:rPr>
          <w:rFonts w:ascii="Arial" w:eastAsiaTheme="minorHAnsi" w:hAnsi="Arial" w:cs="Arial"/>
          <w:b/>
          <w:bCs/>
          <w:lang w:eastAsia="en-US"/>
        </w:rPr>
        <w:t xml:space="preserve">We use technology </w:t>
      </w:r>
      <w:r w:rsidRPr="00587DF1">
        <w:rPr>
          <w:rFonts w:ascii="Arial" w:eastAsiaTheme="minorHAnsi" w:hAnsi="Arial" w:cs="Arial"/>
          <w:lang w:eastAsia="en-US"/>
        </w:rPr>
        <w:t xml:space="preserve">wherever possible, and foster partnerships with community providers to provide seamless care across </w:t>
      </w:r>
      <w:r w:rsidR="00D76672">
        <w:rPr>
          <w:rFonts w:ascii="Arial" w:eastAsiaTheme="minorHAnsi" w:hAnsi="Arial" w:cs="Arial"/>
          <w:lang w:eastAsia="en-US"/>
        </w:rPr>
        <w:t>acute</w:t>
      </w:r>
      <w:r w:rsidRPr="00587DF1">
        <w:rPr>
          <w:rFonts w:ascii="Arial" w:eastAsiaTheme="minorHAnsi" w:hAnsi="Arial" w:cs="Arial"/>
          <w:lang w:eastAsia="en-US"/>
        </w:rPr>
        <w:t xml:space="preserve"> and community settings</w:t>
      </w:r>
      <w:r w:rsidR="0025490F">
        <w:rPr>
          <w:rFonts w:ascii="Arial" w:eastAsiaTheme="minorHAnsi" w:hAnsi="Arial" w:cs="Arial"/>
          <w:lang w:eastAsia="en-US"/>
        </w:rPr>
        <w:t>.</w:t>
      </w:r>
    </w:p>
    <w:p w14:paraId="02CC9341" w14:textId="6100409D" w:rsidR="004A7E6A" w:rsidRPr="00587DF1" w:rsidRDefault="004A7E6A" w:rsidP="005E0D57">
      <w:pPr>
        <w:pStyle w:val="ListParagraph"/>
        <w:numPr>
          <w:ilvl w:val="0"/>
          <w:numId w:val="29"/>
        </w:numPr>
        <w:spacing w:line="264" w:lineRule="auto"/>
        <w:ind w:right="142"/>
        <w:rPr>
          <w:rFonts w:ascii="Arial" w:eastAsiaTheme="minorHAnsi" w:hAnsi="Arial" w:cs="Arial"/>
          <w:lang w:eastAsia="en-US"/>
        </w:rPr>
      </w:pPr>
      <w:r w:rsidRPr="00587DF1">
        <w:rPr>
          <w:rFonts w:ascii="Arial" w:eastAsiaTheme="minorHAnsi" w:hAnsi="Arial" w:cs="Arial"/>
          <w:b/>
          <w:bCs/>
          <w:lang w:eastAsia="en-US"/>
        </w:rPr>
        <w:t>Effective referral standards</w:t>
      </w:r>
      <w:r w:rsidRPr="00587DF1">
        <w:rPr>
          <w:rFonts w:ascii="Arial" w:eastAsiaTheme="minorHAnsi" w:hAnsi="Arial" w:cs="Arial"/>
          <w:lang w:eastAsia="en-US"/>
        </w:rPr>
        <w:t>: we make it easy for referrers to provide comprehensive information and enforce tighter referral standards</w:t>
      </w:r>
      <w:r w:rsidR="0025490F">
        <w:rPr>
          <w:rFonts w:ascii="Arial" w:eastAsiaTheme="minorHAnsi" w:hAnsi="Arial" w:cs="Arial"/>
          <w:lang w:eastAsia="en-US"/>
        </w:rPr>
        <w:t>.</w:t>
      </w:r>
    </w:p>
    <w:p w14:paraId="7D39CECB" w14:textId="77777777" w:rsidR="004A7E6A" w:rsidRPr="00587DF1" w:rsidRDefault="004A7E6A" w:rsidP="004F4B79">
      <w:pPr>
        <w:pStyle w:val="ListParagraph"/>
        <w:numPr>
          <w:ilvl w:val="0"/>
          <w:numId w:val="150"/>
        </w:numPr>
        <w:spacing w:after="0" w:line="264" w:lineRule="auto"/>
        <w:ind w:right="142"/>
        <w:rPr>
          <w:rFonts w:ascii="Arial" w:eastAsiaTheme="minorHAnsi" w:hAnsi="Arial" w:cs="Arial"/>
          <w:b/>
          <w:bCs/>
          <w:u w:val="single"/>
          <w:lang w:eastAsia="en-US"/>
        </w:rPr>
      </w:pPr>
      <w:r w:rsidRPr="00587DF1">
        <w:rPr>
          <w:rFonts w:ascii="Arial" w:eastAsiaTheme="minorHAnsi" w:hAnsi="Arial" w:cs="Arial"/>
          <w:b/>
          <w:bCs/>
          <w:u w:val="single"/>
          <w:lang w:eastAsia="en-US"/>
        </w:rPr>
        <w:t>Supporting infrastructure</w:t>
      </w:r>
    </w:p>
    <w:p w14:paraId="2DBF4C11" w14:textId="76A45CB5" w:rsidR="004A7E6A" w:rsidRPr="00587DF1" w:rsidRDefault="004A7E6A" w:rsidP="005E0D57">
      <w:pPr>
        <w:pStyle w:val="ListParagraph"/>
        <w:numPr>
          <w:ilvl w:val="0"/>
          <w:numId w:val="29"/>
        </w:numPr>
        <w:pBdr>
          <w:top w:val="nil"/>
          <w:left w:val="nil"/>
          <w:bottom w:val="nil"/>
          <w:right w:val="nil"/>
          <w:between w:val="nil"/>
        </w:pBdr>
        <w:tabs>
          <w:tab w:val="left" w:pos="567"/>
        </w:tabs>
        <w:rPr>
          <w:rFonts w:ascii="Arial" w:eastAsia="Arial" w:hAnsi="Arial" w:cs="Arial"/>
          <w:bCs/>
          <w:color w:val="000000"/>
        </w:rPr>
      </w:pPr>
      <w:r w:rsidRPr="00587DF1">
        <w:rPr>
          <w:rFonts w:ascii="Arial" w:eastAsiaTheme="minorHAnsi" w:hAnsi="Arial" w:cs="Arial"/>
          <w:b/>
          <w:bCs/>
          <w:lang w:eastAsia="en-US"/>
        </w:rPr>
        <w:t>Increased automation</w:t>
      </w:r>
      <w:r w:rsidRPr="00587DF1">
        <w:rPr>
          <w:rFonts w:ascii="Arial" w:eastAsia="Arial" w:hAnsi="Arial" w:cs="Arial"/>
          <w:bCs/>
          <w:color w:val="000000"/>
        </w:rPr>
        <w:t>: we use high levels of technological automation to deliver quality care</w:t>
      </w:r>
      <w:r w:rsidR="0025490F">
        <w:rPr>
          <w:rFonts w:ascii="Arial" w:eastAsia="Arial" w:hAnsi="Arial" w:cs="Arial"/>
          <w:bCs/>
          <w:color w:val="000000"/>
        </w:rPr>
        <w:t>.</w:t>
      </w:r>
    </w:p>
    <w:p w14:paraId="1ED5FE92" w14:textId="1A858165" w:rsidR="004A7E6A" w:rsidRPr="00587DF1" w:rsidRDefault="004A7E6A" w:rsidP="005E0D57">
      <w:pPr>
        <w:pStyle w:val="ListParagraph"/>
        <w:numPr>
          <w:ilvl w:val="0"/>
          <w:numId w:val="29"/>
        </w:numPr>
        <w:pBdr>
          <w:top w:val="nil"/>
          <w:left w:val="nil"/>
          <w:bottom w:val="nil"/>
          <w:right w:val="nil"/>
          <w:between w:val="nil"/>
        </w:pBdr>
        <w:tabs>
          <w:tab w:val="left" w:pos="567"/>
        </w:tabs>
        <w:rPr>
          <w:rFonts w:ascii="Arial" w:eastAsia="Arial" w:hAnsi="Arial" w:cs="Arial"/>
          <w:bCs/>
          <w:color w:val="000000"/>
        </w:rPr>
      </w:pPr>
      <w:r w:rsidRPr="00587DF1">
        <w:rPr>
          <w:rFonts w:ascii="Arial" w:eastAsiaTheme="minorHAnsi" w:hAnsi="Arial" w:cs="Arial"/>
          <w:b/>
          <w:bCs/>
          <w:lang w:eastAsia="en-US"/>
        </w:rPr>
        <w:t>Paperless</w:t>
      </w:r>
      <w:r w:rsidRPr="00587DF1">
        <w:rPr>
          <w:rFonts w:ascii="Arial" w:eastAsia="Arial" w:hAnsi="Arial" w:cs="Arial"/>
          <w:b/>
          <w:bCs/>
          <w:color w:val="000000"/>
        </w:rPr>
        <w:t xml:space="preserve">: </w:t>
      </w:r>
      <w:r w:rsidRPr="00587DF1">
        <w:rPr>
          <w:rFonts w:ascii="Arial" w:eastAsia="Arial" w:hAnsi="Arial" w:cs="Arial"/>
          <w:bCs/>
          <w:color w:val="000000"/>
        </w:rPr>
        <w:t>we improve data capabilities and reduce reliance on clerical administration</w:t>
      </w:r>
      <w:r w:rsidR="0025490F">
        <w:rPr>
          <w:rFonts w:ascii="Arial" w:eastAsia="Arial" w:hAnsi="Arial" w:cs="Arial"/>
          <w:bCs/>
          <w:color w:val="000000"/>
        </w:rPr>
        <w:t>.</w:t>
      </w:r>
    </w:p>
    <w:p w14:paraId="1293EB14" w14:textId="0EC1BA10" w:rsidR="004A7E6A" w:rsidRPr="00587DF1" w:rsidRDefault="004A7E6A" w:rsidP="005E0D57">
      <w:pPr>
        <w:pStyle w:val="ListParagraph"/>
        <w:numPr>
          <w:ilvl w:val="0"/>
          <w:numId w:val="29"/>
        </w:numPr>
        <w:pBdr>
          <w:top w:val="nil"/>
          <w:left w:val="nil"/>
          <w:bottom w:val="nil"/>
          <w:right w:val="nil"/>
          <w:between w:val="nil"/>
        </w:pBdr>
        <w:tabs>
          <w:tab w:val="left" w:pos="567"/>
        </w:tabs>
        <w:rPr>
          <w:rFonts w:ascii="Arial" w:eastAsia="Arial" w:hAnsi="Arial" w:cs="Arial"/>
          <w:bCs/>
          <w:color w:val="000000"/>
        </w:rPr>
      </w:pPr>
      <w:r w:rsidRPr="00587DF1">
        <w:rPr>
          <w:rFonts w:ascii="Arial" w:eastAsiaTheme="minorHAnsi" w:hAnsi="Arial" w:cs="Arial"/>
          <w:b/>
          <w:bCs/>
          <w:lang w:eastAsia="en-US"/>
        </w:rPr>
        <w:t>Flexible spaces</w:t>
      </w:r>
      <w:r w:rsidRPr="00587DF1">
        <w:rPr>
          <w:rFonts w:ascii="Arial" w:eastAsia="Arial" w:hAnsi="Arial" w:cs="Arial"/>
          <w:bCs/>
          <w:color w:val="000000"/>
        </w:rPr>
        <w:t>: we design and use spaces flexibly to future proof our ability to deliver services</w:t>
      </w:r>
      <w:r w:rsidR="0025490F">
        <w:rPr>
          <w:rFonts w:ascii="Arial" w:eastAsia="Arial" w:hAnsi="Arial" w:cs="Arial"/>
          <w:bCs/>
          <w:color w:val="000000"/>
        </w:rPr>
        <w:t>.</w:t>
      </w:r>
    </w:p>
    <w:p w14:paraId="4FAE0F0B" w14:textId="390BBE65" w:rsidR="004A7E6A" w:rsidRPr="00587DF1" w:rsidRDefault="004A7E6A" w:rsidP="005E0D57">
      <w:pPr>
        <w:pStyle w:val="ListParagraph"/>
        <w:numPr>
          <w:ilvl w:val="0"/>
          <w:numId w:val="29"/>
        </w:numPr>
        <w:pBdr>
          <w:top w:val="nil"/>
          <w:left w:val="nil"/>
          <w:bottom w:val="nil"/>
          <w:right w:val="nil"/>
          <w:between w:val="nil"/>
        </w:pBdr>
        <w:tabs>
          <w:tab w:val="left" w:pos="567"/>
        </w:tabs>
        <w:rPr>
          <w:rFonts w:ascii="Arial" w:eastAsia="Arial" w:hAnsi="Arial" w:cs="Arial"/>
          <w:bCs/>
          <w:color w:val="000000"/>
        </w:rPr>
      </w:pPr>
      <w:r w:rsidRPr="00587DF1">
        <w:rPr>
          <w:rFonts w:ascii="Arial" w:eastAsiaTheme="minorHAnsi" w:hAnsi="Arial" w:cs="Arial"/>
          <w:b/>
          <w:bCs/>
          <w:lang w:eastAsia="en-US"/>
        </w:rPr>
        <w:t>World leading education and research</w:t>
      </w:r>
      <w:r w:rsidRPr="00587DF1">
        <w:rPr>
          <w:rFonts w:ascii="Arial" w:eastAsia="Arial" w:hAnsi="Arial" w:cs="Arial"/>
          <w:bCs/>
          <w:color w:val="000000"/>
        </w:rPr>
        <w:t>: we act as a role model nationally and internationally, acting as a trailblazer for innovation</w:t>
      </w:r>
      <w:r w:rsidR="0025490F">
        <w:rPr>
          <w:rFonts w:ascii="Arial" w:eastAsia="Arial" w:hAnsi="Arial" w:cs="Arial"/>
          <w:bCs/>
          <w:color w:val="000000"/>
        </w:rPr>
        <w:t>.</w:t>
      </w:r>
    </w:p>
    <w:bookmarkEnd w:id="230"/>
    <w:p w14:paraId="6383FC59" w14:textId="77777777" w:rsidR="004A7E6A" w:rsidRPr="00587DF1" w:rsidRDefault="004A7E6A" w:rsidP="004A7E6A">
      <w:pPr>
        <w:pBdr>
          <w:top w:val="nil"/>
          <w:left w:val="nil"/>
          <w:bottom w:val="nil"/>
          <w:right w:val="nil"/>
          <w:between w:val="nil"/>
        </w:pBdr>
        <w:tabs>
          <w:tab w:val="left" w:pos="567"/>
        </w:tabs>
        <w:spacing w:after="0"/>
        <w:rPr>
          <w:rFonts w:ascii="Arial" w:eastAsia="Arial" w:hAnsi="Arial" w:cs="Arial"/>
          <w:bCs/>
          <w:color w:val="000000"/>
        </w:rPr>
      </w:pPr>
      <w:r w:rsidRPr="00587DF1">
        <w:rPr>
          <w:rFonts w:ascii="Arial" w:eastAsia="Arial" w:hAnsi="Arial" w:cs="Arial"/>
          <w:bCs/>
          <w:color w:val="000000"/>
        </w:rPr>
        <w:t xml:space="preserve">The following key </w:t>
      </w:r>
      <w:r w:rsidRPr="00587DF1">
        <w:rPr>
          <w:rFonts w:ascii="Arial" w:eastAsia="Arial" w:hAnsi="Arial" w:cs="Arial"/>
          <w:b/>
          <w:color w:val="000000"/>
        </w:rPr>
        <w:t>themes</w:t>
      </w:r>
      <w:r w:rsidRPr="00587DF1">
        <w:rPr>
          <w:rFonts w:ascii="Arial" w:eastAsia="Arial" w:hAnsi="Arial" w:cs="Arial"/>
          <w:bCs/>
          <w:color w:val="000000"/>
        </w:rPr>
        <w:t xml:space="preserve"> emerged across the pathways:</w:t>
      </w:r>
    </w:p>
    <w:p w14:paraId="5974DCFD" w14:textId="77777777" w:rsidR="004A7E6A" w:rsidRPr="00587DF1" w:rsidRDefault="004A7E6A" w:rsidP="005E0D57">
      <w:pPr>
        <w:pStyle w:val="ListParagraph"/>
        <w:numPr>
          <w:ilvl w:val="0"/>
          <w:numId w:val="27"/>
        </w:numPr>
        <w:spacing w:after="0" w:line="264" w:lineRule="auto"/>
        <w:ind w:right="142"/>
        <w:rPr>
          <w:rFonts w:ascii="Arial" w:eastAsiaTheme="minorHAnsi" w:hAnsi="Arial" w:cs="Arial"/>
          <w:lang w:eastAsia="en-US"/>
        </w:rPr>
      </w:pPr>
      <w:r w:rsidRPr="00587DF1">
        <w:rPr>
          <w:rFonts w:ascii="Arial" w:eastAsiaTheme="minorHAnsi" w:hAnsi="Arial" w:cs="Arial"/>
          <w:lang w:eastAsia="en-US"/>
        </w:rPr>
        <w:t>Shift to competency led workforce and a move away from professional groupings.</w:t>
      </w:r>
    </w:p>
    <w:p w14:paraId="734EBD02" w14:textId="77777777" w:rsidR="004A7E6A" w:rsidRPr="00587DF1" w:rsidRDefault="004A7E6A" w:rsidP="005E0D57">
      <w:pPr>
        <w:pStyle w:val="ListParagraph"/>
        <w:numPr>
          <w:ilvl w:val="0"/>
          <w:numId w:val="27"/>
        </w:numPr>
        <w:spacing w:after="0" w:line="264" w:lineRule="auto"/>
        <w:ind w:right="142"/>
        <w:rPr>
          <w:rFonts w:ascii="Arial" w:eastAsiaTheme="minorHAnsi" w:hAnsi="Arial" w:cs="Arial"/>
          <w:lang w:eastAsia="en-US"/>
        </w:rPr>
      </w:pPr>
      <w:r w:rsidRPr="00587DF1">
        <w:rPr>
          <w:rFonts w:ascii="Arial" w:eastAsiaTheme="minorHAnsi" w:hAnsi="Arial" w:cs="Arial"/>
          <w:lang w:eastAsia="en-US"/>
        </w:rPr>
        <w:t>Shift to stratification of patients to get them to the appropriate care for their needs, ensuring all patients are seen by the most appropriate clinician.</w:t>
      </w:r>
    </w:p>
    <w:p w14:paraId="2EB5F388" w14:textId="77777777" w:rsidR="004A7E6A" w:rsidRPr="00587DF1" w:rsidRDefault="004A7E6A" w:rsidP="005E0D57">
      <w:pPr>
        <w:pStyle w:val="ListParagraph"/>
        <w:numPr>
          <w:ilvl w:val="0"/>
          <w:numId w:val="27"/>
        </w:numPr>
        <w:spacing w:after="0" w:line="264" w:lineRule="auto"/>
        <w:ind w:right="142"/>
        <w:rPr>
          <w:rFonts w:ascii="Arial" w:eastAsiaTheme="minorHAnsi" w:hAnsi="Arial" w:cs="Arial"/>
          <w:lang w:eastAsia="en-US"/>
        </w:rPr>
      </w:pPr>
      <w:r w:rsidRPr="00587DF1">
        <w:rPr>
          <w:rFonts w:ascii="Arial" w:eastAsiaTheme="minorHAnsi" w:hAnsi="Arial" w:cs="Arial"/>
          <w:lang w:eastAsia="en-US"/>
        </w:rPr>
        <w:t>Move to diagnostics bundles (standardised collections of efficiently-delivered diagnostic tests), where possible.</w:t>
      </w:r>
    </w:p>
    <w:p w14:paraId="154C8159" w14:textId="77777777" w:rsidR="004A7E6A" w:rsidRPr="00587DF1" w:rsidRDefault="004A7E6A" w:rsidP="005E0D57">
      <w:pPr>
        <w:pStyle w:val="ListParagraph"/>
        <w:numPr>
          <w:ilvl w:val="0"/>
          <w:numId w:val="27"/>
        </w:numPr>
        <w:spacing w:after="0" w:line="264" w:lineRule="auto"/>
        <w:ind w:right="142"/>
        <w:rPr>
          <w:rFonts w:ascii="Arial" w:eastAsiaTheme="minorHAnsi" w:hAnsi="Arial" w:cs="Arial"/>
          <w:lang w:eastAsia="en-US"/>
        </w:rPr>
      </w:pPr>
      <w:r w:rsidRPr="00587DF1">
        <w:rPr>
          <w:rFonts w:ascii="Arial" w:eastAsiaTheme="minorHAnsi" w:hAnsi="Arial" w:cs="Arial"/>
          <w:lang w:eastAsia="en-US"/>
        </w:rPr>
        <w:t>Move to a high volume and high complexity surgical approach.</w:t>
      </w:r>
    </w:p>
    <w:p w14:paraId="330AFE1D" w14:textId="77777777" w:rsidR="004A7E6A" w:rsidRPr="00587DF1" w:rsidRDefault="004A7E6A" w:rsidP="005E0D57">
      <w:pPr>
        <w:pStyle w:val="ListParagraph"/>
        <w:numPr>
          <w:ilvl w:val="0"/>
          <w:numId w:val="27"/>
        </w:numPr>
        <w:spacing w:after="0" w:line="264" w:lineRule="auto"/>
        <w:ind w:right="142"/>
        <w:rPr>
          <w:rFonts w:ascii="Arial" w:eastAsiaTheme="minorHAnsi" w:hAnsi="Arial" w:cs="Arial"/>
          <w:lang w:eastAsia="en-US"/>
        </w:rPr>
      </w:pPr>
      <w:r w:rsidRPr="00587DF1">
        <w:rPr>
          <w:rFonts w:ascii="Arial" w:eastAsiaTheme="minorHAnsi" w:hAnsi="Arial" w:cs="Arial"/>
          <w:lang w:eastAsia="en-US"/>
        </w:rPr>
        <w:t>High levels of technological automation to support care.</w:t>
      </w:r>
    </w:p>
    <w:p w14:paraId="47C35CA7" w14:textId="77777777" w:rsidR="004A7E6A" w:rsidRPr="00587DF1" w:rsidRDefault="004A7E6A" w:rsidP="004A7E6A">
      <w:pPr>
        <w:pBdr>
          <w:top w:val="nil"/>
          <w:left w:val="nil"/>
          <w:bottom w:val="nil"/>
          <w:right w:val="nil"/>
          <w:between w:val="nil"/>
        </w:pBdr>
        <w:tabs>
          <w:tab w:val="left" w:pos="567"/>
        </w:tabs>
        <w:spacing w:after="0"/>
        <w:rPr>
          <w:rFonts w:ascii="Arial" w:eastAsia="Arial" w:hAnsi="Arial" w:cs="Arial"/>
          <w:bCs/>
          <w:color w:val="000000"/>
        </w:rPr>
      </w:pPr>
    </w:p>
    <w:p w14:paraId="2CC63C66" w14:textId="5C0D155C" w:rsidR="004A7E6A" w:rsidRDefault="004A7E6A" w:rsidP="004A7E6A">
      <w:pPr>
        <w:pBdr>
          <w:top w:val="nil"/>
          <w:left w:val="nil"/>
          <w:bottom w:val="nil"/>
          <w:right w:val="nil"/>
          <w:between w:val="nil"/>
        </w:pBdr>
        <w:tabs>
          <w:tab w:val="left" w:pos="567"/>
        </w:tabs>
        <w:spacing w:after="0"/>
        <w:rPr>
          <w:rFonts w:ascii="Arial" w:eastAsia="Arial" w:hAnsi="Arial" w:cs="Arial"/>
          <w:bCs/>
          <w:color w:val="000000"/>
        </w:rPr>
      </w:pPr>
      <w:r w:rsidRPr="00587DF1">
        <w:rPr>
          <w:rFonts w:ascii="Arial" w:eastAsia="Arial" w:hAnsi="Arial" w:cs="Arial"/>
          <w:bCs/>
          <w:color w:val="000000"/>
        </w:rPr>
        <w:t xml:space="preserve">The new clinical pathways for Oriel are described in Appendix </w:t>
      </w:r>
      <w:r w:rsidR="006376EA">
        <w:rPr>
          <w:rFonts w:ascii="Arial" w:eastAsia="Arial" w:hAnsi="Arial" w:cs="Arial"/>
          <w:bCs/>
          <w:color w:val="000000"/>
        </w:rPr>
        <w:t>5A</w:t>
      </w:r>
      <w:r w:rsidR="007E62C2">
        <w:rPr>
          <w:rFonts w:ascii="Arial" w:eastAsia="Arial" w:hAnsi="Arial" w:cs="Arial"/>
          <w:bCs/>
          <w:color w:val="000000"/>
        </w:rPr>
        <w:t xml:space="preserve">, including </w:t>
      </w:r>
      <w:r w:rsidRPr="00587DF1">
        <w:rPr>
          <w:rFonts w:ascii="Arial" w:eastAsia="Arial" w:hAnsi="Arial" w:cs="Arial"/>
          <w:bCs/>
          <w:color w:val="000000"/>
        </w:rPr>
        <w:t xml:space="preserve">specific benefits </w:t>
      </w:r>
      <w:r w:rsidR="007E62C2">
        <w:rPr>
          <w:rFonts w:ascii="Arial" w:eastAsia="Arial" w:hAnsi="Arial" w:cs="Arial"/>
          <w:bCs/>
          <w:color w:val="000000"/>
        </w:rPr>
        <w:t xml:space="preserve">of each which are further </w:t>
      </w:r>
      <w:r w:rsidRPr="00587DF1">
        <w:rPr>
          <w:rFonts w:ascii="Arial" w:eastAsia="Arial" w:hAnsi="Arial" w:cs="Arial"/>
          <w:bCs/>
          <w:color w:val="000000"/>
        </w:rPr>
        <w:t xml:space="preserve">summarised in the Benefits Realisation Plan in section </w:t>
      </w:r>
      <w:r w:rsidR="00600E4C">
        <w:rPr>
          <w:rFonts w:ascii="Arial" w:eastAsia="Arial" w:hAnsi="Arial" w:cs="Arial"/>
          <w:bCs/>
          <w:color w:val="000000"/>
        </w:rPr>
        <w:fldChar w:fldCharType="begin"/>
      </w:r>
      <w:r w:rsidR="00600E4C">
        <w:rPr>
          <w:rFonts w:ascii="Arial" w:eastAsia="Arial" w:hAnsi="Arial" w:cs="Arial"/>
          <w:bCs/>
          <w:color w:val="000000"/>
        </w:rPr>
        <w:instrText xml:space="preserve"> REF _Ref27746251 \r \h </w:instrText>
      </w:r>
      <w:r w:rsidR="00600E4C">
        <w:rPr>
          <w:rFonts w:ascii="Arial" w:eastAsia="Arial" w:hAnsi="Arial" w:cs="Arial"/>
          <w:bCs/>
          <w:color w:val="000000"/>
        </w:rPr>
      </w:r>
      <w:r w:rsidR="00600E4C">
        <w:rPr>
          <w:rFonts w:ascii="Arial" w:eastAsia="Arial" w:hAnsi="Arial" w:cs="Arial"/>
          <w:bCs/>
          <w:color w:val="000000"/>
        </w:rPr>
        <w:fldChar w:fldCharType="separate"/>
      </w:r>
      <w:r w:rsidR="00A936CD">
        <w:rPr>
          <w:rFonts w:ascii="Arial" w:eastAsia="Arial" w:hAnsi="Arial" w:cs="Arial"/>
          <w:bCs/>
          <w:color w:val="000000"/>
        </w:rPr>
        <w:t>8.6</w:t>
      </w:r>
      <w:r w:rsidR="00600E4C">
        <w:rPr>
          <w:rFonts w:ascii="Arial" w:eastAsia="Arial" w:hAnsi="Arial" w:cs="Arial"/>
          <w:bCs/>
          <w:color w:val="000000"/>
        </w:rPr>
        <w:fldChar w:fldCharType="end"/>
      </w:r>
      <w:r w:rsidRPr="00587DF1">
        <w:rPr>
          <w:rFonts w:ascii="Arial" w:eastAsia="Arial" w:hAnsi="Arial" w:cs="Arial"/>
          <w:bCs/>
          <w:color w:val="000000"/>
        </w:rPr>
        <w:t>.</w:t>
      </w:r>
    </w:p>
    <w:p w14:paraId="0CABAFA2" w14:textId="317D889C" w:rsidR="008E6493" w:rsidRDefault="008E6493" w:rsidP="004A7E6A">
      <w:pPr>
        <w:pBdr>
          <w:top w:val="nil"/>
          <w:left w:val="nil"/>
          <w:bottom w:val="nil"/>
          <w:right w:val="nil"/>
          <w:between w:val="nil"/>
        </w:pBdr>
        <w:tabs>
          <w:tab w:val="left" w:pos="567"/>
        </w:tabs>
        <w:spacing w:after="0"/>
        <w:rPr>
          <w:rFonts w:ascii="Arial" w:eastAsia="Arial" w:hAnsi="Arial" w:cs="Arial"/>
          <w:bCs/>
          <w:color w:val="000000"/>
        </w:rPr>
      </w:pPr>
    </w:p>
    <w:p w14:paraId="1D366BE0" w14:textId="45DB8EE4" w:rsidR="008E6493" w:rsidRPr="00587DF1" w:rsidRDefault="008E6493" w:rsidP="008E6493">
      <w:pPr>
        <w:numPr>
          <w:ilvl w:val="2"/>
          <w:numId w:val="1"/>
        </w:numPr>
        <w:pBdr>
          <w:top w:val="nil"/>
          <w:left w:val="nil"/>
          <w:bottom w:val="nil"/>
          <w:right w:val="nil"/>
          <w:between w:val="nil"/>
        </w:pBdr>
        <w:tabs>
          <w:tab w:val="left" w:pos="567"/>
        </w:tabs>
        <w:jc w:val="both"/>
        <w:rPr>
          <w:rFonts w:ascii="Arial" w:eastAsia="Arial" w:hAnsi="Arial" w:cs="Arial"/>
          <w:color w:val="000000"/>
        </w:rPr>
      </w:pPr>
      <w:r>
        <w:rPr>
          <w:rFonts w:ascii="Arial" w:eastAsia="Arial" w:hAnsi="Arial" w:cs="Arial"/>
          <w:b/>
          <w:color w:val="000000"/>
        </w:rPr>
        <w:t>Equality Impact Assessment</w:t>
      </w:r>
    </w:p>
    <w:p w14:paraId="0E91E1BD" w14:textId="69D3B8D2" w:rsidR="008E6493" w:rsidRDefault="008E6493" w:rsidP="008E6493">
      <w:pPr>
        <w:pBdr>
          <w:top w:val="nil"/>
          <w:left w:val="nil"/>
          <w:bottom w:val="nil"/>
          <w:right w:val="nil"/>
          <w:between w:val="nil"/>
        </w:pBdr>
        <w:tabs>
          <w:tab w:val="left" w:pos="567"/>
        </w:tabs>
        <w:spacing w:after="0"/>
        <w:rPr>
          <w:rFonts w:ascii="Arial" w:hAnsi="Arial" w:cs="Arial"/>
        </w:rPr>
      </w:pPr>
      <w:r>
        <w:rPr>
          <w:rFonts w:ascii="Arial" w:eastAsia="Arial" w:hAnsi="Arial" w:cs="Arial"/>
          <w:bCs/>
          <w:color w:val="000000"/>
        </w:rPr>
        <w:t xml:space="preserve">As part of the public consultation, commissioners and Moorfields commissioned </w:t>
      </w:r>
      <w:r w:rsidRPr="008E6493">
        <w:rPr>
          <w:rFonts w:ascii="Arial" w:eastAsia="Arial" w:hAnsi="Arial" w:cs="Arial"/>
          <w:bCs/>
          <w:color w:val="000000"/>
        </w:rPr>
        <w:t>MSE Strategy Unit and Partners</w:t>
      </w:r>
      <w:r>
        <w:rPr>
          <w:rFonts w:ascii="Arial" w:eastAsia="Arial" w:hAnsi="Arial" w:cs="Arial"/>
          <w:bCs/>
          <w:color w:val="000000"/>
        </w:rPr>
        <w:t xml:space="preserve"> to undertake an independent </w:t>
      </w:r>
      <w:r w:rsidRPr="008E6493">
        <w:rPr>
          <w:rFonts w:ascii="Arial" w:eastAsia="Arial" w:hAnsi="Arial" w:cs="Arial"/>
          <w:bCs/>
          <w:color w:val="000000"/>
        </w:rPr>
        <w:t>Integrated Health Inequality and Equality Impact Assessment (or Integrated Impact Assessment – IIA)</w:t>
      </w:r>
      <w:r>
        <w:rPr>
          <w:rFonts w:ascii="Arial" w:eastAsia="Arial" w:hAnsi="Arial" w:cs="Arial"/>
          <w:bCs/>
          <w:color w:val="000000"/>
        </w:rPr>
        <w:t xml:space="preserve">. The purpose of this was to </w:t>
      </w:r>
      <w:r w:rsidRPr="008E6493">
        <w:rPr>
          <w:rFonts w:ascii="Arial" w:eastAsia="Arial" w:hAnsi="Arial" w:cs="Arial"/>
          <w:bCs/>
          <w:color w:val="000000"/>
        </w:rPr>
        <w:t>ensure that a proposal does not have a disproportionate impact upon any groups with protected characteristics</w:t>
      </w:r>
      <w:r>
        <w:rPr>
          <w:rFonts w:ascii="Arial" w:eastAsia="Arial" w:hAnsi="Arial" w:cs="Arial"/>
          <w:bCs/>
          <w:color w:val="000000"/>
        </w:rPr>
        <w:t xml:space="preserve">, as defined by the </w:t>
      </w:r>
      <w:r w:rsidRPr="008E6493">
        <w:rPr>
          <w:rFonts w:ascii="Arial" w:eastAsia="Arial" w:hAnsi="Arial" w:cs="Arial"/>
          <w:bCs/>
          <w:color w:val="000000"/>
        </w:rPr>
        <w:t>Equality Act 2010.</w:t>
      </w:r>
      <w:r>
        <w:rPr>
          <w:rFonts w:ascii="Arial" w:eastAsia="Arial" w:hAnsi="Arial" w:cs="Arial"/>
          <w:bCs/>
          <w:color w:val="000000"/>
        </w:rPr>
        <w:t xml:space="preserve"> This is detailed in the DMBC and appendice</w:t>
      </w:r>
      <w:r w:rsidRPr="008E6493">
        <w:rPr>
          <w:rFonts w:ascii="Arial" w:eastAsia="Arial" w:hAnsi="Arial" w:cs="Arial"/>
          <w:bCs/>
          <w:color w:val="000000"/>
        </w:rPr>
        <w:t xml:space="preserve">s at </w:t>
      </w:r>
      <w:hyperlink r:id="rId29" w:history="1">
        <w:r w:rsidRPr="008E6493">
          <w:rPr>
            <w:rStyle w:val="Hyperlink"/>
            <w:rFonts w:ascii="Arial" w:hAnsi="Arial" w:cs="Arial"/>
          </w:rPr>
          <w:t>https://oriel-london.org.uk/consultation-documents/</w:t>
        </w:r>
      </w:hyperlink>
      <w:r>
        <w:rPr>
          <w:rFonts w:ascii="Arial" w:hAnsi="Arial" w:cs="Arial"/>
        </w:rPr>
        <w:t>.</w:t>
      </w:r>
    </w:p>
    <w:p w14:paraId="17661EE6" w14:textId="77777777" w:rsidR="008E6493" w:rsidRPr="008E6493" w:rsidRDefault="008E6493" w:rsidP="008E6493">
      <w:pPr>
        <w:pBdr>
          <w:top w:val="nil"/>
          <w:left w:val="nil"/>
          <w:bottom w:val="nil"/>
          <w:right w:val="nil"/>
          <w:between w:val="nil"/>
        </w:pBdr>
        <w:tabs>
          <w:tab w:val="left" w:pos="567"/>
        </w:tabs>
        <w:spacing w:after="0"/>
        <w:rPr>
          <w:rFonts w:ascii="Arial" w:eastAsia="Arial" w:hAnsi="Arial" w:cs="Arial"/>
          <w:bCs/>
          <w:color w:val="000000"/>
        </w:rPr>
      </w:pPr>
    </w:p>
    <w:p w14:paraId="13A91A33" w14:textId="43BC0DF5" w:rsidR="008E6493" w:rsidRPr="008E6493" w:rsidRDefault="008E6493" w:rsidP="008E6493">
      <w:pPr>
        <w:spacing w:after="0"/>
        <w:rPr>
          <w:rFonts w:ascii="Arial" w:eastAsia="Arial" w:hAnsi="Arial" w:cs="Arial"/>
          <w:bCs/>
          <w:color w:val="000000"/>
        </w:rPr>
      </w:pPr>
      <w:r w:rsidRPr="008E6493">
        <w:rPr>
          <w:rFonts w:ascii="Arial" w:eastAsia="Arial" w:hAnsi="Arial" w:cs="Arial"/>
          <w:bCs/>
          <w:color w:val="000000"/>
        </w:rPr>
        <w:t>The IIA concluded that overall, the identified protected characteristics, health inequalities and health impacts will not be negatively impacted by this proposed relocation. In summary:</w:t>
      </w:r>
    </w:p>
    <w:p w14:paraId="595ECB33" w14:textId="3208E266" w:rsidR="008E6493" w:rsidRPr="008E6493" w:rsidRDefault="008E6493" w:rsidP="004F4B79">
      <w:pPr>
        <w:pStyle w:val="ListParagraph"/>
        <w:numPr>
          <w:ilvl w:val="0"/>
          <w:numId w:val="165"/>
        </w:numPr>
        <w:spacing w:after="0"/>
        <w:rPr>
          <w:rFonts w:ascii="Arial" w:eastAsia="Arial" w:hAnsi="Arial" w:cs="Arial"/>
          <w:bCs/>
          <w:color w:val="000000"/>
        </w:rPr>
      </w:pPr>
      <w:r w:rsidRPr="008E6493">
        <w:rPr>
          <w:rFonts w:ascii="Arial" w:eastAsia="Arial" w:hAnsi="Arial" w:cs="Arial"/>
          <w:bCs/>
          <w:color w:val="000000"/>
        </w:rPr>
        <w:t>Most stakeholder feedback obtained as part of the consultation supported the proposal to relocate.</w:t>
      </w:r>
    </w:p>
    <w:p w14:paraId="24A657F8" w14:textId="77777777" w:rsidR="008E6493" w:rsidRPr="008E6493" w:rsidRDefault="008E6493" w:rsidP="004F4B79">
      <w:pPr>
        <w:pStyle w:val="ListParagraph"/>
        <w:numPr>
          <w:ilvl w:val="0"/>
          <w:numId w:val="165"/>
        </w:numPr>
        <w:spacing w:after="0"/>
        <w:rPr>
          <w:rFonts w:ascii="Arial" w:eastAsia="Arial" w:hAnsi="Arial" w:cs="Arial"/>
          <w:bCs/>
          <w:color w:val="000000"/>
        </w:rPr>
      </w:pPr>
      <w:r w:rsidRPr="008E6493">
        <w:rPr>
          <w:rFonts w:ascii="Arial" w:eastAsia="Arial" w:hAnsi="Arial" w:cs="Arial"/>
          <w:bCs/>
          <w:color w:val="000000"/>
        </w:rPr>
        <w:t>Respondents to the consultation felt that the new centre would benefit both patients and staff, in that a specialist and highly regarded hospital such as Moorfields needs 21st century purpose-built facilities providing a world class centre of excellence.</w:t>
      </w:r>
    </w:p>
    <w:p w14:paraId="626FF8DD" w14:textId="19E22B83" w:rsidR="008E6493" w:rsidRDefault="008E6493" w:rsidP="004F4B79">
      <w:pPr>
        <w:pStyle w:val="ListParagraph"/>
        <w:numPr>
          <w:ilvl w:val="0"/>
          <w:numId w:val="165"/>
        </w:numPr>
        <w:spacing w:after="0"/>
        <w:rPr>
          <w:rFonts w:ascii="Arial" w:eastAsia="Arial" w:hAnsi="Arial" w:cs="Arial"/>
          <w:bCs/>
          <w:color w:val="000000"/>
        </w:rPr>
      </w:pPr>
      <w:r w:rsidRPr="008E6493">
        <w:rPr>
          <w:rFonts w:ascii="Arial" w:eastAsia="Arial" w:hAnsi="Arial" w:cs="Arial"/>
          <w:bCs/>
          <w:color w:val="000000"/>
        </w:rPr>
        <w:t xml:space="preserve">Elderly patients (due to age and comorbidities) and patients with protected characteristics are the ones most likely to be negatively impacted by the proposed relocation. This is because changes to their journey, namely concerns about the busy nature of Kings Cross, can cause stress and anxiety for these groups. </w:t>
      </w:r>
    </w:p>
    <w:p w14:paraId="14AC0CDF" w14:textId="63952107" w:rsidR="008E6493" w:rsidRDefault="008E6493" w:rsidP="008E6493">
      <w:pPr>
        <w:spacing w:after="0"/>
        <w:rPr>
          <w:rFonts w:ascii="Arial" w:eastAsia="Arial" w:hAnsi="Arial" w:cs="Arial"/>
          <w:bCs/>
          <w:color w:val="000000"/>
        </w:rPr>
      </w:pPr>
    </w:p>
    <w:p w14:paraId="4A87E26F" w14:textId="037547B2" w:rsidR="008E6493" w:rsidRDefault="008E6493" w:rsidP="008E6493">
      <w:pPr>
        <w:spacing w:after="0"/>
      </w:pPr>
      <w:r>
        <w:rPr>
          <w:rFonts w:ascii="Arial" w:eastAsia="Arial" w:hAnsi="Arial" w:cs="Arial"/>
          <w:bCs/>
          <w:color w:val="000000"/>
        </w:rPr>
        <w:t>The IIA provided recommendations for the project’s next steps, including:</w:t>
      </w:r>
    </w:p>
    <w:p w14:paraId="62D6A614" w14:textId="77777777" w:rsidR="008E6493" w:rsidRPr="008E6493" w:rsidRDefault="008E6493" w:rsidP="004F4B79">
      <w:pPr>
        <w:pStyle w:val="ListParagraph"/>
        <w:numPr>
          <w:ilvl w:val="0"/>
          <w:numId w:val="165"/>
        </w:numPr>
        <w:spacing w:after="0"/>
        <w:rPr>
          <w:rFonts w:ascii="Arial" w:eastAsia="Arial" w:hAnsi="Arial" w:cs="Arial"/>
          <w:bCs/>
          <w:color w:val="000000"/>
        </w:rPr>
      </w:pPr>
      <w:r w:rsidRPr="008E6493">
        <w:rPr>
          <w:rFonts w:ascii="Arial" w:eastAsia="Arial" w:hAnsi="Arial" w:cs="Arial"/>
          <w:bCs/>
          <w:color w:val="000000"/>
        </w:rPr>
        <w:t>Disability access and support should be incorporated into the design.</w:t>
      </w:r>
    </w:p>
    <w:p w14:paraId="5FAE4812" w14:textId="77777777" w:rsidR="008E6493" w:rsidRPr="008E6493" w:rsidRDefault="008E6493" w:rsidP="004F4B79">
      <w:pPr>
        <w:pStyle w:val="ListParagraph"/>
        <w:numPr>
          <w:ilvl w:val="0"/>
          <w:numId w:val="165"/>
        </w:numPr>
        <w:spacing w:after="0"/>
        <w:rPr>
          <w:rFonts w:ascii="Arial" w:eastAsia="Arial" w:hAnsi="Arial" w:cs="Arial"/>
          <w:bCs/>
          <w:color w:val="000000"/>
        </w:rPr>
      </w:pPr>
      <w:r w:rsidRPr="008E6493">
        <w:rPr>
          <w:rFonts w:ascii="Arial" w:eastAsia="Arial" w:hAnsi="Arial" w:cs="Arial"/>
          <w:bCs/>
          <w:color w:val="000000"/>
        </w:rPr>
        <w:t>Improved signage and use of digital technology has the potential to improve the overall patient, carer and staff experience.</w:t>
      </w:r>
    </w:p>
    <w:p w14:paraId="3C0FCF94" w14:textId="77777777" w:rsidR="008E6493" w:rsidRPr="008E6493" w:rsidRDefault="008E6493" w:rsidP="004F4B79">
      <w:pPr>
        <w:pStyle w:val="ListParagraph"/>
        <w:numPr>
          <w:ilvl w:val="0"/>
          <w:numId w:val="165"/>
        </w:numPr>
        <w:spacing w:after="0"/>
        <w:rPr>
          <w:rFonts w:ascii="Arial" w:eastAsia="Arial" w:hAnsi="Arial" w:cs="Arial"/>
          <w:bCs/>
          <w:color w:val="000000"/>
        </w:rPr>
      </w:pPr>
      <w:r w:rsidRPr="008E6493">
        <w:rPr>
          <w:rFonts w:ascii="Arial" w:eastAsia="Arial" w:hAnsi="Arial" w:cs="Arial"/>
          <w:bCs/>
          <w:color w:val="000000"/>
        </w:rPr>
        <w:t>It is important to retain any care that is currently being provided closer to patients home e.g. network clinics.</w:t>
      </w:r>
    </w:p>
    <w:p w14:paraId="6D8BF058" w14:textId="77777777" w:rsidR="008E6493" w:rsidRPr="008E6493" w:rsidRDefault="008E6493" w:rsidP="004F4B79">
      <w:pPr>
        <w:pStyle w:val="ListParagraph"/>
        <w:numPr>
          <w:ilvl w:val="0"/>
          <w:numId w:val="165"/>
        </w:numPr>
        <w:spacing w:after="0"/>
        <w:rPr>
          <w:rFonts w:ascii="Arial" w:eastAsia="Arial" w:hAnsi="Arial" w:cs="Arial"/>
          <w:bCs/>
          <w:color w:val="000000"/>
        </w:rPr>
      </w:pPr>
      <w:r w:rsidRPr="008E6493">
        <w:rPr>
          <w:rFonts w:ascii="Arial" w:eastAsia="Arial" w:hAnsi="Arial" w:cs="Arial"/>
          <w:bCs/>
          <w:color w:val="000000"/>
        </w:rPr>
        <w:t>It is important that future plans make it possible for people to be independent.</w:t>
      </w:r>
    </w:p>
    <w:p w14:paraId="356AFBE9" w14:textId="77777777" w:rsidR="008E6493" w:rsidRDefault="008E6493" w:rsidP="004F4B79">
      <w:pPr>
        <w:pStyle w:val="ListParagraph"/>
        <w:numPr>
          <w:ilvl w:val="0"/>
          <w:numId w:val="165"/>
        </w:numPr>
        <w:spacing w:after="0"/>
        <w:rPr>
          <w:rFonts w:ascii="Arial" w:hAnsi="Arial" w:cs="Arial"/>
        </w:rPr>
      </w:pPr>
      <w:r>
        <w:rPr>
          <w:rFonts w:ascii="Arial" w:hAnsi="Arial" w:cs="Arial"/>
        </w:rPr>
        <w:t>T</w:t>
      </w:r>
      <w:r w:rsidRPr="00DD6CC3">
        <w:rPr>
          <w:rFonts w:ascii="Arial" w:hAnsi="Arial" w:cs="Arial"/>
        </w:rPr>
        <w:t>he impact of anxiety and stress that may be felt by patients and staff as a result of the move</w:t>
      </w:r>
      <w:r>
        <w:rPr>
          <w:rFonts w:ascii="Arial" w:hAnsi="Arial" w:cs="Arial"/>
        </w:rPr>
        <w:t xml:space="preserve"> should be considered</w:t>
      </w:r>
      <w:r w:rsidRPr="00DD6CC3">
        <w:rPr>
          <w:rFonts w:ascii="Arial" w:hAnsi="Arial" w:cs="Arial"/>
        </w:rPr>
        <w:t xml:space="preserve">. </w:t>
      </w:r>
      <w:r>
        <w:rPr>
          <w:rFonts w:ascii="Arial" w:hAnsi="Arial" w:cs="Arial"/>
        </w:rPr>
        <w:t>S</w:t>
      </w:r>
      <w:r w:rsidRPr="00DD6CC3">
        <w:rPr>
          <w:rFonts w:ascii="Arial" w:hAnsi="Arial" w:cs="Arial"/>
        </w:rPr>
        <w:t xml:space="preserve">upport </w:t>
      </w:r>
      <w:r>
        <w:rPr>
          <w:rFonts w:ascii="Arial" w:hAnsi="Arial" w:cs="Arial"/>
        </w:rPr>
        <w:t xml:space="preserve">should be </w:t>
      </w:r>
      <w:r w:rsidRPr="00DD6CC3">
        <w:rPr>
          <w:rFonts w:ascii="Arial" w:hAnsi="Arial" w:cs="Arial"/>
        </w:rPr>
        <w:t>clear and accessible</w:t>
      </w:r>
      <w:r>
        <w:rPr>
          <w:rFonts w:ascii="Arial" w:hAnsi="Arial" w:cs="Arial"/>
        </w:rPr>
        <w:t>, and changes clearly communicated.</w:t>
      </w:r>
    </w:p>
    <w:p w14:paraId="430257AD" w14:textId="77777777" w:rsidR="008E6493" w:rsidRDefault="008E6493" w:rsidP="004F4B79">
      <w:pPr>
        <w:pStyle w:val="ListParagraph"/>
        <w:numPr>
          <w:ilvl w:val="0"/>
          <w:numId w:val="165"/>
        </w:numPr>
        <w:spacing w:after="0"/>
        <w:rPr>
          <w:rFonts w:ascii="Arial" w:hAnsi="Arial" w:cs="Arial"/>
        </w:rPr>
      </w:pPr>
      <w:r>
        <w:rPr>
          <w:rFonts w:ascii="Arial" w:hAnsi="Arial" w:cs="Arial"/>
        </w:rPr>
        <w:t>The design should ensure c</w:t>
      </w:r>
      <w:r w:rsidRPr="00DD6CC3">
        <w:rPr>
          <w:rFonts w:ascii="Arial" w:hAnsi="Arial" w:cs="Arial"/>
        </w:rPr>
        <w:t xml:space="preserve">linical environments </w:t>
      </w:r>
      <w:r>
        <w:rPr>
          <w:rFonts w:ascii="Arial" w:hAnsi="Arial" w:cs="Arial"/>
        </w:rPr>
        <w:t xml:space="preserve">are </w:t>
      </w:r>
      <w:r w:rsidRPr="00DD6CC3">
        <w:rPr>
          <w:rFonts w:ascii="Arial" w:hAnsi="Arial" w:cs="Arial"/>
        </w:rPr>
        <w:t>dementia friendly</w:t>
      </w:r>
      <w:r>
        <w:rPr>
          <w:rFonts w:ascii="Arial" w:hAnsi="Arial" w:cs="Arial"/>
        </w:rPr>
        <w:t>.</w:t>
      </w:r>
    </w:p>
    <w:p w14:paraId="4BEA6BA7" w14:textId="77777777" w:rsidR="008E6493" w:rsidRPr="00DD6CC3" w:rsidRDefault="008E6493" w:rsidP="008E6493">
      <w:pPr>
        <w:spacing w:after="0"/>
        <w:rPr>
          <w:rFonts w:ascii="Arial" w:hAnsi="Arial" w:cs="Arial"/>
        </w:rPr>
      </w:pPr>
    </w:p>
    <w:p w14:paraId="6DCDE332" w14:textId="61A24472" w:rsidR="008E6493" w:rsidRDefault="008E6493" w:rsidP="008E6493">
      <w:pPr>
        <w:rPr>
          <w:rFonts w:ascii="Arial" w:eastAsia="Arial" w:hAnsi="Arial" w:cs="Arial"/>
          <w:bCs/>
          <w:color w:val="000000"/>
        </w:rPr>
      </w:pPr>
      <w:r>
        <w:rPr>
          <w:rFonts w:ascii="Arial" w:hAnsi="Arial" w:cs="Arial"/>
        </w:rPr>
        <w:t xml:space="preserve">Moorfields has committed to considering all of the IIA’s recommendations when developing its accessibility plan. The full Moorfields response to consultation is included at Appendix </w:t>
      </w:r>
      <w:r w:rsidR="006376EA">
        <w:rPr>
          <w:rFonts w:ascii="Arial" w:hAnsi="Arial" w:cs="Arial"/>
        </w:rPr>
        <w:t>3D</w:t>
      </w:r>
      <w:r>
        <w:rPr>
          <w:rFonts w:ascii="Arial" w:hAnsi="Arial" w:cs="Arial"/>
        </w:rPr>
        <w:t>.</w:t>
      </w:r>
    </w:p>
    <w:p w14:paraId="4C07E4B4" w14:textId="77777777" w:rsidR="007E62C2" w:rsidRPr="00587DF1" w:rsidRDefault="007E62C2" w:rsidP="004A7E6A">
      <w:pPr>
        <w:pBdr>
          <w:top w:val="nil"/>
          <w:left w:val="nil"/>
          <w:bottom w:val="nil"/>
          <w:right w:val="nil"/>
          <w:between w:val="nil"/>
        </w:pBdr>
        <w:tabs>
          <w:tab w:val="left" w:pos="567"/>
        </w:tabs>
        <w:spacing w:after="0"/>
        <w:rPr>
          <w:rFonts w:ascii="Arial" w:eastAsia="Arial" w:hAnsi="Arial" w:cs="Arial"/>
          <w:bCs/>
          <w:color w:val="000000"/>
        </w:rPr>
      </w:pPr>
    </w:p>
    <w:p w14:paraId="65DDAA73" w14:textId="77777777" w:rsidR="004A7E6A" w:rsidRPr="00587DF1" w:rsidRDefault="004A7E6A" w:rsidP="005E0D57">
      <w:pPr>
        <w:pStyle w:val="Heading2"/>
        <w:numPr>
          <w:ilvl w:val="1"/>
          <w:numId w:val="1"/>
        </w:numPr>
        <w:spacing w:after="240"/>
        <w:rPr>
          <w:rFonts w:ascii="Arial" w:eastAsia="Arial" w:hAnsi="Arial" w:cs="Arial"/>
        </w:rPr>
      </w:pPr>
      <w:bookmarkStart w:id="232" w:name="_Ref27746786"/>
      <w:bookmarkStart w:id="233" w:name="_Toc32842721"/>
      <w:r w:rsidRPr="00587DF1">
        <w:rPr>
          <w:rFonts w:ascii="Arial" w:eastAsia="Arial" w:hAnsi="Arial" w:cs="Arial"/>
        </w:rPr>
        <w:t>Research</w:t>
      </w:r>
      <w:bookmarkEnd w:id="232"/>
      <w:bookmarkEnd w:id="233"/>
    </w:p>
    <w:p w14:paraId="03E0EE8C" w14:textId="77777777" w:rsidR="004A7E6A" w:rsidRPr="00587DF1" w:rsidRDefault="004A7E6A" w:rsidP="004A7E6A">
      <w:pPr>
        <w:pBdr>
          <w:top w:val="nil"/>
          <w:left w:val="nil"/>
          <w:bottom w:val="nil"/>
          <w:right w:val="nil"/>
          <w:between w:val="nil"/>
        </w:pBdr>
        <w:tabs>
          <w:tab w:val="left" w:pos="567"/>
        </w:tabs>
        <w:rPr>
          <w:rFonts w:ascii="Arial" w:eastAsia="Arial" w:hAnsi="Arial" w:cs="Arial"/>
        </w:rPr>
      </w:pPr>
      <w:r w:rsidRPr="00587DF1">
        <w:rPr>
          <w:rFonts w:ascii="Arial" w:eastAsia="Arial" w:hAnsi="Arial" w:cs="Arial"/>
        </w:rPr>
        <w:t xml:space="preserve">Moorfields and UCL IoO have a world-leading research partnership, which is the only joint University Clinical NHS Partnership in the UK that is ranked number 1 globally in any medical field. The partnership publishes more papers on eye and vision research than any </w:t>
      </w:r>
      <w:r w:rsidRPr="00587DF1">
        <w:rPr>
          <w:rFonts w:ascii="Arial" w:eastAsia="Arial" w:hAnsi="Arial" w:cs="Arial"/>
        </w:rPr>
        <w:lastRenderedPageBreak/>
        <w:t>other equivalent organisation or partnership nationally, and are leaders in areas including inherited disease, gene therapy and regenerative medicine.</w:t>
      </w:r>
    </w:p>
    <w:p w14:paraId="672C327F" w14:textId="77777777" w:rsidR="004A7E6A" w:rsidRPr="00587DF1" w:rsidRDefault="004A7E6A" w:rsidP="004A7E6A">
      <w:pPr>
        <w:pBdr>
          <w:top w:val="nil"/>
          <w:left w:val="nil"/>
          <w:bottom w:val="nil"/>
          <w:right w:val="nil"/>
          <w:between w:val="nil"/>
        </w:pBdr>
        <w:tabs>
          <w:tab w:val="left" w:pos="567"/>
        </w:tabs>
        <w:rPr>
          <w:rFonts w:ascii="Arial" w:eastAsia="Arial" w:hAnsi="Arial" w:cs="Arial"/>
        </w:rPr>
      </w:pPr>
      <w:bookmarkStart w:id="234" w:name="_Hlk27142300"/>
      <w:r w:rsidRPr="00587DF1">
        <w:rPr>
          <w:rFonts w:ascii="Arial" w:eastAsia="Arial" w:hAnsi="Arial" w:cs="Arial"/>
        </w:rPr>
        <w:t xml:space="preserve">Oriel </w:t>
      </w:r>
      <w:r w:rsidR="005F074A" w:rsidRPr="00587DF1">
        <w:rPr>
          <w:rFonts w:ascii="Arial" w:eastAsia="Arial" w:hAnsi="Arial" w:cs="Arial"/>
        </w:rPr>
        <w:t xml:space="preserve">is </w:t>
      </w:r>
      <w:r w:rsidRPr="00587DF1">
        <w:rPr>
          <w:rFonts w:ascii="Arial" w:eastAsia="Arial" w:hAnsi="Arial" w:cs="Arial"/>
        </w:rPr>
        <w:t>a catalyst for meaningful improvements in the way that research is conducted and the benefit this can bring for patients. It will enable progression of a translational model of ‘bench to bedside’ research, developing new treatments to a stage where they can be made widely available to patients more quickly. This will be facilitated through provision of a Translational Research Laboratory (including procedure rooms and wet labs), which will have greater capacity for research than the current facilities. This area will be shared between Moorfields and UCL IoO, promoting partnership working between the organisations.</w:t>
      </w:r>
    </w:p>
    <w:bookmarkEnd w:id="234"/>
    <w:p w14:paraId="259A1079" w14:textId="77777777" w:rsidR="004A7E6A" w:rsidRPr="00587DF1" w:rsidRDefault="004A7E6A" w:rsidP="004A7E6A">
      <w:pPr>
        <w:pBdr>
          <w:top w:val="nil"/>
          <w:left w:val="nil"/>
          <w:bottom w:val="nil"/>
          <w:right w:val="nil"/>
          <w:between w:val="nil"/>
        </w:pBdr>
        <w:tabs>
          <w:tab w:val="left" w:pos="567"/>
        </w:tabs>
        <w:rPr>
          <w:rFonts w:ascii="Arial" w:eastAsia="Arial" w:hAnsi="Arial" w:cs="Arial"/>
        </w:rPr>
      </w:pPr>
      <w:r w:rsidRPr="00587DF1">
        <w:rPr>
          <w:rFonts w:ascii="Arial" w:eastAsia="Arial" w:hAnsi="Arial" w:cs="Arial"/>
        </w:rPr>
        <w:t>Within the bounds of maintaining confidentiality of patient data, the partners are looking to achieve a level of data sharing which enables rapid and seamless partnership working during early stage trials and clinical trials. The research-first focus of the building, with its increased physical capacity in some areas, will also enable the trust to continue to pursue further partnerships with commercial pharmaceutical companies looking to undertake research trials within a broad patient base.</w:t>
      </w:r>
    </w:p>
    <w:p w14:paraId="2276BFBC" w14:textId="77777777" w:rsidR="004A7E6A" w:rsidRPr="00587DF1" w:rsidRDefault="004A7E6A" w:rsidP="004A7E6A">
      <w:pPr>
        <w:pBdr>
          <w:top w:val="nil"/>
          <w:left w:val="nil"/>
          <w:bottom w:val="nil"/>
          <w:right w:val="nil"/>
          <w:between w:val="nil"/>
        </w:pBdr>
        <w:tabs>
          <w:tab w:val="left" w:pos="567"/>
        </w:tabs>
        <w:rPr>
          <w:rFonts w:ascii="Arial" w:eastAsia="Arial" w:hAnsi="Arial" w:cs="Arial"/>
        </w:rPr>
      </w:pPr>
      <w:r w:rsidRPr="00587DF1">
        <w:rPr>
          <w:rFonts w:ascii="Arial" w:eastAsia="Arial" w:hAnsi="Arial" w:cs="Arial"/>
        </w:rPr>
        <w:t>The IoO will also benefit from provision of enhanced fundamental research facilities such as tissue culture labs, BSU (Biological Services Unit), flow cytometry, cellular and sub-cellular imaging technology. This will further improve the quality of laboratory-based research, which should increase the speed with which exciting developments can be trialled with patients.</w:t>
      </w:r>
    </w:p>
    <w:p w14:paraId="40A6579A" w14:textId="77777777" w:rsidR="004A7E6A" w:rsidRPr="00587DF1" w:rsidRDefault="004A7E6A" w:rsidP="004A7E6A">
      <w:pPr>
        <w:pBdr>
          <w:top w:val="nil"/>
          <w:left w:val="nil"/>
          <w:bottom w:val="nil"/>
          <w:right w:val="nil"/>
          <w:between w:val="nil"/>
        </w:pBdr>
        <w:tabs>
          <w:tab w:val="left" w:pos="567"/>
        </w:tabs>
        <w:rPr>
          <w:rFonts w:ascii="Arial" w:eastAsia="Arial" w:hAnsi="Arial" w:cs="Arial"/>
        </w:rPr>
      </w:pPr>
      <w:r w:rsidRPr="00587DF1">
        <w:rPr>
          <w:rFonts w:ascii="Arial" w:eastAsia="Arial" w:hAnsi="Arial" w:cs="Arial"/>
        </w:rPr>
        <w:t xml:space="preserve">Moorfields plans to increase the visibility of research opportunities in Oriel, and improve patient access to the benefits that this can bring. All patients will be screened for their eligibility to participate in research trials, and information will be available in </w:t>
      </w:r>
      <w:r w:rsidR="005F074A" w:rsidRPr="00587DF1">
        <w:rPr>
          <w:rFonts w:ascii="Arial" w:eastAsia="Arial" w:hAnsi="Arial" w:cs="Arial"/>
        </w:rPr>
        <w:t>o</w:t>
      </w:r>
      <w:r w:rsidRPr="00587DF1">
        <w:rPr>
          <w:rFonts w:ascii="Arial" w:eastAsia="Arial" w:hAnsi="Arial" w:cs="Arial"/>
        </w:rPr>
        <w:t xml:space="preserve">utpatient clinics on each of these patients’ options, potential benefits, risks and consent. </w:t>
      </w:r>
      <w:r w:rsidR="005F074A" w:rsidRPr="00587DF1">
        <w:rPr>
          <w:rFonts w:ascii="Arial" w:eastAsia="Arial" w:hAnsi="Arial" w:cs="Arial"/>
        </w:rPr>
        <w:t>All staff will be aware of research opportunities and how to access them</w:t>
      </w:r>
      <w:r w:rsidRPr="00587DF1">
        <w:rPr>
          <w:rFonts w:ascii="Arial" w:eastAsia="Arial" w:hAnsi="Arial" w:cs="Arial"/>
        </w:rPr>
        <w:t>. In this way it is planned that more patients will be able to participate in research trials, bringing individual and societal benefits.</w:t>
      </w:r>
    </w:p>
    <w:p w14:paraId="47DC25F0" w14:textId="77777777" w:rsidR="004A7E6A" w:rsidRPr="00587DF1" w:rsidRDefault="004A7E6A" w:rsidP="004A7E6A">
      <w:pPr>
        <w:pBdr>
          <w:top w:val="nil"/>
          <w:left w:val="nil"/>
          <w:bottom w:val="nil"/>
          <w:right w:val="nil"/>
          <w:between w:val="nil"/>
        </w:pBdr>
        <w:tabs>
          <w:tab w:val="left" w:pos="567"/>
        </w:tabs>
        <w:rPr>
          <w:rFonts w:ascii="Arial" w:eastAsia="Arial" w:hAnsi="Arial" w:cs="Arial"/>
          <w:bCs/>
          <w:color w:val="000000"/>
          <w:highlight w:val="yellow"/>
        </w:rPr>
      </w:pPr>
    </w:p>
    <w:p w14:paraId="63A851D6" w14:textId="77777777" w:rsidR="004A7E6A" w:rsidRPr="00587DF1" w:rsidRDefault="004A7E6A" w:rsidP="005E0D57">
      <w:pPr>
        <w:pStyle w:val="Heading2"/>
        <w:numPr>
          <w:ilvl w:val="1"/>
          <w:numId w:val="1"/>
        </w:numPr>
        <w:spacing w:after="240"/>
        <w:rPr>
          <w:rFonts w:ascii="Arial" w:eastAsia="Arial" w:hAnsi="Arial" w:cs="Arial"/>
        </w:rPr>
      </w:pPr>
      <w:bookmarkStart w:id="235" w:name="_Ref24033839"/>
      <w:bookmarkStart w:id="236" w:name="_Toc32842722"/>
      <w:bookmarkStart w:id="237" w:name="_Hlk20238356"/>
      <w:r w:rsidRPr="00587DF1">
        <w:rPr>
          <w:rFonts w:ascii="Arial" w:eastAsia="Arial" w:hAnsi="Arial" w:cs="Arial"/>
        </w:rPr>
        <w:t>Education</w:t>
      </w:r>
      <w:bookmarkEnd w:id="235"/>
      <w:bookmarkEnd w:id="236"/>
    </w:p>
    <w:p w14:paraId="4B585CED" w14:textId="01BC9004" w:rsidR="004A7E6A" w:rsidRPr="00587DF1" w:rsidRDefault="004A7E6A" w:rsidP="004A7E6A">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 xml:space="preserve">Clinical education is provided by UCL in partnership with Moorfields at all levels, from undergraduate and postgraduate, to short courses and professional development, and clinical fellowships. The partners have developed a joint education strategy (described in section </w:t>
      </w:r>
      <w:r w:rsidR="005F074A" w:rsidRPr="00587DF1">
        <w:rPr>
          <w:rFonts w:ascii="Arial" w:eastAsia="Arial" w:hAnsi="Arial" w:cs="Arial"/>
          <w:bCs/>
          <w:color w:val="000000"/>
        </w:rPr>
        <w:fldChar w:fldCharType="begin"/>
      </w:r>
      <w:r w:rsidR="005F074A" w:rsidRPr="00587DF1">
        <w:rPr>
          <w:rFonts w:ascii="Arial" w:eastAsia="Arial" w:hAnsi="Arial" w:cs="Arial"/>
          <w:bCs/>
          <w:color w:val="000000"/>
        </w:rPr>
        <w:instrText xml:space="preserve"> REF _Ref25598946 \r \h </w:instrText>
      </w:r>
      <w:r w:rsidR="00587DF1">
        <w:rPr>
          <w:rFonts w:ascii="Arial" w:eastAsia="Arial" w:hAnsi="Arial" w:cs="Arial"/>
          <w:bCs/>
          <w:color w:val="000000"/>
        </w:rPr>
        <w:instrText xml:space="preserve"> \* MERGEFORMAT </w:instrText>
      </w:r>
      <w:r w:rsidR="005F074A" w:rsidRPr="00587DF1">
        <w:rPr>
          <w:rFonts w:ascii="Arial" w:eastAsia="Arial" w:hAnsi="Arial" w:cs="Arial"/>
          <w:bCs/>
          <w:color w:val="000000"/>
        </w:rPr>
      </w:r>
      <w:r w:rsidR="005F074A" w:rsidRPr="00587DF1">
        <w:rPr>
          <w:rFonts w:ascii="Arial" w:eastAsia="Arial" w:hAnsi="Arial" w:cs="Arial"/>
          <w:bCs/>
          <w:color w:val="000000"/>
        </w:rPr>
        <w:fldChar w:fldCharType="separate"/>
      </w:r>
      <w:r w:rsidR="00A936CD">
        <w:rPr>
          <w:rFonts w:ascii="Arial" w:eastAsia="Arial" w:hAnsi="Arial" w:cs="Arial"/>
          <w:bCs/>
          <w:color w:val="000000"/>
        </w:rPr>
        <w:t>3.4.2</w:t>
      </w:r>
      <w:r w:rsidR="005F074A" w:rsidRPr="00587DF1">
        <w:rPr>
          <w:rFonts w:ascii="Arial" w:eastAsia="Arial" w:hAnsi="Arial" w:cs="Arial"/>
          <w:bCs/>
          <w:color w:val="000000"/>
        </w:rPr>
        <w:fldChar w:fldCharType="end"/>
      </w:r>
      <w:r w:rsidRPr="00587DF1">
        <w:rPr>
          <w:rFonts w:ascii="Arial" w:eastAsia="Arial" w:hAnsi="Arial" w:cs="Arial"/>
          <w:bCs/>
          <w:color w:val="000000"/>
        </w:rPr>
        <w:t xml:space="preserve">) which sets out the aspiration to be the world leading organisations for vision and eye health education over the next five years.  </w:t>
      </w:r>
      <w:r w:rsidR="005F074A" w:rsidRPr="00587DF1">
        <w:rPr>
          <w:rFonts w:ascii="Arial" w:eastAsia="Arial" w:hAnsi="Arial" w:cs="Arial"/>
          <w:bCs/>
          <w:color w:val="000000"/>
        </w:rPr>
        <w:t>The partners plan</w:t>
      </w:r>
      <w:r w:rsidRPr="00587DF1">
        <w:rPr>
          <w:rFonts w:ascii="Arial" w:eastAsia="Arial" w:hAnsi="Arial" w:cs="Arial"/>
          <w:bCs/>
          <w:color w:val="000000"/>
        </w:rPr>
        <w:t xml:space="preserve"> to expand provision of degree and short courses, as well as using technology and innovation in terms of the courses and way in which they are taught.</w:t>
      </w:r>
      <w:r w:rsidR="005F074A" w:rsidRPr="00587DF1">
        <w:rPr>
          <w:rFonts w:ascii="Arial" w:eastAsia="Arial" w:hAnsi="Arial" w:cs="Arial"/>
          <w:bCs/>
          <w:color w:val="000000"/>
        </w:rPr>
        <w:t xml:space="preserve"> Moorfields will benefit from more high-quality clinical staff who are likely to remain at the trust.</w:t>
      </w:r>
    </w:p>
    <w:p w14:paraId="17F1D64D" w14:textId="77777777" w:rsidR="00C430AE" w:rsidRPr="00587DF1" w:rsidRDefault="004A7E6A" w:rsidP="00C430AE">
      <w:pPr>
        <w:spacing w:after="0"/>
        <w:rPr>
          <w:rFonts w:ascii="Arial" w:eastAsia="Arial" w:hAnsi="Arial" w:cs="Arial"/>
        </w:rPr>
      </w:pPr>
      <w:r w:rsidRPr="00587DF1">
        <w:rPr>
          <w:rFonts w:ascii="Arial" w:eastAsia="Arial" w:hAnsi="Arial" w:cs="Arial"/>
          <w:bCs/>
          <w:color w:val="000000"/>
        </w:rPr>
        <w:t xml:space="preserve">As previously stated, the estate is the biggest barrier to the partners’ ability to offer a higher-quality student and staff experience.  The current space both at the IoO and </w:t>
      </w:r>
      <w:r w:rsidR="00C430AE" w:rsidRPr="00587DF1">
        <w:rPr>
          <w:rFonts w:ascii="Arial" w:eastAsia="Arial" w:hAnsi="Arial" w:cs="Arial"/>
        </w:rPr>
        <w:t>Moorfields</w:t>
      </w:r>
    </w:p>
    <w:p w14:paraId="33B71886" w14:textId="77777777" w:rsidR="004A7E6A" w:rsidRPr="00587DF1" w:rsidRDefault="004A7E6A" w:rsidP="004A7E6A">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 xml:space="preserve">is not fit for purpose and does not do either institution or the highly qualified staff justice.  It does not offer sufficient capacity, is poorly configured and does not provide all of the facilities </w:t>
      </w:r>
      <w:r w:rsidRPr="00587DF1">
        <w:rPr>
          <w:rFonts w:ascii="Arial" w:eastAsia="Arial" w:hAnsi="Arial" w:cs="Arial"/>
          <w:bCs/>
          <w:color w:val="000000"/>
        </w:rPr>
        <w:lastRenderedPageBreak/>
        <w:t>required such as wet labs for students</w:t>
      </w:r>
      <w:r w:rsidR="00DF7943" w:rsidRPr="00587DF1">
        <w:rPr>
          <w:rFonts w:ascii="Arial" w:eastAsia="Arial" w:hAnsi="Arial" w:cs="Arial"/>
          <w:bCs/>
          <w:color w:val="000000"/>
        </w:rPr>
        <w:t xml:space="preserve"> </w:t>
      </w:r>
      <w:r w:rsidRPr="00587DF1">
        <w:rPr>
          <w:rFonts w:ascii="Arial" w:eastAsia="Arial" w:hAnsi="Arial" w:cs="Arial"/>
          <w:bCs/>
          <w:color w:val="000000"/>
        </w:rPr>
        <w:t>or simulation and silt lamp areas which can accommodate large numbers of students.</w:t>
      </w:r>
    </w:p>
    <w:p w14:paraId="12348A46" w14:textId="77777777" w:rsidR="004A7E6A" w:rsidRPr="00587DF1" w:rsidRDefault="004A7E6A" w:rsidP="004A7E6A">
      <w:pPr>
        <w:pBdr>
          <w:top w:val="nil"/>
          <w:left w:val="nil"/>
          <w:bottom w:val="nil"/>
          <w:right w:val="nil"/>
          <w:between w:val="nil"/>
        </w:pBdr>
        <w:tabs>
          <w:tab w:val="left" w:pos="567"/>
        </w:tabs>
        <w:rPr>
          <w:rFonts w:ascii="Arial" w:eastAsia="Arial" w:hAnsi="Arial" w:cs="Arial"/>
          <w:bCs/>
          <w:color w:val="000000"/>
        </w:rPr>
      </w:pPr>
      <w:bookmarkStart w:id="238" w:name="_Hlk27738257"/>
      <w:r w:rsidRPr="00587DF1">
        <w:rPr>
          <w:rFonts w:ascii="Arial" w:eastAsia="Arial" w:hAnsi="Arial" w:cs="Arial"/>
          <w:bCs/>
          <w:color w:val="000000"/>
        </w:rPr>
        <w:t>Oriel will provide the partners with the opportunity to have state of the art learning facilitates that match the need and the future of learning and teaching. It will provide proper training rooms that facilitate student interaction and use of technology.</w:t>
      </w:r>
    </w:p>
    <w:bookmarkEnd w:id="238"/>
    <w:p w14:paraId="04A95EBF" w14:textId="77777777" w:rsidR="004A7E6A" w:rsidRPr="00587DF1" w:rsidRDefault="004A7E6A" w:rsidP="004A7E6A">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 xml:space="preserve">The location at St Pancras will </w:t>
      </w:r>
      <w:r w:rsidR="00DF7943" w:rsidRPr="00587DF1">
        <w:rPr>
          <w:rFonts w:ascii="Arial" w:eastAsia="Arial" w:hAnsi="Arial" w:cs="Arial"/>
          <w:bCs/>
          <w:color w:val="000000"/>
        </w:rPr>
        <w:t>place</w:t>
      </w:r>
      <w:r w:rsidRPr="00587DF1">
        <w:rPr>
          <w:rFonts w:ascii="Arial" w:eastAsia="Arial" w:hAnsi="Arial" w:cs="Arial"/>
          <w:bCs/>
          <w:color w:val="000000"/>
        </w:rPr>
        <w:t xml:space="preserve"> students closer to the main UCL campus, with the benefit of access to expanded resources, different faculty expertise, and a less isolating (and therefore more attractive) student experience. The new facility will be flexible so that sizes of classrooms and what can be done in </w:t>
      </w:r>
      <w:r w:rsidR="00DF7943" w:rsidRPr="00587DF1">
        <w:rPr>
          <w:rFonts w:ascii="Arial" w:eastAsia="Arial" w:hAnsi="Arial" w:cs="Arial"/>
          <w:bCs/>
          <w:color w:val="000000"/>
        </w:rPr>
        <w:t>them</w:t>
      </w:r>
      <w:r w:rsidRPr="00587DF1">
        <w:rPr>
          <w:rFonts w:ascii="Arial" w:eastAsia="Arial" w:hAnsi="Arial" w:cs="Arial"/>
          <w:bCs/>
          <w:color w:val="000000"/>
        </w:rPr>
        <w:t xml:space="preserve"> is changeable.</w:t>
      </w:r>
    </w:p>
    <w:p w14:paraId="70A48B84" w14:textId="77777777" w:rsidR="004A7E6A" w:rsidRPr="00587DF1" w:rsidRDefault="004A7E6A" w:rsidP="005E0D57">
      <w:pPr>
        <w:numPr>
          <w:ilvl w:val="2"/>
          <w:numId w:val="1"/>
        </w:numPr>
        <w:pBdr>
          <w:top w:val="nil"/>
          <w:left w:val="nil"/>
          <w:bottom w:val="nil"/>
          <w:right w:val="nil"/>
          <w:between w:val="nil"/>
        </w:pBdr>
        <w:tabs>
          <w:tab w:val="left" w:pos="567"/>
        </w:tabs>
        <w:spacing w:after="0"/>
        <w:jc w:val="both"/>
        <w:rPr>
          <w:rFonts w:ascii="Arial" w:eastAsia="Arial" w:hAnsi="Arial" w:cs="Arial"/>
          <w:b/>
          <w:color w:val="000000"/>
        </w:rPr>
      </w:pPr>
      <w:r w:rsidRPr="00587DF1">
        <w:rPr>
          <w:rFonts w:ascii="Arial" w:eastAsia="Arial" w:hAnsi="Arial" w:cs="Arial"/>
          <w:b/>
          <w:color w:val="000000"/>
        </w:rPr>
        <w:t>Opportunities for improvement</w:t>
      </w:r>
    </w:p>
    <w:p w14:paraId="738947C1" w14:textId="77777777" w:rsidR="004A7E6A" w:rsidRPr="00587DF1" w:rsidRDefault="004A7E6A" w:rsidP="004A7E6A">
      <w:pPr>
        <w:pBdr>
          <w:top w:val="nil"/>
          <w:left w:val="nil"/>
          <w:bottom w:val="nil"/>
          <w:right w:val="nil"/>
          <w:between w:val="nil"/>
        </w:pBdr>
        <w:tabs>
          <w:tab w:val="left" w:pos="567"/>
        </w:tabs>
        <w:spacing w:after="0"/>
        <w:rPr>
          <w:rFonts w:ascii="Arial" w:eastAsia="Arial" w:hAnsi="Arial" w:cs="Arial"/>
          <w:bCs/>
          <w:color w:val="000000"/>
        </w:rPr>
      </w:pPr>
    </w:p>
    <w:p w14:paraId="74929A3E" w14:textId="77777777" w:rsidR="004A7E6A" w:rsidRPr="00587DF1" w:rsidRDefault="004A7E6A" w:rsidP="004A7E6A">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The education provision in Oriel will enable the partners to:</w:t>
      </w:r>
    </w:p>
    <w:p w14:paraId="3734225A" w14:textId="63B9675B" w:rsidR="004A7E6A" w:rsidRPr="00587DF1" w:rsidRDefault="004A7E6A" w:rsidP="005E0D57">
      <w:pPr>
        <w:pStyle w:val="ListParagraph"/>
        <w:numPr>
          <w:ilvl w:val="0"/>
          <w:numId w:val="35"/>
        </w:numPr>
        <w:spacing w:after="160" w:line="256" w:lineRule="auto"/>
        <w:rPr>
          <w:rFonts w:ascii="Arial" w:hAnsi="Arial" w:cs="Arial"/>
        </w:rPr>
      </w:pPr>
      <w:bookmarkStart w:id="239" w:name="_Hlk516351859"/>
      <w:r w:rsidRPr="00587DF1">
        <w:rPr>
          <w:rFonts w:ascii="Arial" w:hAnsi="Arial" w:cs="Arial"/>
        </w:rPr>
        <w:t xml:space="preserve">Develop an excellent portfolio of degree programmes that </w:t>
      </w:r>
      <w:r w:rsidR="00D76672">
        <w:rPr>
          <w:rFonts w:ascii="Arial" w:hAnsi="Arial" w:cs="Arial"/>
        </w:rPr>
        <w:t>reflects</w:t>
      </w:r>
      <w:r w:rsidRPr="00587DF1">
        <w:rPr>
          <w:rFonts w:ascii="Arial" w:hAnsi="Arial" w:cs="Arial"/>
        </w:rPr>
        <w:t xml:space="preserve"> </w:t>
      </w:r>
      <w:r w:rsidR="00E10C97">
        <w:rPr>
          <w:rFonts w:ascii="Arial" w:hAnsi="Arial" w:cs="Arial"/>
        </w:rPr>
        <w:t>their</w:t>
      </w:r>
      <w:r w:rsidRPr="00587DF1">
        <w:rPr>
          <w:rFonts w:ascii="Arial" w:hAnsi="Arial" w:cs="Arial"/>
        </w:rPr>
        <w:t xml:space="preserve"> reputation in both clinical practice and life sciences including new modes of delivery.</w:t>
      </w:r>
    </w:p>
    <w:p w14:paraId="6616AAD6" w14:textId="1D919796" w:rsidR="004A7E6A" w:rsidRPr="00587DF1" w:rsidRDefault="004A7E6A" w:rsidP="005E0D57">
      <w:pPr>
        <w:pStyle w:val="ListParagraph"/>
        <w:numPr>
          <w:ilvl w:val="0"/>
          <w:numId w:val="35"/>
        </w:numPr>
        <w:spacing w:after="160" w:line="256" w:lineRule="auto"/>
        <w:rPr>
          <w:rFonts w:ascii="Arial" w:hAnsi="Arial" w:cs="Arial"/>
        </w:rPr>
      </w:pPr>
      <w:bookmarkStart w:id="240" w:name="_Hlk516354096"/>
      <w:bookmarkEnd w:id="239"/>
      <w:r w:rsidRPr="00587DF1">
        <w:rPr>
          <w:rFonts w:ascii="Arial" w:hAnsi="Arial" w:cs="Arial"/>
        </w:rPr>
        <w:t xml:space="preserve">Ensure lifelong learning through an extensive range of short courses, continuous professional and personal development that is offered across </w:t>
      </w:r>
      <w:r w:rsidR="00E10C97">
        <w:rPr>
          <w:rFonts w:ascii="Arial" w:hAnsi="Arial" w:cs="Arial"/>
        </w:rPr>
        <w:t xml:space="preserve">their </w:t>
      </w:r>
      <w:r w:rsidRPr="00587DF1">
        <w:rPr>
          <w:rFonts w:ascii="Arial" w:hAnsi="Arial" w:cs="Arial"/>
        </w:rPr>
        <w:t>areas of expertise.</w:t>
      </w:r>
    </w:p>
    <w:p w14:paraId="0EA4D346" w14:textId="77777777" w:rsidR="004A7E6A" w:rsidRPr="00587DF1" w:rsidRDefault="004A7E6A" w:rsidP="005E0D57">
      <w:pPr>
        <w:pStyle w:val="ListParagraph"/>
        <w:numPr>
          <w:ilvl w:val="0"/>
          <w:numId w:val="35"/>
        </w:numPr>
        <w:spacing w:after="160" w:line="256" w:lineRule="auto"/>
        <w:rPr>
          <w:rFonts w:ascii="Arial" w:hAnsi="Arial" w:cs="Arial"/>
        </w:rPr>
      </w:pPr>
      <w:bookmarkStart w:id="241" w:name="_Hlk516354680"/>
      <w:bookmarkEnd w:id="240"/>
      <w:r w:rsidRPr="00587DF1">
        <w:rPr>
          <w:rFonts w:ascii="Arial" w:hAnsi="Arial" w:cs="Arial"/>
        </w:rPr>
        <w:t>Manage the pipeline of volunteers, learners, students and trainees through diverse and inclusive education programmes.</w:t>
      </w:r>
    </w:p>
    <w:bookmarkEnd w:id="241"/>
    <w:p w14:paraId="6449DDBF" w14:textId="0D451ADF" w:rsidR="004A7E6A" w:rsidRPr="00587DF1" w:rsidRDefault="004A7E6A" w:rsidP="005E0D57">
      <w:pPr>
        <w:pStyle w:val="ListParagraph"/>
        <w:numPr>
          <w:ilvl w:val="0"/>
          <w:numId w:val="35"/>
        </w:numPr>
        <w:spacing w:after="160" w:line="256" w:lineRule="auto"/>
        <w:rPr>
          <w:rFonts w:ascii="Arial" w:hAnsi="Arial" w:cs="Arial"/>
        </w:rPr>
      </w:pPr>
      <w:r w:rsidRPr="00587DF1">
        <w:rPr>
          <w:rFonts w:ascii="Arial" w:hAnsi="Arial" w:cs="Arial"/>
        </w:rPr>
        <w:t>Transform the teaching and learning of clinicians, nurses, allied health professionals, postdoctoral researchers, doctoral candidates and staff to grow education and training capacities.</w:t>
      </w:r>
    </w:p>
    <w:p w14:paraId="00CCE6DF" w14:textId="77777777" w:rsidR="004A7E6A" w:rsidRPr="00587DF1" w:rsidRDefault="004A7E6A" w:rsidP="005E0D57">
      <w:pPr>
        <w:pStyle w:val="ListParagraph"/>
        <w:numPr>
          <w:ilvl w:val="0"/>
          <w:numId w:val="35"/>
        </w:numPr>
        <w:spacing w:after="160" w:line="256" w:lineRule="auto"/>
        <w:rPr>
          <w:rFonts w:ascii="Arial" w:hAnsi="Arial" w:cs="Arial"/>
        </w:rPr>
      </w:pPr>
      <w:bookmarkStart w:id="242" w:name="_Hlk516354790"/>
      <w:r w:rsidRPr="00587DF1">
        <w:rPr>
          <w:rFonts w:ascii="Arial" w:hAnsi="Arial" w:cs="Arial"/>
        </w:rPr>
        <w:t>Explore innovative ways of engaging and educating society through an online learning resource centre that offers an array of exceptional digital resources and opportunities.</w:t>
      </w:r>
    </w:p>
    <w:p w14:paraId="4FC19D80" w14:textId="2F2492F6" w:rsidR="004A7E6A" w:rsidRPr="00587DF1" w:rsidRDefault="004A7E6A" w:rsidP="005E0D57">
      <w:pPr>
        <w:pStyle w:val="ListParagraph"/>
        <w:numPr>
          <w:ilvl w:val="0"/>
          <w:numId w:val="35"/>
        </w:numPr>
        <w:spacing w:after="160" w:line="256" w:lineRule="auto"/>
        <w:rPr>
          <w:rFonts w:ascii="Arial" w:hAnsi="Arial" w:cs="Arial"/>
        </w:rPr>
      </w:pPr>
      <w:bookmarkStart w:id="243" w:name="_Hlk516354844"/>
      <w:bookmarkEnd w:id="242"/>
      <w:r w:rsidRPr="00587DF1">
        <w:rPr>
          <w:rFonts w:ascii="Arial" w:hAnsi="Arial" w:cs="Arial"/>
        </w:rPr>
        <w:t>Revitalise the curriculum and our approach to education to create the best experience for students.</w:t>
      </w:r>
    </w:p>
    <w:p w14:paraId="51C422F3" w14:textId="77777777" w:rsidR="004A7E6A" w:rsidRPr="00587DF1" w:rsidRDefault="004A7E6A" w:rsidP="005E0D57">
      <w:pPr>
        <w:pStyle w:val="ListParagraph"/>
        <w:numPr>
          <w:ilvl w:val="0"/>
          <w:numId w:val="35"/>
        </w:numPr>
        <w:spacing w:after="160" w:line="256" w:lineRule="auto"/>
        <w:rPr>
          <w:rFonts w:ascii="Arial" w:hAnsi="Arial" w:cs="Arial"/>
        </w:rPr>
      </w:pPr>
      <w:bookmarkStart w:id="244" w:name="_Hlk516354968"/>
      <w:bookmarkEnd w:id="243"/>
      <w:r w:rsidRPr="00587DF1">
        <w:rPr>
          <w:rFonts w:ascii="Arial" w:hAnsi="Arial" w:cs="Arial"/>
        </w:rPr>
        <w:t xml:space="preserve">Build an interactive education space that supports innovation and flexible learning. </w:t>
      </w:r>
      <w:bookmarkEnd w:id="244"/>
    </w:p>
    <w:p w14:paraId="6C7D9559" w14:textId="6E25B6EC" w:rsidR="004A7E6A" w:rsidRPr="00587DF1" w:rsidRDefault="00D76672" w:rsidP="004A7E6A">
      <w:p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C</w:t>
      </w:r>
      <w:r w:rsidR="004A7E6A" w:rsidRPr="00587DF1">
        <w:rPr>
          <w:rFonts w:ascii="Arial" w:eastAsia="Arial" w:hAnsi="Arial" w:cs="Arial"/>
          <w:bCs/>
          <w:color w:val="000000"/>
        </w:rPr>
        <w:t>o-location with research and clinical areas will encourage a culture shift which places education and development of the future workforce as a key priority for all staff. All staff will have the opportunity to develop their skill set within their competency, which will enable them to further their careers, and provide Moorfields with a more highly skilled, flexible workforce.</w:t>
      </w:r>
    </w:p>
    <w:p w14:paraId="28D765B4" w14:textId="77777777" w:rsidR="004A7E6A" w:rsidRPr="00587DF1" w:rsidRDefault="004A7E6A" w:rsidP="004A7E6A">
      <w:pPr>
        <w:pBdr>
          <w:top w:val="nil"/>
          <w:left w:val="nil"/>
          <w:bottom w:val="nil"/>
          <w:right w:val="nil"/>
          <w:between w:val="nil"/>
        </w:pBdr>
        <w:tabs>
          <w:tab w:val="left" w:pos="567"/>
        </w:tabs>
        <w:rPr>
          <w:rFonts w:ascii="Arial" w:eastAsia="Arial" w:hAnsi="Arial" w:cs="Arial"/>
          <w:bCs/>
          <w:color w:val="000000"/>
        </w:rPr>
      </w:pPr>
      <w:bookmarkStart w:id="245" w:name="_Hlk27740934"/>
      <w:r w:rsidRPr="00587DF1">
        <w:rPr>
          <w:rFonts w:ascii="Arial" w:eastAsia="Arial" w:hAnsi="Arial" w:cs="Arial"/>
          <w:bCs/>
          <w:color w:val="000000"/>
        </w:rPr>
        <w:t>Students in ophthalmology, optometry and nursing will benefit from more exposure to clinical practice, which will improve the quality of their education. Oriel will also serve as a recruitment tool, providing an attractive place to work for the best graduates as well as more experienced staff from other trusts.</w:t>
      </w:r>
    </w:p>
    <w:bookmarkEnd w:id="245"/>
    <w:p w14:paraId="6A65734B" w14:textId="77777777" w:rsidR="004A7E6A" w:rsidRPr="00587DF1" w:rsidRDefault="004A7E6A" w:rsidP="005E0D57">
      <w:pPr>
        <w:numPr>
          <w:ilvl w:val="2"/>
          <w:numId w:val="1"/>
        </w:numPr>
        <w:pBdr>
          <w:top w:val="nil"/>
          <w:left w:val="nil"/>
          <w:bottom w:val="nil"/>
          <w:right w:val="nil"/>
          <w:between w:val="nil"/>
        </w:pBdr>
        <w:tabs>
          <w:tab w:val="left" w:pos="567"/>
        </w:tabs>
        <w:spacing w:after="0"/>
        <w:jc w:val="both"/>
        <w:rPr>
          <w:rFonts w:ascii="Arial" w:eastAsia="Arial" w:hAnsi="Arial" w:cs="Arial"/>
          <w:b/>
          <w:color w:val="000000"/>
        </w:rPr>
      </w:pPr>
      <w:r w:rsidRPr="00587DF1">
        <w:rPr>
          <w:rFonts w:ascii="Arial" w:eastAsia="Arial" w:hAnsi="Arial" w:cs="Arial"/>
          <w:b/>
          <w:color w:val="000000"/>
        </w:rPr>
        <w:t>Oriel enablers</w:t>
      </w:r>
    </w:p>
    <w:p w14:paraId="5104FA55" w14:textId="77777777" w:rsidR="004A7E6A" w:rsidRPr="00587DF1" w:rsidRDefault="004A7E6A" w:rsidP="004A7E6A">
      <w:pPr>
        <w:pBdr>
          <w:top w:val="nil"/>
          <w:left w:val="nil"/>
          <w:bottom w:val="nil"/>
          <w:right w:val="nil"/>
          <w:between w:val="nil"/>
        </w:pBdr>
        <w:tabs>
          <w:tab w:val="left" w:pos="567"/>
        </w:tabs>
        <w:spacing w:after="0"/>
        <w:rPr>
          <w:rFonts w:ascii="Arial" w:eastAsia="Arial" w:hAnsi="Arial" w:cs="Arial"/>
          <w:bCs/>
          <w:color w:val="000000"/>
        </w:rPr>
      </w:pPr>
    </w:p>
    <w:p w14:paraId="470472E8" w14:textId="53CD2618" w:rsidR="004A7E6A" w:rsidRPr="00587DF1" w:rsidRDefault="004A7E6A" w:rsidP="004A7E6A">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In order to facilitate improvements in education, and delivery of the partners’ joint education strategy, Oriel will provide</w:t>
      </w:r>
      <w:r w:rsidR="0025490F">
        <w:rPr>
          <w:rFonts w:ascii="Arial" w:eastAsia="Arial" w:hAnsi="Arial" w:cs="Arial"/>
          <w:bCs/>
          <w:color w:val="000000"/>
        </w:rPr>
        <w:t>:</w:t>
      </w:r>
    </w:p>
    <w:p w14:paraId="10B91AEE" w14:textId="003B47C1" w:rsidR="004A7E6A" w:rsidRPr="00587DF1" w:rsidRDefault="004A7E6A" w:rsidP="005E0D57">
      <w:pPr>
        <w:numPr>
          <w:ilvl w:val="1"/>
          <w:numId w:val="30"/>
        </w:numPr>
        <w:tabs>
          <w:tab w:val="clear" w:pos="1440"/>
          <w:tab w:val="num" w:pos="1287"/>
        </w:tabs>
        <w:spacing w:after="0" w:line="264" w:lineRule="auto"/>
        <w:ind w:left="720"/>
        <w:rPr>
          <w:rFonts w:ascii="Arial" w:eastAsiaTheme="minorHAnsi" w:hAnsi="Arial" w:cs="Arial"/>
          <w:lang w:eastAsia="en-US"/>
        </w:rPr>
      </w:pPr>
      <w:r w:rsidRPr="00587DF1">
        <w:rPr>
          <w:rFonts w:ascii="Arial" w:eastAsiaTheme="minorHAnsi" w:hAnsi="Arial" w:cs="Arial"/>
          <w:lang w:eastAsia="en-US"/>
        </w:rPr>
        <w:t>Flexible open learning space that can be repurposed easily and quickly, with movable surfaces and as few hard walls as possible</w:t>
      </w:r>
      <w:r w:rsidR="0025490F">
        <w:rPr>
          <w:rFonts w:ascii="Arial" w:eastAsiaTheme="minorHAnsi" w:hAnsi="Arial" w:cs="Arial"/>
          <w:lang w:eastAsia="en-US"/>
        </w:rPr>
        <w:t>.</w:t>
      </w:r>
    </w:p>
    <w:p w14:paraId="284ADE79" w14:textId="7D3C7334" w:rsidR="004A7E6A" w:rsidRPr="00587DF1" w:rsidRDefault="004A7E6A" w:rsidP="005E0D57">
      <w:pPr>
        <w:numPr>
          <w:ilvl w:val="1"/>
          <w:numId w:val="30"/>
        </w:numPr>
        <w:tabs>
          <w:tab w:val="clear" w:pos="1440"/>
          <w:tab w:val="num" w:pos="1287"/>
        </w:tabs>
        <w:spacing w:after="0" w:line="264" w:lineRule="auto"/>
        <w:ind w:left="720"/>
        <w:rPr>
          <w:rFonts w:ascii="Arial" w:eastAsiaTheme="minorHAnsi" w:hAnsi="Arial" w:cs="Arial"/>
          <w:lang w:eastAsia="en-US"/>
        </w:rPr>
      </w:pPr>
      <w:r w:rsidRPr="00587DF1">
        <w:rPr>
          <w:rFonts w:ascii="Arial" w:eastAsiaTheme="minorHAnsi" w:hAnsi="Arial" w:cs="Arial"/>
          <w:lang w:eastAsia="en-US"/>
        </w:rPr>
        <w:lastRenderedPageBreak/>
        <w:t>Space for events, gathering and socialising that can be flexible for learning and presentations</w:t>
      </w:r>
      <w:r w:rsidR="0025490F">
        <w:rPr>
          <w:rFonts w:ascii="Arial" w:eastAsiaTheme="minorHAnsi" w:hAnsi="Arial" w:cs="Arial"/>
          <w:lang w:eastAsia="en-US"/>
        </w:rPr>
        <w:t>.</w:t>
      </w:r>
    </w:p>
    <w:p w14:paraId="5B45A2C5" w14:textId="131C85A9" w:rsidR="004A7E6A" w:rsidRPr="00587DF1" w:rsidRDefault="004A7E6A" w:rsidP="005E0D57">
      <w:pPr>
        <w:numPr>
          <w:ilvl w:val="1"/>
          <w:numId w:val="30"/>
        </w:numPr>
        <w:tabs>
          <w:tab w:val="clear" w:pos="1440"/>
          <w:tab w:val="num" w:pos="1287"/>
        </w:tabs>
        <w:spacing w:after="0" w:line="264" w:lineRule="auto"/>
        <w:ind w:left="720"/>
        <w:rPr>
          <w:rFonts w:ascii="Arial" w:eastAsiaTheme="minorHAnsi" w:hAnsi="Arial" w:cs="Arial"/>
          <w:lang w:eastAsia="en-US"/>
        </w:rPr>
      </w:pPr>
      <w:r w:rsidRPr="00587DF1">
        <w:rPr>
          <w:rFonts w:ascii="Arial" w:eastAsiaTheme="minorHAnsi" w:hAnsi="Arial" w:cs="Arial"/>
          <w:lang w:eastAsia="en-US"/>
        </w:rPr>
        <w:t>Use of furnishings for collaboration and for focus study space in gathering areas</w:t>
      </w:r>
      <w:r w:rsidR="0025490F">
        <w:rPr>
          <w:rFonts w:ascii="Arial" w:eastAsiaTheme="minorHAnsi" w:hAnsi="Arial" w:cs="Arial"/>
          <w:lang w:eastAsia="en-US"/>
        </w:rPr>
        <w:t>.</w:t>
      </w:r>
    </w:p>
    <w:p w14:paraId="19823F1A" w14:textId="48405852" w:rsidR="004A7E6A" w:rsidRPr="00587DF1" w:rsidRDefault="004A7E6A" w:rsidP="005E0D57">
      <w:pPr>
        <w:numPr>
          <w:ilvl w:val="1"/>
          <w:numId w:val="30"/>
        </w:numPr>
        <w:tabs>
          <w:tab w:val="clear" w:pos="1440"/>
          <w:tab w:val="num" w:pos="1287"/>
        </w:tabs>
        <w:spacing w:after="0" w:line="264" w:lineRule="auto"/>
        <w:ind w:left="720"/>
        <w:rPr>
          <w:rFonts w:ascii="Arial" w:eastAsiaTheme="minorHAnsi" w:hAnsi="Arial" w:cs="Arial"/>
          <w:lang w:eastAsia="en-US"/>
        </w:rPr>
      </w:pPr>
      <w:r w:rsidRPr="00587DF1">
        <w:rPr>
          <w:rFonts w:ascii="Arial" w:eastAsiaTheme="minorHAnsi" w:hAnsi="Arial" w:cs="Arial"/>
          <w:lang w:eastAsia="en-US"/>
        </w:rPr>
        <w:t>Integrated and immersive technology, moveable IT equipment that works in flexible space and a fit-for-purpose simulation lab</w:t>
      </w:r>
      <w:r w:rsidR="0025490F">
        <w:rPr>
          <w:rFonts w:ascii="Arial" w:eastAsiaTheme="minorHAnsi" w:hAnsi="Arial" w:cs="Arial"/>
          <w:lang w:eastAsia="en-US"/>
        </w:rPr>
        <w:t>.</w:t>
      </w:r>
    </w:p>
    <w:p w14:paraId="34BB92A0" w14:textId="678916E8" w:rsidR="004A7E6A" w:rsidRPr="00587DF1" w:rsidRDefault="004A7E6A" w:rsidP="005E0D57">
      <w:pPr>
        <w:numPr>
          <w:ilvl w:val="1"/>
          <w:numId w:val="30"/>
        </w:numPr>
        <w:tabs>
          <w:tab w:val="clear" w:pos="1440"/>
          <w:tab w:val="num" w:pos="1287"/>
        </w:tabs>
        <w:spacing w:after="0" w:line="264" w:lineRule="auto"/>
        <w:ind w:left="720"/>
        <w:rPr>
          <w:rFonts w:ascii="Arial" w:eastAsiaTheme="minorHAnsi" w:hAnsi="Arial" w:cs="Arial"/>
          <w:lang w:eastAsia="en-US"/>
        </w:rPr>
      </w:pPr>
      <w:r w:rsidRPr="00587DF1">
        <w:rPr>
          <w:rFonts w:ascii="Arial" w:eastAsiaTheme="minorHAnsi" w:hAnsi="Arial" w:cs="Arial"/>
          <w:lang w:eastAsia="en-US"/>
        </w:rPr>
        <w:t>Movable specialised equipment points</w:t>
      </w:r>
      <w:r w:rsidR="0025490F">
        <w:rPr>
          <w:rFonts w:ascii="Arial" w:eastAsiaTheme="minorHAnsi" w:hAnsi="Arial" w:cs="Arial"/>
          <w:lang w:eastAsia="en-US"/>
        </w:rPr>
        <w:t>.</w:t>
      </w:r>
    </w:p>
    <w:p w14:paraId="1AF4D739" w14:textId="1140A950" w:rsidR="004A7E6A" w:rsidRPr="00587DF1" w:rsidRDefault="004A7E6A" w:rsidP="005E0D57">
      <w:pPr>
        <w:numPr>
          <w:ilvl w:val="1"/>
          <w:numId w:val="30"/>
        </w:numPr>
        <w:tabs>
          <w:tab w:val="clear" w:pos="1440"/>
          <w:tab w:val="num" w:pos="1287"/>
        </w:tabs>
        <w:spacing w:after="0" w:line="264" w:lineRule="auto"/>
        <w:ind w:left="720"/>
        <w:rPr>
          <w:rFonts w:ascii="Arial" w:eastAsiaTheme="minorHAnsi" w:hAnsi="Arial" w:cs="Arial"/>
          <w:lang w:eastAsia="en-US"/>
        </w:rPr>
      </w:pPr>
      <w:r w:rsidRPr="00587DF1">
        <w:rPr>
          <w:rFonts w:ascii="Arial" w:eastAsiaTheme="minorHAnsi" w:hAnsi="Arial" w:cs="Arial"/>
          <w:lang w:eastAsia="en-US"/>
        </w:rPr>
        <w:t>Library space should be focused on gathering/meeting and focused study space with resource material kept virtually or digitalised to reduce physical space use</w:t>
      </w:r>
      <w:r w:rsidR="0025490F">
        <w:rPr>
          <w:rFonts w:ascii="Arial" w:eastAsiaTheme="minorHAnsi" w:hAnsi="Arial" w:cs="Arial"/>
          <w:lang w:eastAsia="en-US"/>
        </w:rPr>
        <w:t>.</w:t>
      </w:r>
    </w:p>
    <w:p w14:paraId="3DF16A0B" w14:textId="78AC0C2B" w:rsidR="004A7E6A" w:rsidRPr="00587DF1" w:rsidRDefault="004A7E6A" w:rsidP="005E0D57">
      <w:pPr>
        <w:numPr>
          <w:ilvl w:val="1"/>
          <w:numId w:val="30"/>
        </w:numPr>
        <w:tabs>
          <w:tab w:val="clear" w:pos="1440"/>
          <w:tab w:val="num" w:pos="1287"/>
        </w:tabs>
        <w:spacing w:after="0" w:line="264" w:lineRule="auto"/>
        <w:ind w:left="720"/>
        <w:rPr>
          <w:rFonts w:ascii="Arial" w:eastAsiaTheme="minorHAnsi" w:hAnsi="Arial" w:cs="Arial"/>
          <w:lang w:eastAsia="en-US"/>
        </w:rPr>
      </w:pPr>
      <w:r w:rsidRPr="00587DF1">
        <w:rPr>
          <w:rFonts w:ascii="Arial" w:eastAsiaTheme="minorHAnsi" w:hAnsi="Arial" w:cs="Arial"/>
          <w:lang w:eastAsia="en-US"/>
        </w:rPr>
        <w:t>Easily configured storage space for small and large equipment that is co-located to classrooms</w:t>
      </w:r>
      <w:r w:rsidR="0025490F">
        <w:rPr>
          <w:rFonts w:ascii="Arial" w:eastAsiaTheme="minorHAnsi" w:hAnsi="Arial" w:cs="Arial"/>
          <w:lang w:eastAsia="en-US"/>
        </w:rPr>
        <w:t>.</w:t>
      </w:r>
    </w:p>
    <w:bookmarkEnd w:id="237"/>
    <w:p w14:paraId="717DF4A5" w14:textId="77777777" w:rsidR="004A7E6A" w:rsidRPr="00587DF1" w:rsidRDefault="004A7E6A" w:rsidP="004A7E6A">
      <w:pPr>
        <w:rPr>
          <w:rFonts w:ascii="Arial" w:hAnsi="Arial" w:cs="Arial"/>
        </w:rPr>
      </w:pPr>
      <w:r w:rsidRPr="00587DF1" w:rsidDel="00123B30">
        <w:rPr>
          <w:rFonts w:ascii="Arial" w:eastAsia="Arial" w:hAnsi="Arial" w:cs="Arial"/>
        </w:rPr>
        <w:t xml:space="preserve"> </w:t>
      </w:r>
    </w:p>
    <w:p w14:paraId="081F572E" w14:textId="77777777" w:rsidR="004A7E6A" w:rsidRPr="00587DF1" w:rsidRDefault="004A7E6A" w:rsidP="005E0D57">
      <w:pPr>
        <w:pStyle w:val="Heading2"/>
        <w:numPr>
          <w:ilvl w:val="1"/>
          <w:numId w:val="1"/>
        </w:numPr>
        <w:spacing w:after="240"/>
        <w:rPr>
          <w:rFonts w:ascii="Arial" w:eastAsia="Arial" w:hAnsi="Arial" w:cs="Arial"/>
        </w:rPr>
      </w:pPr>
      <w:bookmarkStart w:id="246" w:name="_Ref27132280"/>
      <w:bookmarkStart w:id="247" w:name="_Toc32842723"/>
      <w:bookmarkEnd w:id="217"/>
      <w:r w:rsidRPr="00587DF1">
        <w:rPr>
          <w:rFonts w:ascii="Arial" w:eastAsia="Arial" w:hAnsi="Arial" w:cs="Arial"/>
        </w:rPr>
        <w:t>Workforce strategy</w:t>
      </w:r>
      <w:bookmarkEnd w:id="246"/>
      <w:bookmarkEnd w:id="247"/>
    </w:p>
    <w:p w14:paraId="35602F4B" w14:textId="1BEB4E29" w:rsidR="004A7E6A" w:rsidRPr="00587DF1" w:rsidRDefault="004A7E6A" w:rsidP="004A7E6A">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The following section provides an overview of the workforce strategy to support the planned service changes in Oriel.</w:t>
      </w:r>
    </w:p>
    <w:p w14:paraId="7EA9AB3E" w14:textId="77777777" w:rsidR="004A7E6A" w:rsidRPr="00587DF1" w:rsidRDefault="005D04DA" w:rsidP="005E0D57">
      <w:pPr>
        <w:numPr>
          <w:ilvl w:val="2"/>
          <w:numId w:val="1"/>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color w:val="000000"/>
        </w:rPr>
        <w:t>Trust workforce strategy</w:t>
      </w:r>
    </w:p>
    <w:p w14:paraId="4E1B70FE" w14:textId="77777777" w:rsidR="00520AE6" w:rsidRPr="00587DF1" w:rsidRDefault="00520AE6" w:rsidP="00520AE6">
      <w:pPr>
        <w:pBdr>
          <w:top w:val="nil"/>
          <w:left w:val="nil"/>
          <w:bottom w:val="nil"/>
          <w:right w:val="nil"/>
          <w:between w:val="nil"/>
        </w:pBdr>
        <w:tabs>
          <w:tab w:val="left" w:pos="567"/>
        </w:tabs>
        <w:spacing w:after="0"/>
        <w:rPr>
          <w:rFonts w:ascii="Arial" w:eastAsia="Arial" w:hAnsi="Arial" w:cs="Arial"/>
          <w:bCs/>
          <w:color w:val="000000"/>
        </w:rPr>
      </w:pPr>
    </w:p>
    <w:p w14:paraId="0DCAA9B3" w14:textId="08FD84C1" w:rsidR="004A7E6A" w:rsidRPr="00D76672" w:rsidRDefault="005D04DA" w:rsidP="004A7E6A">
      <w:p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 xml:space="preserve">The </w:t>
      </w:r>
      <w:r w:rsidR="004A7E6A" w:rsidRPr="00587DF1">
        <w:rPr>
          <w:rFonts w:ascii="Arial" w:eastAsia="Arial" w:hAnsi="Arial" w:cs="Arial"/>
          <w:bCs/>
          <w:color w:val="000000"/>
        </w:rPr>
        <w:t>organisational workforce strategy</w:t>
      </w:r>
      <w:r>
        <w:rPr>
          <w:rFonts w:ascii="Arial" w:eastAsia="Arial" w:hAnsi="Arial" w:cs="Arial"/>
          <w:bCs/>
          <w:color w:val="000000"/>
        </w:rPr>
        <w:t xml:space="preserve"> considers the </w:t>
      </w:r>
      <w:r w:rsidR="00C430AE">
        <w:rPr>
          <w:rFonts w:ascii="Arial" w:eastAsia="Arial" w:hAnsi="Arial" w:cs="Arial"/>
          <w:bCs/>
          <w:color w:val="000000"/>
        </w:rPr>
        <w:t xml:space="preserve">following </w:t>
      </w:r>
      <w:r w:rsidR="004A7E6A" w:rsidRPr="00587DF1">
        <w:rPr>
          <w:rFonts w:ascii="Arial" w:eastAsia="Arial" w:hAnsi="Arial" w:cs="Arial"/>
          <w:bCs/>
          <w:color w:val="000000"/>
        </w:rPr>
        <w:t xml:space="preserve">questions, which reflect </w:t>
      </w:r>
      <w:r w:rsidR="004A7E6A" w:rsidRPr="00D76672">
        <w:rPr>
          <w:rFonts w:ascii="Arial" w:eastAsia="Arial" w:hAnsi="Arial" w:cs="Arial"/>
          <w:bCs/>
          <w:color w:val="000000"/>
        </w:rPr>
        <w:t>current workforce challenges, and the opportunities afforded by Oriel</w:t>
      </w:r>
      <w:r w:rsidR="0025699F" w:rsidRPr="00D76672">
        <w:rPr>
          <w:rFonts w:ascii="Arial" w:eastAsia="Arial" w:hAnsi="Arial" w:cs="Arial"/>
          <w:bCs/>
          <w:color w:val="000000"/>
        </w:rPr>
        <w:t>:</w:t>
      </w:r>
    </w:p>
    <w:p w14:paraId="32DD014F" w14:textId="37E77EA3" w:rsidR="004A7E6A" w:rsidRPr="00D76672" w:rsidRDefault="004A7E6A" w:rsidP="00190084">
      <w:pPr>
        <w:pStyle w:val="ListParagraph"/>
        <w:numPr>
          <w:ilvl w:val="0"/>
          <w:numId w:val="95"/>
        </w:numPr>
        <w:spacing w:after="160" w:line="254" w:lineRule="auto"/>
        <w:ind w:left="851" w:right="-188" w:hanging="851"/>
        <w:rPr>
          <w:rFonts w:ascii="Arial" w:hAnsi="Arial" w:cs="Arial"/>
          <w:bCs/>
        </w:rPr>
      </w:pPr>
      <w:r w:rsidRPr="00D76672">
        <w:rPr>
          <w:rFonts w:ascii="Arial" w:hAnsi="Arial" w:cs="Arial"/>
          <w:bCs/>
        </w:rPr>
        <w:t>How do we ensure that we have the staff with the skills</w:t>
      </w:r>
      <w:r w:rsidR="00D76672">
        <w:rPr>
          <w:rFonts w:ascii="Arial" w:hAnsi="Arial" w:cs="Arial"/>
          <w:bCs/>
        </w:rPr>
        <w:t>,</w:t>
      </w:r>
      <w:r w:rsidRPr="00D76672">
        <w:rPr>
          <w:rFonts w:ascii="Arial" w:hAnsi="Arial" w:cs="Arial"/>
          <w:bCs/>
        </w:rPr>
        <w:t xml:space="preserve"> capability and capacity to deliver world leading eye care?</w:t>
      </w:r>
    </w:p>
    <w:p w14:paraId="6387FFE6" w14:textId="77777777" w:rsidR="004A7E6A" w:rsidRPr="00D76672" w:rsidRDefault="004A7E6A" w:rsidP="00190084">
      <w:pPr>
        <w:pStyle w:val="ListParagraph"/>
        <w:numPr>
          <w:ilvl w:val="0"/>
          <w:numId w:val="95"/>
        </w:numPr>
        <w:spacing w:after="160" w:line="254" w:lineRule="auto"/>
        <w:ind w:left="851" w:right="-188" w:hanging="851"/>
        <w:rPr>
          <w:rFonts w:ascii="Arial" w:hAnsi="Arial" w:cs="Arial"/>
          <w:bCs/>
        </w:rPr>
      </w:pPr>
      <w:r w:rsidRPr="00D76672">
        <w:rPr>
          <w:rFonts w:ascii="Arial" w:hAnsi="Arial" w:cs="Arial"/>
          <w:bCs/>
        </w:rPr>
        <w:t>How do we develop the leadership and culture to enable the workforce to grow, thrive and perform at the highest levels?</w:t>
      </w:r>
    </w:p>
    <w:p w14:paraId="73711057" w14:textId="77777777" w:rsidR="004A7E6A" w:rsidRPr="00D76672" w:rsidRDefault="004A7E6A" w:rsidP="00190084">
      <w:pPr>
        <w:pStyle w:val="ListParagraph"/>
        <w:numPr>
          <w:ilvl w:val="0"/>
          <w:numId w:val="95"/>
        </w:numPr>
        <w:spacing w:after="160" w:line="254" w:lineRule="auto"/>
        <w:ind w:left="851" w:right="-188" w:hanging="851"/>
        <w:rPr>
          <w:rFonts w:ascii="Arial" w:hAnsi="Arial" w:cs="Arial"/>
          <w:bCs/>
        </w:rPr>
      </w:pPr>
      <w:r w:rsidRPr="00D76672">
        <w:rPr>
          <w:rFonts w:ascii="Arial" w:hAnsi="Arial" w:cs="Arial"/>
          <w:bCs/>
        </w:rPr>
        <w:t>How do we ensure that every member of staff, volunteer and student feels welcome, valued and able to contribute to the success of Moorfields?</w:t>
      </w:r>
    </w:p>
    <w:p w14:paraId="538CC820" w14:textId="77777777" w:rsidR="004A7E6A" w:rsidRPr="00D76672" w:rsidRDefault="004A7E6A" w:rsidP="00190084">
      <w:pPr>
        <w:pStyle w:val="ListParagraph"/>
        <w:numPr>
          <w:ilvl w:val="0"/>
          <w:numId w:val="95"/>
        </w:numPr>
        <w:spacing w:after="0" w:line="254" w:lineRule="auto"/>
        <w:ind w:left="851" w:right="-188" w:hanging="851"/>
        <w:rPr>
          <w:rFonts w:ascii="Arial" w:hAnsi="Arial" w:cs="Arial"/>
          <w:bCs/>
        </w:rPr>
      </w:pPr>
      <w:r w:rsidRPr="00D76672">
        <w:rPr>
          <w:rFonts w:ascii="Arial" w:hAnsi="Arial" w:cs="Arial"/>
          <w:bCs/>
        </w:rPr>
        <w:t>How do we ensure that our workforce processes, practices and policies are efficient, aligned and provide best value?</w:t>
      </w:r>
    </w:p>
    <w:p w14:paraId="5AE64A77" w14:textId="77777777" w:rsidR="004A7E6A" w:rsidRPr="00D76672" w:rsidRDefault="004A7E6A" w:rsidP="00C21CE3">
      <w:pPr>
        <w:pBdr>
          <w:top w:val="nil"/>
          <w:left w:val="nil"/>
          <w:bottom w:val="nil"/>
          <w:right w:val="nil"/>
          <w:between w:val="nil"/>
        </w:pBdr>
        <w:tabs>
          <w:tab w:val="left" w:pos="567"/>
        </w:tabs>
        <w:spacing w:after="0"/>
        <w:rPr>
          <w:rFonts w:ascii="Arial" w:eastAsia="Arial" w:hAnsi="Arial" w:cs="Arial"/>
          <w:bCs/>
          <w:color w:val="000000"/>
        </w:rPr>
      </w:pPr>
    </w:p>
    <w:p w14:paraId="4FC3A513" w14:textId="77777777" w:rsidR="004A7E6A" w:rsidRPr="00587DF1" w:rsidRDefault="005D04DA" w:rsidP="005E0D57">
      <w:pPr>
        <w:numPr>
          <w:ilvl w:val="2"/>
          <w:numId w:val="1"/>
        </w:numPr>
        <w:pBdr>
          <w:top w:val="nil"/>
          <w:left w:val="nil"/>
          <w:bottom w:val="nil"/>
          <w:right w:val="nil"/>
          <w:between w:val="nil"/>
        </w:pBdr>
        <w:spacing w:after="0"/>
        <w:jc w:val="both"/>
        <w:rPr>
          <w:rFonts w:ascii="Arial" w:eastAsia="Arial" w:hAnsi="Arial" w:cs="Arial"/>
          <w:b/>
          <w:color w:val="000000"/>
        </w:rPr>
      </w:pPr>
      <w:r>
        <w:rPr>
          <w:rFonts w:ascii="Arial" w:eastAsia="Arial" w:hAnsi="Arial" w:cs="Arial"/>
          <w:b/>
          <w:color w:val="000000"/>
        </w:rPr>
        <w:t>Workforce planning</w:t>
      </w:r>
      <w:r w:rsidR="004A7E6A" w:rsidRPr="00587DF1">
        <w:rPr>
          <w:rFonts w:ascii="Arial" w:eastAsia="Arial" w:hAnsi="Arial" w:cs="Arial"/>
          <w:b/>
          <w:color w:val="000000"/>
        </w:rPr>
        <w:t xml:space="preserve"> for Oriel</w:t>
      </w:r>
    </w:p>
    <w:p w14:paraId="1FA0AEAF" w14:textId="77777777" w:rsidR="005D04DA" w:rsidRDefault="005D04DA" w:rsidP="005D04DA">
      <w:pPr>
        <w:pBdr>
          <w:top w:val="nil"/>
          <w:left w:val="nil"/>
          <w:bottom w:val="nil"/>
          <w:right w:val="nil"/>
          <w:between w:val="nil"/>
        </w:pBdr>
        <w:tabs>
          <w:tab w:val="left" w:pos="567"/>
        </w:tabs>
        <w:spacing w:after="0"/>
        <w:rPr>
          <w:rFonts w:ascii="Arial" w:eastAsia="Arial" w:hAnsi="Arial" w:cs="Arial"/>
          <w:bCs/>
          <w:color w:val="000000"/>
        </w:rPr>
      </w:pPr>
    </w:p>
    <w:p w14:paraId="725A2ED0" w14:textId="10D673BD" w:rsidR="005D04DA" w:rsidRPr="009C00EF" w:rsidRDefault="005D04DA" w:rsidP="005D04DA">
      <w:pPr>
        <w:pBdr>
          <w:top w:val="nil"/>
          <w:left w:val="nil"/>
          <w:bottom w:val="nil"/>
          <w:right w:val="nil"/>
          <w:between w:val="nil"/>
        </w:pBdr>
        <w:tabs>
          <w:tab w:val="left" w:pos="567"/>
        </w:tabs>
        <w:rPr>
          <w:rFonts w:ascii="Arial" w:eastAsia="Arial" w:hAnsi="Arial" w:cs="Arial"/>
          <w:bCs/>
          <w:color w:val="000000"/>
        </w:rPr>
      </w:pPr>
      <w:r w:rsidRPr="009C00EF">
        <w:rPr>
          <w:rFonts w:ascii="Arial" w:eastAsia="Arial" w:hAnsi="Arial" w:cs="Arial"/>
          <w:bCs/>
          <w:color w:val="000000"/>
        </w:rPr>
        <w:t>The service models set out in section</w:t>
      </w:r>
      <w:r w:rsidR="00D76672">
        <w:rPr>
          <w:rFonts w:ascii="Arial" w:eastAsia="Arial" w:hAnsi="Arial" w:cs="Arial"/>
          <w:bCs/>
          <w:color w:val="000000"/>
        </w:rPr>
        <w:t xml:space="preserve"> </w:t>
      </w:r>
      <w:r w:rsidR="00D76672">
        <w:rPr>
          <w:rFonts w:ascii="Arial" w:eastAsia="Arial" w:hAnsi="Arial" w:cs="Arial"/>
          <w:bCs/>
          <w:color w:val="000000"/>
        </w:rPr>
        <w:fldChar w:fldCharType="begin"/>
      </w:r>
      <w:r w:rsidR="00D76672">
        <w:rPr>
          <w:rFonts w:ascii="Arial" w:eastAsia="Arial" w:hAnsi="Arial" w:cs="Arial"/>
          <w:bCs/>
          <w:color w:val="000000"/>
        </w:rPr>
        <w:instrText xml:space="preserve"> REF _Ref27729515 \r \h </w:instrText>
      </w:r>
      <w:r w:rsidR="00D76672">
        <w:rPr>
          <w:rFonts w:ascii="Arial" w:eastAsia="Arial" w:hAnsi="Arial" w:cs="Arial"/>
          <w:bCs/>
          <w:color w:val="000000"/>
        </w:rPr>
      </w:r>
      <w:r w:rsidR="00D76672">
        <w:rPr>
          <w:rFonts w:ascii="Arial" w:eastAsia="Arial" w:hAnsi="Arial" w:cs="Arial"/>
          <w:bCs/>
          <w:color w:val="000000"/>
        </w:rPr>
        <w:fldChar w:fldCharType="separate"/>
      </w:r>
      <w:r w:rsidR="00A936CD">
        <w:rPr>
          <w:rFonts w:ascii="Arial" w:eastAsia="Arial" w:hAnsi="Arial" w:cs="Arial"/>
          <w:bCs/>
          <w:color w:val="000000"/>
        </w:rPr>
        <w:t>5.3</w:t>
      </w:r>
      <w:r w:rsidR="00D76672">
        <w:rPr>
          <w:rFonts w:ascii="Arial" w:eastAsia="Arial" w:hAnsi="Arial" w:cs="Arial"/>
          <w:bCs/>
          <w:color w:val="000000"/>
        </w:rPr>
        <w:fldChar w:fldCharType="end"/>
      </w:r>
      <w:r w:rsidRPr="009C00EF">
        <w:rPr>
          <w:rFonts w:ascii="Arial" w:eastAsia="Arial" w:hAnsi="Arial" w:cs="Arial"/>
          <w:bCs/>
          <w:color w:val="000000"/>
        </w:rPr>
        <w:t xml:space="preserve">, as well as the overarching workforce strategy described </w:t>
      </w:r>
      <w:r w:rsidR="00D76672">
        <w:rPr>
          <w:rFonts w:ascii="Arial" w:eastAsia="Arial" w:hAnsi="Arial" w:cs="Arial"/>
          <w:bCs/>
          <w:color w:val="000000"/>
        </w:rPr>
        <w:t xml:space="preserve">in section </w:t>
      </w:r>
      <w:r w:rsidR="00D76672">
        <w:rPr>
          <w:rFonts w:ascii="Arial" w:eastAsia="Arial" w:hAnsi="Arial" w:cs="Arial"/>
          <w:bCs/>
          <w:color w:val="000000"/>
        </w:rPr>
        <w:fldChar w:fldCharType="begin"/>
      </w:r>
      <w:r w:rsidR="00D76672">
        <w:rPr>
          <w:rFonts w:ascii="Arial" w:eastAsia="Arial" w:hAnsi="Arial" w:cs="Arial"/>
          <w:bCs/>
          <w:color w:val="000000"/>
        </w:rPr>
        <w:instrText xml:space="preserve"> REF _Ref32561680 \r \h </w:instrText>
      </w:r>
      <w:r w:rsidR="00D76672">
        <w:rPr>
          <w:rFonts w:ascii="Arial" w:eastAsia="Arial" w:hAnsi="Arial" w:cs="Arial"/>
          <w:bCs/>
          <w:color w:val="000000"/>
        </w:rPr>
      </w:r>
      <w:r w:rsidR="00D76672">
        <w:rPr>
          <w:rFonts w:ascii="Arial" w:eastAsia="Arial" w:hAnsi="Arial" w:cs="Arial"/>
          <w:bCs/>
          <w:color w:val="000000"/>
        </w:rPr>
        <w:fldChar w:fldCharType="separate"/>
      </w:r>
      <w:r w:rsidR="00A936CD">
        <w:rPr>
          <w:rFonts w:ascii="Arial" w:eastAsia="Arial" w:hAnsi="Arial" w:cs="Arial"/>
          <w:bCs/>
          <w:color w:val="000000"/>
        </w:rPr>
        <w:t>3.4</w:t>
      </w:r>
      <w:r w:rsidR="00D76672">
        <w:rPr>
          <w:rFonts w:ascii="Arial" w:eastAsia="Arial" w:hAnsi="Arial" w:cs="Arial"/>
          <w:bCs/>
          <w:color w:val="000000"/>
        </w:rPr>
        <w:fldChar w:fldCharType="end"/>
      </w:r>
      <w:r w:rsidRPr="009C00EF">
        <w:rPr>
          <w:rFonts w:ascii="Arial" w:eastAsia="Arial" w:hAnsi="Arial" w:cs="Arial"/>
          <w:bCs/>
          <w:color w:val="000000"/>
        </w:rPr>
        <w:t xml:space="preserve">, will require a change in the structure of the workforce. </w:t>
      </w:r>
      <w:bookmarkStart w:id="248" w:name="_Hlk27741065"/>
      <w:r w:rsidRPr="009C00EF">
        <w:rPr>
          <w:rFonts w:ascii="Arial" w:eastAsia="Arial" w:hAnsi="Arial" w:cs="Arial"/>
          <w:bCs/>
          <w:color w:val="000000"/>
        </w:rPr>
        <w:t>Detailed workforce models will be developed for FBC</w:t>
      </w:r>
      <w:r w:rsidR="00D76672">
        <w:rPr>
          <w:rFonts w:ascii="Arial" w:eastAsia="Arial" w:hAnsi="Arial" w:cs="Arial"/>
          <w:bCs/>
          <w:color w:val="000000"/>
        </w:rPr>
        <w:t>, based on the following principles:</w:t>
      </w:r>
    </w:p>
    <w:p w14:paraId="08C2C718" w14:textId="77777777" w:rsidR="005D04DA" w:rsidRPr="009C00EF" w:rsidRDefault="005D04DA" w:rsidP="00190084">
      <w:pPr>
        <w:pStyle w:val="ListParagraph"/>
        <w:numPr>
          <w:ilvl w:val="0"/>
          <w:numId w:val="90"/>
        </w:numPr>
        <w:pBdr>
          <w:top w:val="nil"/>
          <w:left w:val="nil"/>
          <w:bottom w:val="nil"/>
          <w:right w:val="nil"/>
          <w:between w:val="nil"/>
        </w:pBdr>
        <w:tabs>
          <w:tab w:val="left" w:pos="709"/>
        </w:tabs>
        <w:rPr>
          <w:rFonts w:ascii="Arial" w:eastAsia="Arial" w:hAnsi="Arial" w:cs="Arial"/>
          <w:bCs/>
          <w:color w:val="000000"/>
        </w:rPr>
      </w:pPr>
      <w:r w:rsidRPr="009C00EF">
        <w:rPr>
          <w:rFonts w:ascii="Arial" w:eastAsia="Arial" w:hAnsi="Arial" w:cs="Arial"/>
          <w:b/>
          <w:color w:val="000000"/>
        </w:rPr>
        <w:t xml:space="preserve">Upskilling </w:t>
      </w:r>
      <w:r>
        <w:rPr>
          <w:rFonts w:ascii="Arial" w:eastAsia="Arial" w:hAnsi="Arial" w:cs="Arial"/>
          <w:b/>
          <w:color w:val="000000"/>
        </w:rPr>
        <w:t xml:space="preserve">elements of </w:t>
      </w:r>
      <w:r w:rsidRPr="009C00EF">
        <w:rPr>
          <w:rFonts w:ascii="Arial" w:eastAsia="Arial" w:hAnsi="Arial" w:cs="Arial"/>
          <w:b/>
          <w:color w:val="000000"/>
        </w:rPr>
        <w:t>the workforce</w:t>
      </w:r>
      <w:r w:rsidRPr="009C00EF">
        <w:rPr>
          <w:rFonts w:ascii="Arial" w:eastAsia="Arial" w:hAnsi="Arial" w:cs="Arial"/>
          <w:bCs/>
          <w:color w:val="000000"/>
        </w:rPr>
        <w:t xml:space="preserve"> – There is an ambition to upskill nursing and technical staff, thereby reducing the amount of consultant time required for certain tasks such as A&amp;E triage, follow-up appointments, diagnostic bundles and certain procedures. </w:t>
      </w:r>
    </w:p>
    <w:p w14:paraId="335C9BFE" w14:textId="77777777" w:rsidR="005D04DA" w:rsidRPr="009C00EF" w:rsidRDefault="005D04DA" w:rsidP="00190084">
      <w:pPr>
        <w:pStyle w:val="ListParagraph"/>
        <w:numPr>
          <w:ilvl w:val="0"/>
          <w:numId w:val="90"/>
        </w:numPr>
        <w:pBdr>
          <w:top w:val="nil"/>
          <w:left w:val="nil"/>
          <w:bottom w:val="nil"/>
          <w:right w:val="nil"/>
          <w:between w:val="nil"/>
        </w:pBdr>
        <w:tabs>
          <w:tab w:val="left" w:pos="709"/>
        </w:tabs>
        <w:rPr>
          <w:rFonts w:ascii="Arial" w:eastAsia="Arial" w:hAnsi="Arial" w:cs="Arial"/>
          <w:bCs/>
          <w:color w:val="000000"/>
        </w:rPr>
      </w:pPr>
      <w:r>
        <w:rPr>
          <w:rFonts w:ascii="Arial" w:eastAsia="Arial" w:hAnsi="Arial" w:cs="Arial"/>
          <w:b/>
          <w:color w:val="000000"/>
        </w:rPr>
        <w:t xml:space="preserve">Ensuring an appropriate skill mix </w:t>
      </w:r>
      <w:r w:rsidRPr="009C00EF">
        <w:rPr>
          <w:rFonts w:ascii="Arial" w:eastAsia="Arial" w:hAnsi="Arial" w:cs="Arial"/>
          <w:bCs/>
          <w:color w:val="000000"/>
        </w:rPr>
        <w:t xml:space="preserve">– This will enable </w:t>
      </w:r>
      <w:r>
        <w:rPr>
          <w:rFonts w:ascii="Arial" w:eastAsia="Arial" w:hAnsi="Arial" w:cs="Arial"/>
          <w:bCs/>
          <w:color w:val="000000"/>
        </w:rPr>
        <w:t xml:space="preserve">patient stratification which will organise </w:t>
      </w:r>
      <w:r w:rsidRPr="009C00EF">
        <w:rPr>
          <w:rFonts w:ascii="Arial" w:eastAsia="Arial" w:hAnsi="Arial" w:cs="Arial"/>
          <w:bCs/>
          <w:color w:val="000000"/>
        </w:rPr>
        <w:t>workflows so that clinics or theatre lists for low-complexity patients can be run by less senior staff, with senior oversight where required.</w:t>
      </w:r>
    </w:p>
    <w:p w14:paraId="02D92290" w14:textId="77777777" w:rsidR="005D04DA" w:rsidRPr="009C00EF" w:rsidRDefault="005D04DA" w:rsidP="00190084">
      <w:pPr>
        <w:pStyle w:val="ListParagraph"/>
        <w:numPr>
          <w:ilvl w:val="0"/>
          <w:numId w:val="90"/>
        </w:numPr>
        <w:pBdr>
          <w:top w:val="nil"/>
          <w:left w:val="nil"/>
          <w:bottom w:val="nil"/>
          <w:right w:val="nil"/>
          <w:between w:val="nil"/>
        </w:pBdr>
        <w:tabs>
          <w:tab w:val="left" w:pos="709"/>
        </w:tabs>
        <w:rPr>
          <w:rFonts w:ascii="Arial" w:eastAsia="Arial" w:hAnsi="Arial" w:cs="Arial"/>
          <w:bCs/>
          <w:color w:val="000000"/>
        </w:rPr>
      </w:pPr>
      <w:r w:rsidRPr="009C00EF">
        <w:rPr>
          <w:rFonts w:ascii="Arial" w:eastAsia="Arial" w:hAnsi="Arial" w:cs="Arial"/>
          <w:b/>
          <w:color w:val="000000"/>
        </w:rPr>
        <w:t>Improving efficiency</w:t>
      </w:r>
      <w:r w:rsidRPr="009C00EF">
        <w:rPr>
          <w:rFonts w:ascii="Arial" w:eastAsia="Arial" w:hAnsi="Arial" w:cs="Arial"/>
          <w:bCs/>
          <w:color w:val="000000"/>
        </w:rPr>
        <w:t xml:space="preserve"> – Staff will be able to spend more time undertaking core activities with the introduction of virtual clinics, and improved patient flow as a result of a fit-for-purpose design with appropriate co-locations and departmental layouts.</w:t>
      </w:r>
    </w:p>
    <w:p w14:paraId="5F0FA622" w14:textId="77777777" w:rsidR="005D04DA" w:rsidRPr="009C00EF" w:rsidRDefault="005D04DA" w:rsidP="00190084">
      <w:pPr>
        <w:pStyle w:val="ListParagraph"/>
        <w:numPr>
          <w:ilvl w:val="0"/>
          <w:numId w:val="90"/>
        </w:numPr>
        <w:pBdr>
          <w:top w:val="nil"/>
          <w:left w:val="nil"/>
          <w:bottom w:val="nil"/>
          <w:right w:val="nil"/>
          <w:between w:val="nil"/>
        </w:pBdr>
        <w:tabs>
          <w:tab w:val="left" w:pos="709"/>
        </w:tabs>
        <w:rPr>
          <w:rFonts w:ascii="Arial" w:eastAsia="Arial" w:hAnsi="Arial" w:cs="Arial"/>
          <w:bCs/>
          <w:color w:val="000000"/>
        </w:rPr>
      </w:pPr>
      <w:r w:rsidRPr="009C00EF">
        <w:rPr>
          <w:rFonts w:ascii="Arial" w:eastAsia="Arial" w:hAnsi="Arial" w:cs="Arial"/>
          <w:b/>
          <w:color w:val="000000"/>
        </w:rPr>
        <w:lastRenderedPageBreak/>
        <w:t>Increased automation</w:t>
      </w:r>
      <w:r w:rsidRPr="009C00EF">
        <w:rPr>
          <w:rFonts w:ascii="Arial" w:eastAsia="Arial" w:hAnsi="Arial" w:cs="Arial"/>
          <w:bCs/>
          <w:color w:val="000000"/>
        </w:rPr>
        <w:t xml:space="preserve"> – This may reduce the headcount required in some areas, such as administration functions. Plans include automation of patient check-in, theatre stock management and digital triage in A&amp;E.</w:t>
      </w:r>
    </w:p>
    <w:p w14:paraId="76654C8E" w14:textId="77777777" w:rsidR="005D04DA" w:rsidRPr="009C00EF" w:rsidRDefault="005D04DA" w:rsidP="00190084">
      <w:pPr>
        <w:pStyle w:val="ListParagraph"/>
        <w:numPr>
          <w:ilvl w:val="0"/>
          <w:numId w:val="90"/>
        </w:numPr>
        <w:pBdr>
          <w:top w:val="nil"/>
          <w:left w:val="nil"/>
          <w:bottom w:val="nil"/>
          <w:right w:val="nil"/>
          <w:between w:val="nil"/>
        </w:pBdr>
        <w:tabs>
          <w:tab w:val="left" w:pos="709"/>
        </w:tabs>
        <w:rPr>
          <w:rFonts w:ascii="Arial" w:eastAsia="Arial" w:hAnsi="Arial" w:cs="Arial"/>
          <w:bCs/>
          <w:color w:val="000000"/>
        </w:rPr>
      </w:pPr>
      <w:r w:rsidRPr="009C00EF">
        <w:rPr>
          <w:rFonts w:ascii="Arial" w:eastAsia="Arial" w:hAnsi="Arial" w:cs="Arial"/>
          <w:b/>
          <w:color w:val="000000"/>
        </w:rPr>
        <w:t>Care closer to home</w:t>
      </w:r>
      <w:r w:rsidRPr="009C00EF">
        <w:rPr>
          <w:rFonts w:ascii="Arial" w:eastAsia="Arial" w:hAnsi="Arial" w:cs="Arial"/>
          <w:bCs/>
          <w:color w:val="000000"/>
        </w:rPr>
        <w:t xml:space="preserve"> – Moorfields has committed to continue to work with commissioners to move care into the Moorfields network and community settings. The workforce impact of this will be modelled on a case-by-case basis.</w:t>
      </w:r>
    </w:p>
    <w:bookmarkEnd w:id="248"/>
    <w:p w14:paraId="7C1BD8C0" w14:textId="717DDBE8" w:rsidR="009C1357" w:rsidRDefault="009C1357" w:rsidP="009C1357">
      <w:p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 xml:space="preserve">Further detail on the assumptions and their implications for workforce in Oriel are included in Appendix </w:t>
      </w:r>
      <w:r w:rsidR="006376EA">
        <w:rPr>
          <w:rFonts w:ascii="Arial" w:eastAsia="Arial" w:hAnsi="Arial" w:cs="Arial"/>
          <w:bCs/>
          <w:color w:val="000000"/>
        </w:rPr>
        <w:t>5B</w:t>
      </w:r>
      <w:r>
        <w:rPr>
          <w:rFonts w:ascii="Arial" w:eastAsia="Arial" w:hAnsi="Arial" w:cs="Arial"/>
          <w:bCs/>
          <w:color w:val="000000"/>
        </w:rPr>
        <w:t xml:space="preserve">. </w:t>
      </w:r>
    </w:p>
    <w:p w14:paraId="53573230" w14:textId="77777777" w:rsidR="004A7E6A" w:rsidRPr="00587DF1" w:rsidRDefault="004A7E6A" w:rsidP="005E0D57">
      <w:pPr>
        <w:numPr>
          <w:ilvl w:val="2"/>
          <w:numId w:val="1"/>
        </w:numPr>
        <w:pBdr>
          <w:top w:val="nil"/>
          <w:left w:val="nil"/>
          <w:bottom w:val="nil"/>
          <w:right w:val="nil"/>
          <w:between w:val="nil"/>
        </w:pBdr>
        <w:spacing w:after="0"/>
        <w:jc w:val="both"/>
        <w:rPr>
          <w:rFonts w:ascii="Arial" w:eastAsia="Arial" w:hAnsi="Arial" w:cs="Arial"/>
          <w:b/>
          <w:color w:val="000000"/>
        </w:rPr>
      </w:pPr>
      <w:r w:rsidRPr="00587DF1">
        <w:rPr>
          <w:rFonts w:ascii="Arial" w:eastAsia="Arial" w:hAnsi="Arial" w:cs="Arial"/>
          <w:b/>
          <w:color w:val="000000"/>
        </w:rPr>
        <w:t>Implementation plan</w:t>
      </w:r>
    </w:p>
    <w:p w14:paraId="532D3FC4" w14:textId="77777777" w:rsidR="00B146F0" w:rsidRDefault="00B146F0" w:rsidP="00B146F0">
      <w:pPr>
        <w:pBdr>
          <w:top w:val="nil"/>
          <w:left w:val="nil"/>
          <w:bottom w:val="nil"/>
          <w:right w:val="nil"/>
          <w:between w:val="nil"/>
        </w:pBdr>
        <w:tabs>
          <w:tab w:val="left" w:pos="567"/>
        </w:tabs>
        <w:spacing w:after="0"/>
        <w:rPr>
          <w:rFonts w:ascii="Arial" w:eastAsia="Arial" w:hAnsi="Arial" w:cs="Arial"/>
          <w:bCs/>
          <w:color w:val="000000"/>
        </w:rPr>
      </w:pPr>
    </w:p>
    <w:p w14:paraId="09F4245D" w14:textId="77777777" w:rsidR="00B146F0" w:rsidRDefault="00B146F0" w:rsidP="004A7E6A">
      <w:p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The next steps for workforce planning in Oriel are:</w:t>
      </w:r>
    </w:p>
    <w:p w14:paraId="7623B54F" w14:textId="77777777" w:rsidR="00B146F0" w:rsidRPr="00B146F0" w:rsidRDefault="00B146F0" w:rsidP="00190084">
      <w:pPr>
        <w:pStyle w:val="ListParagraph"/>
        <w:numPr>
          <w:ilvl w:val="0"/>
          <w:numId w:val="92"/>
        </w:numPr>
        <w:pBdr>
          <w:top w:val="nil"/>
          <w:left w:val="nil"/>
          <w:bottom w:val="nil"/>
          <w:right w:val="nil"/>
          <w:between w:val="nil"/>
        </w:pBdr>
        <w:tabs>
          <w:tab w:val="left" w:pos="709"/>
        </w:tabs>
        <w:rPr>
          <w:rFonts w:ascii="Arial" w:eastAsia="Arial" w:hAnsi="Arial" w:cs="Arial"/>
          <w:bCs/>
          <w:color w:val="000000"/>
        </w:rPr>
      </w:pPr>
      <w:r>
        <w:rPr>
          <w:rFonts w:ascii="Arial" w:eastAsia="Arial" w:hAnsi="Arial" w:cs="Arial"/>
          <w:b/>
          <w:color w:val="000000"/>
        </w:rPr>
        <w:t>Detailed w</w:t>
      </w:r>
      <w:r w:rsidRPr="00B146F0">
        <w:rPr>
          <w:rFonts w:ascii="Arial" w:eastAsia="Arial" w:hAnsi="Arial" w:cs="Arial"/>
          <w:b/>
          <w:color w:val="000000"/>
        </w:rPr>
        <w:t xml:space="preserve">orkforce </w:t>
      </w:r>
      <w:r>
        <w:rPr>
          <w:rFonts w:ascii="Arial" w:eastAsia="Arial" w:hAnsi="Arial" w:cs="Arial"/>
          <w:b/>
          <w:color w:val="000000"/>
        </w:rPr>
        <w:t>m</w:t>
      </w:r>
      <w:r w:rsidRPr="00B146F0">
        <w:rPr>
          <w:rFonts w:ascii="Arial" w:eastAsia="Arial" w:hAnsi="Arial" w:cs="Arial"/>
          <w:b/>
          <w:color w:val="000000"/>
        </w:rPr>
        <w:t>odelling</w:t>
      </w:r>
      <w:r w:rsidRPr="00B146F0">
        <w:rPr>
          <w:rFonts w:ascii="Arial" w:eastAsia="Arial" w:hAnsi="Arial" w:cs="Arial"/>
          <w:bCs/>
          <w:color w:val="000000"/>
        </w:rPr>
        <w:t xml:space="preserve"> </w:t>
      </w:r>
      <w:r>
        <w:rPr>
          <w:rFonts w:ascii="Arial" w:eastAsia="Arial" w:hAnsi="Arial" w:cs="Arial"/>
          <w:bCs/>
          <w:color w:val="000000"/>
        </w:rPr>
        <w:t xml:space="preserve">alongside further development of </w:t>
      </w:r>
      <w:r w:rsidRPr="00B146F0">
        <w:rPr>
          <w:rFonts w:ascii="Arial" w:eastAsia="Arial" w:hAnsi="Arial" w:cs="Arial"/>
          <w:bCs/>
          <w:color w:val="000000"/>
        </w:rPr>
        <w:t>clinical pathways</w:t>
      </w:r>
      <w:r>
        <w:rPr>
          <w:rFonts w:ascii="Arial" w:eastAsia="Arial" w:hAnsi="Arial" w:cs="Arial"/>
          <w:bCs/>
          <w:color w:val="000000"/>
        </w:rPr>
        <w:t xml:space="preserve">, building design and IT planning, </w:t>
      </w:r>
      <w:r w:rsidRPr="00B146F0">
        <w:rPr>
          <w:rFonts w:ascii="Arial" w:eastAsia="Arial" w:hAnsi="Arial" w:cs="Arial"/>
          <w:bCs/>
          <w:color w:val="000000"/>
        </w:rPr>
        <w:t>taking into account availability and supply of the workforce, use of technology and skill mix of teams.</w:t>
      </w:r>
    </w:p>
    <w:p w14:paraId="52EF9A60" w14:textId="77777777" w:rsidR="00B146F0" w:rsidRPr="00B146F0" w:rsidRDefault="00B146F0" w:rsidP="00190084">
      <w:pPr>
        <w:pStyle w:val="ListParagraph"/>
        <w:numPr>
          <w:ilvl w:val="0"/>
          <w:numId w:val="92"/>
        </w:numPr>
        <w:pBdr>
          <w:top w:val="nil"/>
          <w:left w:val="nil"/>
          <w:bottom w:val="nil"/>
          <w:right w:val="nil"/>
          <w:between w:val="nil"/>
        </w:pBdr>
        <w:tabs>
          <w:tab w:val="left" w:pos="709"/>
        </w:tabs>
        <w:rPr>
          <w:rFonts w:ascii="Arial" w:eastAsia="Arial" w:hAnsi="Arial" w:cs="Arial"/>
          <w:bCs/>
          <w:color w:val="000000"/>
        </w:rPr>
      </w:pPr>
      <w:r w:rsidRPr="00B146F0">
        <w:rPr>
          <w:rFonts w:ascii="Arial" w:eastAsia="Arial" w:hAnsi="Arial" w:cs="Arial"/>
          <w:b/>
          <w:color w:val="000000"/>
        </w:rPr>
        <w:t xml:space="preserve">Job </w:t>
      </w:r>
      <w:r>
        <w:rPr>
          <w:rFonts w:ascii="Arial" w:eastAsia="Arial" w:hAnsi="Arial" w:cs="Arial"/>
          <w:b/>
          <w:color w:val="000000"/>
        </w:rPr>
        <w:t>p</w:t>
      </w:r>
      <w:r w:rsidRPr="00B146F0">
        <w:rPr>
          <w:rFonts w:ascii="Arial" w:eastAsia="Arial" w:hAnsi="Arial" w:cs="Arial"/>
          <w:b/>
          <w:color w:val="000000"/>
        </w:rPr>
        <w:t>lanning</w:t>
      </w:r>
      <w:r w:rsidRPr="00B146F0">
        <w:rPr>
          <w:rFonts w:ascii="Arial" w:eastAsia="Arial" w:hAnsi="Arial" w:cs="Arial"/>
          <w:bCs/>
          <w:color w:val="000000"/>
        </w:rPr>
        <w:t xml:space="preserve"> across the trust</w:t>
      </w:r>
      <w:r>
        <w:rPr>
          <w:rFonts w:ascii="Arial" w:eastAsia="Arial" w:hAnsi="Arial" w:cs="Arial"/>
          <w:bCs/>
          <w:color w:val="000000"/>
        </w:rPr>
        <w:t>,</w:t>
      </w:r>
      <w:r w:rsidRPr="00B146F0">
        <w:rPr>
          <w:rFonts w:ascii="Arial" w:eastAsia="Arial" w:hAnsi="Arial" w:cs="Arial"/>
          <w:bCs/>
          <w:color w:val="000000"/>
        </w:rPr>
        <w:t xml:space="preserve"> using a team</w:t>
      </w:r>
      <w:r>
        <w:rPr>
          <w:rFonts w:ascii="Arial" w:eastAsia="Arial" w:hAnsi="Arial" w:cs="Arial"/>
          <w:bCs/>
          <w:color w:val="000000"/>
        </w:rPr>
        <w:t>-</w:t>
      </w:r>
      <w:r w:rsidRPr="00B146F0">
        <w:rPr>
          <w:rFonts w:ascii="Arial" w:eastAsia="Arial" w:hAnsi="Arial" w:cs="Arial"/>
          <w:bCs/>
          <w:color w:val="000000"/>
        </w:rPr>
        <w:t>based approach and linked to demand management, performance review and capacity planning.</w:t>
      </w:r>
    </w:p>
    <w:p w14:paraId="4D022652" w14:textId="77777777" w:rsidR="00B146F0" w:rsidRPr="00B146F0" w:rsidRDefault="00B146F0" w:rsidP="00190084">
      <w:pPr>
        <w:pStyle w:val="ListParagraph"/>
        <w:numPr>
          <w:ilvl w:val="0"/>
          <w:numId w:val="92"/>
        </w:numPr>
        <w:pBdr>
          <w:top w:val="nil"/>
          <w:left w:val="nil"/>
          <w:bottom w:val="nil"/>
          <w:right w:val="nil"/>
          <w:between w:val="nil"/>
        </w:pBdr>
        <w:tabs>
          <w:tab w:val="left" w:pos="709"/>
        </w:tabs>
        <w:rPr>
          <w:rFonts w:ascii="Arial" w:eastAsia="Arial" w:hAnsi="Arial" w:cs="Arial"/>
          <w:bCs/>
          <w:color w:val="000000"/>
        </w:rPr>
      </w:pPr>
      <w:r w:rsidRPr="00B146F0">
        <w:rPr>
          <w:rFonts w:ascii="Arial" w:eastAsia="Arial" w:hAnsi="Arial" w:cs="Arial"/>
          <w:b/>
          <w:color w:val="000000"/>
        </w:rPr>
        <w:t>Training</w:t>
      </w:r>
      <w:r w:rsidRPr="00B146F0">
        <w:rPr>
          <w:rFonts w:ascii="Arial" w:eastAsia="Arial" w:hAnsi="Arial" w:cs="Arial"/>
          <w:bCs/>
          <w:color w:val="000000"/>
        </w:rPr>
        <w:t xml:space="preserve"> to support repatriation of work between professional groups, skill mix </w:t>
      </w:r>
      <w:r>
        <w:rPr>
          <w:rFonts w:ascii="Arial" w:eastAsia="Arial" w:hAnsi="Arial" w:cs="Arial"/>
          <w:bCs/>
          <w:color w:val="000000"/>
        </w:rPr>
        <w:t xml:space="preserve">changes </w:t>
      </w:r>
      <w:r w:rsidRPr="00B146F0">
        <w:rPr>
          <w:rFonts w:ascii="Arial" w:eastAsia="Arial" w:hAnsi="Arial" w:cs="Arial"/>
          <w:bCs/>
          <w:color w:val="000000"/>
        </w:rPr>
        <w:t xml:space="preserve">and changes to how tasks are assigned and executed. </w:t>
      </w:r>
      <w:r>
        <w:rPr>
          <w:rFonts w:ascii="Arial" w:eastAsia="Arial" w:hAnsi="Arial" w:cs="Arial"/>
          <w:bCs/>
          <w:color w:val="000000"/>
        </w:rPr>
        <w:t>Training programmes will also be linked to new building and IT systems.</w:t>
      </w:r>
    </w:p>
    <w:p w14:paraId="668502A3" w14:textId="77777777" w:rsidR="00B146F0" w:rsidRPr="00B146F0" w:rsidRDefault="00B146F0" w:rsidP="00190084">
      <w:pPr>
        <w:pStyle w:val="ListParagraph"/>
        <w:numPr>
          <w:ilvl w:val="0"/>
          <w:numId w:val="92"/>
        </w:numPr>
        <w:pBdr>
          <w:top w:val="nil"/>
          <w:left w:val="nil"/>
          <w:bottom w:val="nil"/>
          <w:right w:val="nil"/>
          <w:between w:val="nil"/>
        </w:pBdr>
        <w:tabs>
          <w:tab w:val="left" w:pos="709"/>
        </w:tabs>
        <w:rPr>
          <w:rFonts w:ascii="Arial" w:eastAsia="Arial" w:hAnsi="Arial" w:cs="Arial"/>
          <w:bCs/>
          <w:color w:val="000000"/>
        </w:rPr>
      </w:pPr>
      <w:r w:rsidRPr="00B146F0">
        <w:rPr>
          <w:rFonts w:ascii="Arial" w:eastAsia="Arial" w:hAnsi="Arial" w:cs="Arial"/>
          <w:b/>
          <w:color w:val="000000"/>
        </w:rPr>
        <w:t>Changing culture and values</w:t>
      </w:r>
      <w:r w:rsidRPr="00B146F0">
        <w:rPr>
          <w:rFonts w:ascii="Arial" w:eastAsia="Arial" w:hAnsi="Arial" w:cs="Arial"/>
          <w:bCs/>
          <w:color w:val="000000"/>
        </w:rPr>
        <w:t xml:space="preserve"> through a robust staff engagement programme</w:t>
      </w:r>
      <w:r>
        <w:rPr>
          <w:rFonts w:ascii="Arial" w:eastAsia="Arial" w:hAnsi="Arial" w:cs="Arial"/>
          <w:bCs/>
          <w:color w:val="000000"/>
        </w:rPr>
        <w:t xml:space="preserve">. The </w:t>
      </w:r>
      <w:r w:rsidRPr="00B146F0">
        <w:rPr>
          <w:rFonts w:ascii="Arial" w:eastAsia="Arial" w:hAnsi="Arial" w:cs="Arial"/>
          <w:bCs/>
          <w:color w:val="000000"/>
        </w:rPr>
        <w:t>desired culture and values required to support the new ways of working will be developed</w:t>
      </w:r>
      <w:r>
        <w:rPr>
          <w:rFonts w:ascii="Arial" w:eastAsia="Arial" w:hAnsi="Arial" w:cs="Arial"/>
          <w:bCs/>
          <w:color w:val="000000"/>
        </w:rPr>
        <w:t>,</w:t>
      </w:r>
      <w:r w:rsidRPr="00B146F0">
        <w:rPr>
          <w:rFonts w:ascii="Arial" w:eastAsia="Arial" w:hAnsi="Arial" w:cs="Arial"/>
          <w:bCs/>
          <w:color w:val="000000"/>
        </w:rPr>
        <w:t xml:space="preserve"> and leaders supported and trained to ensure that they are able to lead changes in a way that delivers the culture needed. </w:t>
      </w:r>
    </w:p>
    <w:p w14:paraId="17C301CE" w14:textId="77777777" w:rsidR="00B146F0" w:rsidRPr="00B146F0" w:rsidRDefault="00B146F0" w:rsidP="00190084">
      <w:pPr>
        <w:pStyle w:val="ListParagraph"/>
        <w:numPr>
          <w:ilvl w:val="0"/>
          <w:numId w:val="92"/>
        </w:numPr>
        <w:pBdr>
          <w:top w:val="nil"/>
          <w:left w:val="nil"/>
          <w:bottom w:val="nil"/>
          <w:right w:val="nil"/>
          <w:between w:val="nil"/>
        </w:pBdr>
        <w:tabs>
          <w:tab w:val="left" w:pos="709"/>
        </w:tabs>
        <w:rPr>
          <w:rFonts w:ascii="Arial" w:eastAsia="Arial" w:hAnsi="Arial" w:cs="Arial"/>
          <w:bCs/>
          <w:color w:val="000000"/>
        </w:rPr>
      </w:pPr>
      <w:r w:rsidRPr="00B146F0">
        <w:rPr>
          <w:rFonts w:ascii="Arial" w:eastAsia="Arial" w:hAnsi="Arial" w:cs="Arial"/>
          <w:b/>
          <w:color w:val="000000"/>
        </w:rPr>
        <w:t>People management processes</w:t>
      </w:r>
      <w:r w:rsidRPr="00B146F0">
        <w:rPr>
          <w:rFonts w:ascii="Arial" w:eastAsia="Arial" w:hAnsi="Arial" w:cs="Arial"/>
          <w:bCs/>
          <w:color w:val="000000"/>
        </w:rPr>
        <w:t xml:space="preserve"> will be specified and redesigned to support implementation of the operating model, this will include appraisal, performance management, recruitment, succession planning and talent management. </w:t>
      </w:r>
    </w:p>
    <w:p w14:paraId="2F290677" w14:textId="77777777" w:rsidR="00B146F0" w:rsidRPr="002A0676" w:rsidRDefault="00B146F0" w:rsidP="00B146F0">
      <w:pPr>
        <w:pBdr>
          <w:top w:val="nil"/>
          <w:left w:val="nil"/>
          <w:bottom w:val="nil"/>
          <w:right w:val="nil"/>
          <w:between w:val="nil"/>
        </w:pBdr>
        <w:tabs>
          <w:tab w:val="left" w:pos="567"/>
        </w:tabs>
        <w:rPr>
          <w:rFonts w:ascii="Arial" w:eastAsia="Arial" w:hAnsi="Arial" w:cs="Arial"/>
          <w:bCs/>
          <w:color w:val="000000"/>
        </w:rPr>
      </w:pPr>
      <w:r w:rsidRPr="002A0676">
        <w:rPr>
          <w:rFonts w:ascii="Arial" w:eastAsia="Arial" w:hAnsi="Arial" w:cs="Arial"/>
          <w:bCs/>
          <w:color w:val="000000"/>
        </w:rPr>
        <w:t xml:space="preserve">It is anticipated that there will be significant changes in how services are delivered which will lead to a reduction in overall headcount as technology, volunteer use and skill mix impact. </w:t>
      </w:r>
    </w:p>
    <w:p w14:paraId="53E9D9C6" w14:textId="77777777" w:rsidR="004A7E6A" w:rsidRPr="00587DF1" w:rsidRDefault="00B146F0" w:rsidP="004A7E6A">
      <w:p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 xml:space="preserve"> </w:t>
      </w:r>
      <w:bookmarkStart w:id="249" w:name="_Hlk30153245"/>
    </w:p>
    <w:p w14:paraId="4D5452E7" w14:textId="77777777" w:rsidR="004A7E6A" w:rsidRPr="00587DF1" w:rsidRDefault="004A7E6A" w:rsidP="005E0D57">
      <w:pPr>
        <w:pStyle w:val="Heading2"/>
        <w:numPr>
          <w:ilvl w:val="1"/>
          <w:numId w:val="1"/>
        </w:numPr>
        <w:spacing w:after="240"/>
        <w:rPr>
          <w:rFonts w:ascii="Arial" w:eastAsia="Arial" w:hAnsi="Arial" w:cs="Arial"/>
        </w:rPr>
      </w:pPr>
      <w:bookmarkStart w:id="250" w:name="_Ref27746787"/>
      <w:bookmarkStart w:id="251" w:name="_Toc32842724"/>
      <w:r w:rsidRPr="00587DF1">
        <w:rPr>
          <w:rFonts w:ascii="Arial" w:eastAsia="Arial" w:hAnsi="Arial" w:cs="Arial"/>
        </w:rPr>
        <w:t xml:space="preserve">IT </w:t>
      </w:r>
      <w:r w:rsidR="00957E58" w:rsidRPr="00587DF1">
        <w:rPr>
          <w:rFonts w:ascii="Arial" w:eastAsia="Arial" w:hAnsi="Arial" w:cs="Arial"/>
        </w:rPr>
        <w:t>systems and infrastructure</w:t>
      </w:r>
      <w:bookmarkEnd w:id="250"/>
      <w:bookmarkEnd w:id="251"/>
    </w:p>
    <w:p w14:paraId="36FD36D1" w14:textId="0C52BAB1" w:rsidR="004A7E6A" w:rsidRPr="00587DF1" w:rsidRDefault="004A7E6A" w:rsidP="004A7E6A">
      <w:pPr>
        <w:pBdr>
          <w:top w:val="nil"/>
          <w:left w:val="nil"/>
          <w:bottom w:val="nil"/>
          <w:right w:val="nil"/>
          <w:between w:val="nil"/>
        </w:pBdr>
        <w:tabs>
          <w:tab w:val="left" w:pos="567"/>
        </w:tabs>
        <w:spacing w:after="0"/>
        <w:rPr>
          <w:rFonts w:ascii="Arial" w:eastAsia="Arial" w:hAnsi="Arial" w:cs="Arial"/>
          <w:bCs/>
          <w:color w:val="000000"/>
        </w:rPr>
      </w:pPr>
      <w:r w:rsidRPr="00587DF1">
        <w:rPr>
          <w:rFonts w:ascii="Arial" w:eastAsia="Arial" w:hAnsi="Arial" w:cs="Arial"/>
          <w:bCs/>
          <w:color w:val="000000"/>
        </w:rPr>
        <w:t>This section provides an overview of the IT strategy for Oriel.</w:t>
      </w:r>
      <w:r w:rsidR="00FC34DB">
        <w:rPr>
          <w:rFonts w:ascii="Arial" w:eastAsia="Arial" w:hAnsi="Arial" w:cs="Arial"/>
          <w:bCs/>
          <w:color w:val="000000"/>
        </w:rPr>
        <w:t xml:space="preserve"> The process undertaken to develop this strategy, and details of the core deliverables for Oriel and their benefits, are set out in Appendix </w:t>
      </w:r>
      <w:r w:rsidR="006376EA">
        <w:rPr>
          <w:rFonts w:ascii="Arial" w:eastAsia="Arial" w:hAnsi="Arial" w:cs="Arial"/>
          <w:bCs/>
          <w:color w:val="000000"/>
        </w:rPr>
        <w:t>5C</w:t>
      </w:r>
      <w:r w:rsidR="00FC34DB">
        <w:rPr>
          <w:rFonts w:ascii="Arial" w:eastAsia="Arial" w:hAnsi="Arial" w:cs="Arial"/>
          <w:bCs/>
          <w:color w:val="000000"/>
        </w:rPr>
        <w:t>.</w:t>
      </w:r>
    </w:p>
    <w:p w14:paraId="2B2CD408" w14:textId="77777777" w:rsidR="004A7E6A" w:rsidRPr="00587DF1" w:rsidRDefault="004A7E6A" w:rsidP="004A7E6A">
      <w:pPr>
        <w:pBdr>
          <w:top w:val="nil"/>
          <w:left w:val="nil"/>
          <w:bottom w:val="nil"/>
          <w:right w:val="nil"/>
          <w:between w:val="nil"/>
        </w:pBdr>
        <w:tabs>
          <w:tab w:val="left" w:pos="567"/>
        </w:tabs>
        <w:spacing w:after="0"/>
        <w:rPr>
          <w:rFonts w:ascii="Arial" w:eastAsia="Arial" w:hAnsi="Arial" w:cs="Arial"/>
          <w:bCs/>
          <w:color w:val="000000"/>
        </w:rPr>
      </w:pPr>
    </w:p>
    <w:p w14:paraId="71CF0428" w14:textId="77777777" w:rsidR="004A7E6A" w:rsidRPr="00587DF1" w:rsidRDefault="004A7E6A" w:rsidP="005E0D57">
      <w:pPr>
        <w:numPr>
          <w:ilvl w:val="2"/>
          <w:numId w:val="1"/>
        </w:numPr>
        <w:pBdr>
          <w:top w:val="nil"/>
          <w:left w:val="nil"/>
          <w:bottom w:val="nil"/>
          <w:right w:val="nil"/>
          <w:between w:val="nil"/>
        </w:pBdr>
        <w:spacing w:after="0"/>
        <w:jc w:val="both"/>
        <w:rPr>
          <w:rFonts w:ascii="Arial" w:eastAsia="Arial" w:hAnsi="Arial" w:cs="Arial"/>
          <w:b/>
          <w:color w:val="000000"/>
        </w:rPr>
      </w:pPr>
      <w:r w:rsidRPr="00587DF1">
        <w:rPr>
          <w:rFonts w:ascii="Arial" w:eastAsia="Arial" w:hAnsi="Arial" w:cs="Arial"/>
          <w:b/>
          <w:color w:val="000000"/>
        </w:rPr>
        <w:t>IT principles</w:t>
      </w:r>
    </w:p>
    <w:p w14:paraId="2DDF56C9" w14:textId="77777777" w:rsidR="004A7E6A" w:rsidRPr="00587DF1" w:rsidRDefault="004A7E6A" w:rsidP="004A7E6A">
      <w:pPr>
        <w:pBdr>
          <w:top w:val="nil"/>
          <w:left w:val="nil"/>
          <w:bottom w:val="nil"/>
          <w:right w:val="nil"/>
          <w:between w:val="nil"/>
        </w:pBdr>
        <w:tabs>
          <w:tab w:val="left" w:pos="567"/>
        </w:tabs>
        <w:spacing w:after="0"/>
        <w:rPr>
          <w:rFonts w:ascii="Arial" w:eastAsia="Arial" w:hAnsi="Arial" w:cs="Arial"/>
          <w:bCs/>
          <w:color w:val="000000"/>
        </w:rPr>
      </w:pPr>
    </w:p>
    <w:p w14:paraId="6C11385B" w14:textId="684427F6" w:rsidR="004A7E6A" w:rsidRPr="00D76672" w:rsidRDefault="004A7E6A" w:rsidP="004A7E6A">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 xml:space="preserve">The </w:t>
      </w:r>
      <w:r w:rsidR="00A96CC8" w:rsidRPr="00587DF1">
        <w:rPr>
          <w:rFonts w:ascii="Arial" w:eastAsia="Arial" w:hAnsi="Arial" w:cs="Arial"/>
          <w:bCs/>
          <w:color w:val="000000"/>
        </w:rPr>
        <w:t>trust</w:t>
      </w:r>
      <w:r w:rsidRPr="00587DF1">
        <w:rPr>
          <w:rFonts w:ascii="Arial" w:eastAsia="Arial" w:hAnsi="Arial" w:cs="Arial"/>
          <w:bCs/>
          <w:color w:val="000000"/>
        </w:rPr>
        <w:t xml:space="preserve"> recognises the power of digital technology in improving service quality and efficiency, and one of the key drivers for Oriel is the ability to embrace technological advancements and deliver a truly digital facility. As described in the case for change (section </w:t>
      </w:r>
      <w:r w:rsidR="00D76672">
        <w:rPr>
          <w:rFonts w:ascii="Arial" w:eastAsia="Arial" w:hAnsi="Arial" w:cs="Arial"/>
          <w:bCs/>
          <w:color w:val="000000"/>
        </w:rPr>
        <w:lastRenderedPageBreak/>
        <w:fldChar w:fldCharType="begin"/>
      </w:r>
      <w:r w:rsidR="00D76672">
        <w:rPr>
          <w:rFonts w:ascii="Arial" w:eastAsia="Arial" w:hAnsi="Arial" w:cs="Arial"/>
          <w:bCs/>
          <w:color w:val="000000"/>
        </w:rPr>
        <w:instrText xml:space="preserve"> REF _Ref24717234 \r \h </w:instrText>
      </w:r>
      <w:r w:rsidR="00D76672">
        <w:rPr>
          <w:rFonts w:ascii="Arial" w:eastAsia="Arial" w:hAnsi="Arial" w:cs="Arial"/>
          <w:bCs/>
          <w:color w:val="000000"/>
        </w:rPr>
      </w:r>
      <w:r w:rsidR="00D76672">
        <w:rPr>
          <w:rFonts w:ascii="Arial" w:eastAsia="Arial" w:hAnsi="Arial" w:cs="Arial"/>
          <w:bCs/>
          <w:color w:val="000000"/>
        </w:rPr>
        <w:fldChar w:fldCharType="separate"/>
      </w:r>
      <w:r w:rsidR="00A936CD">
        <w:rPr>
          <w:rFonts w:ascii="Arial" w:eastAsia="Arial" w:hAnsi="Arial" w:cs="Arial"/>
          <w:bCs/>
          <w:color w:val="000000"/>
        </w:rPr>
        <w:t>3.10.2</w:t>
      </w:r>
      <w:r w:rsidR="00D76672">
        <w:rPr>
          <w:rFonts w:ascii="Arial" w:eastAsia="Arial" w:hAnsi="Arial" w:cs="Arial"/>
          <w:bCs/>
          <w:color w:val="000000"/>
        </w:rPr>
        <w:fldChar w:fldCharType="end"/>
      </w:r>
      <w:r w:rsidRPr="00587DF1">
        <w:rPr>
          <w:rFonts w:ascii="Arial" w:eastAsia="Arial" w:hAnsi="Arial" w:cs="Arial"/>
          <w:bCs/>
          <w:color w:val="000000"/>
        </w:rPr>
        <w:t xml:space="preserve">), the current building does not have the ability to support the infrastructure required to </w:t>
      </w:r>
      <w:r w:rsidRPr="00D76672">
        <w:rPr>
          <w:rFonts w:ascii="Arial" w:eastAsia="Arial" w:hAnsi="Arial" w:cs="Arial"/>
          <w:bCs/>
          <w:color w:val="000000"/>
        </w:rPr>
        <w:t>realise the trust’s vision</w:t>
      </w:r>
      <w:r w:rsidR="00BF5253" w:rsidRPr="00D76672">
        <w:rPr>
          <w:rFonts w:ascii="Arial" w:eastAsia="Arial" w:hAnsi="Arial" w:cs="Arial"/>
          <w:bCs/>
          <w:color w:val="000000"/>
        </w:rPr>
        <w:t xml:space="preserve"> without significant investment</w:t>
      </w:r>
      <w:r w:rsidRPr="00D76672">
        <w:rPr>
          <w:rFonts w:ascii="Arial" w:eastAsia="Arial" w:hAnsi="Arial" w:cs="Arial"/>
          <w:bCs/>
          <w:color w:val="000000"/>
        </w:rPr>
        <w:t>. The digital vision for Oriel is:</w:t>
      </w:r>
    </w:p>
    <w:p w14:paraId="6BABE501" w14:textId="54FD599B" w:rsidR="004A7E6A" w:rsidRPr="00D76672" w:rsidRDefault="004A7E6A" w:rsidP="004A7E6A">
      <w:pPr>
        <w:rPr>
          <w:rFonts w:ascii="Arial" w:hAnsi="Arial" w:cs="Arial"/>
          <w:noProof/>
        </w:rPr>
      </w:pPr>
      <w:r w:rsidRPr="00D76672">
        <w:rPr>
          <w:rFonts w:ascii="Arial" w:hAnsi="Arial" w:cs="Arial"/>
          <w:noProof/>
        </w:rPr>
        <w:t xml:space="preserve">“Enabling service delivery, research and collaboration by building world-leading digital capabilities, to create a patient centric eye care </w:t>
      </w:r>
      <w:r w:rsidR="00D76672">
        <w:rPr>
          <w:rFonts w:ascii="Arial" w:hAnsi="Arial" w:cs="Arial"/>
          <w:noProof/>
        </w:rPr>
        <w:t>centre</w:t>
      </w:r>
      <w:r w:rsidRPr="00D76672">
        <w:rPr>
          <w:rFonts w:ascii="Arial" w:hAnsi="Arial" w:cs="Arial"/>
          <w:noProof/>
        </w:rPr>
        <w:t>.”</w:t>
      </w:r>
    </w:p>
    <w:p w14:paraId="3C7D5192" w14:textId="77777777" w:rsidR="004A7E6A" w:rsidRPr="00B146F0" w:rsidRDefault="004A7E6A" w:rsidP="004A7E6A">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 xml:space="preserve">The </w:t>
      </w:r>
      <w:r w:rsidRPr="00B146F0">
        <w:rPr>
          <w:rFonts w:ascii="Arial" w:eastAsia="Arial" w:hAnsi="Arial" w:cs="Arial"/>
          <w:bCs/>
          <w:color w:val="000000"/>
        </w:rPr>
        <w:t>opportunities presented by Oriel are:</w:t>
      </w:r>
    </w:p>
    <w:p w14:paraId="2EAF31C5" w14:textId="4D2B7B73" w:rsidR="004A7E6A" w:rsidRPr="00B146F0" w:rsidRDefault="004A7E6A"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B146F0">
        <w:rPr>
          <w:rFonts w:ascii="Arial" w:eastAsia="Arial" w:hAnsi="Arial" w:cs="Arial"/>
          <w:bCs/>
          <w:color w:val="000000"/>
        </w:rPr>
        <w:t>Delive</w:t>
      </w:r>
      <w:r w:rsidR="00D76672">
        <w:rPr>
          <w:rFonts w:ascii="Arial" w:eastAsia="Arial" w:hAnsi="Arial" w:cs="Arial"/>
          <w:bCs/>
          <w:color w:val="000000"/>
        </w:rPr>
        <w:t>ring</w:t>
      </w:r>
      <w:r w:rsidRPr="00B146F0">
        <w:rPr>
          <w:rFonts w:ascii="Arial" w:eastAsia="Arial" w:hAnsi="Arial" w:cs="Arial"/>
          <w:bCs/>
          <w:color w:val="000000"/>
        </w:rPr>
        <w:t xml:space="preserve"> truly patient-centred care</w:t>
      </w:r>
      <w:r w:rsidR="00B146F0" w:rsidRPr="00B146F0">
        <w:rPr>
          <w:rFonts w:ascii="Arial" w:eastAsia="Arial" w:hAnsi="Arial" w:cs="Arial"/>
          <w:bCs/>
          <w:color w:val="000000"/>
        </w:rPr>
        <w:t>.</w:t>
      </w:r>
    </w:p>
    <w:p w14:paraId="12152358" w14:textId="7B6098AC" w:rsidR="004A7E6A" w:rsidRPr="00B146F0" w:rsidRDefault="004A7E6A"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B146F0">
        <w:rPr>
          <w:rFonts w:ascii="Arial" w:eastAsia="Arial" w:hAnsi="Arial" w:cs="Arial"/>
          <w:bCs/>
          <w:color w:val="000000"/>
        </w:rPr>
        <w:t>Support</w:t>
      </w:r>
      <w:r w:rsidR="00D76672">
        <w:rPr>
          <w:rFonts w:ascii="Arial" w:eastAsia="Arial" w:hAnsi="Arial" w:cs="Arial"/>
          <w:bCs/>
          <w:color w:val="000000"/>
        </w:rPr>
        <w:t>ing</w:t>
      </w:r>
      <w:r w:rsidRPr="00B146F0">
        <w:rPr>
          <w:rFonts w:ascii="Arial" w:eastAsia="Arial" w:hAnsi="Arial" w:cs="Arial"/>
          <w:bCs/>
          <w:color w:val="000000"/>
        </w:rPr>
        <w:t xml:space="preserve"> improved service efficiency</w:t>
      </w:r>
      <w:r w:rsidR="00B146F0" w:rsidRPr="00B146F0">
        <w:rPr>
          <w:rFonts w:ascii="Arial" w:eastAsia="Arial" w:hAnsi="Arial" w:cs="Arial"/>
          <w:bCs/>
          <w:color w:val="000000"/>
        </w:rPr>
        <w:t>.</w:t>
      </w:r>
    </w:p>
    <w:p w14:paraId="4FF9931A" w14:textId="77777777" w:rsidR="004A7E6A" w:rsidRPr="00B146F0" w:rsidRDefault="004A7E6A"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B146F0">
        <w:rPr>
          <w:rFonts w:ascii="Arial" w:eastAsia="Arial" w:hAnsi="Arial" w:cs="Arial"/>
          <w:bCs/>
          <w:color w:val="000000"/>
        </w:rPr>
        <w:t>Delivering more care in the community</w:t>
      </w:r>
      <w:r w:rsidR="00B146F0" w:rsidRPr="00B146F0">
        <w:rPr>
          <w:rFonts w:ascii="Arial" w:eastAsia="Arial" w:hAnsi="Arial" w:cs="Arial"/>
          <w:bCs/>
          <w:color w:val="000000"/>
        </w:rPr>
        <w:t>.</w:t>
      </w:r>
    </w:p>
    <w:p w14:paraId="348D25C3" w14:textId="77777777" w:rsidR="004A7E6A" w:rsidRPr="00B146F0" w:rsidRDefault="004A7E6A"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B146F0">
        <w:rPr>
          <w:rFonts w:ascii="Arial" w:eastAsia="Arial" w:hAnsi="Arial" w:cs="Arial"/>
          <w:bCs/>
          <w:color w:val="000000"/>
        </w:rPr>
        <w:t>Improving access to services.</w:t>
      </w:r>
    </w:p>
    <w:p w14:paraId="25EE7119" w14:textId="4A44F2D1" w:rsidR="004A7E6A" w:rsidRPr="00B146F0" w:rsidRDefault="00D76672"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Pr>
          <w:rFonts w:ascii="Arial" w:eastAsia="Arial" w:hAnsi="Arial" w:cs="Arial"/>
          <w:bCs/>
          <w:color w:val="000000"/>
        </w:rPr>
        <w:t>Increasing c</w:t>
      </w:r>
      <w:r w:rsidR="004A7E6A" w:rsidRPr="00B146F0">
        <w:rPr>
          <w:rFonts w:ascii="Arial" w:eastAsia="Arial" w:hAnsi="Arial" w:cs="Arial"/>
          <w:bCs/>
          <w:color w:val="000000"/>
        </w:rPr>
        <w:t>ollaboration and integration</w:t>
      </w:r>
      <w:r w:rsidR="00B146F0" w:rsidRPr="00B146F0">
        <w:rPr>
          <w:rFonts w:ascii="Arial" w:eastAsia="Arial" w:hAnsi="Arial" w:cs="Arial"/>
          <w:bCs/>
          <w:color w:val="000000"/>
        </w:rPr>
        <w:t>.</w:t>
      </w:r>
    </w:p>
    <w:p w14:paraId="47759BF5" w14:textId="5D3AEC99" w:rsidR="004A7E6A" w:rsidRPr="00B146F0" w:rsidRDefault="00D76672"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Pr>
          <w:rFonts w:ascii="Arial" w:eastAsia="Arial" w:hAnsi="Arial" w:cs="Arial"/>
          <w:bCs/>
          <w:color w:val="000000"/>
        </w:rPr>
        <w:t>Enabling c</w:t>
      </w:r>
      <w:r w:rsidR="004A7E6A" w:rsidRPr="00B146F0">
        <w:rPr>
          <w:rFonts w:ascii="Arial" w:eastAsia="Arial" w:hAnsi="Arial" w:cs="Arial"/>
          <w:bCs/>
          <w:color w:val="000000"/>
        </w:rPr>
        <w:t>linical image management and research</w:t>
      </w:r>
      <w:r w:rsidR="00B146F0" w:rsidRPr="00B146F0">
        <w:rPr>
          <w:rFonts w:ascii="Arial" w:eastAsia="Arial" w:hAnsi="Arial" w:cs="Arial"/>
          <w:bCs/>
          <w:color w:val="000000"/>
        </w:rPr>
        <w:t>.</w:t>
      </w:r>
    </w:p>
    <w:p w14:paraId="05ECD19C" w14:textId="77777777" w:rsidR="004A7E6A" w:rsidRPr="00B146F0" w:rsidRDefault="00B146F0"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B146F0">
        <w:rPr>
          <w:rFonts w:ascii="Arial" w:eastAsia="Arial" w:hAnsi="Arial" w:cs="Arial"/>
          <w:bCs/>
          <w:color w:val="000000"/>
        </w:rPr>
        <w:t>E</w:t>
      </w:r>
      <w:r w:rsidR="004A7E6A" w:rsidRPr="00B146F0">
        <w:rPr>
          <w:rFonts w:ascii="Arial" w:eastAsia="Arial" w:hAnsi="Arial" w:cs="Arial"/>
          <w:bCs/>
          <w:color w:val="000000"/>
        </w:rPr>
        <w:t>nhanc</w:t>
      </w:r>
      <w:r w:rsidRPr="00B146F0">
        <w:rPr>
          <w:rFonts w:ascii="Arial" w:eastAsia="Arial" w:hAnsi="Arial" w:cs="Arial"/>
          <w:bCs/>
          <w:color w:val="000000"/>
        </w:rPr>
        <w:t>ing</w:t>
      </w:r>
      <w:r w:rsidR="004A7E6A" w:rsidRPr="00B146F0">
        <w:rPr>
          <w:rFonts w:ascii="Arial" w:eastAsia="Arial" w:hAnsi="Arial" w:cs="Arial"/>
          <w:bCs/>
          <w:color w:val="000000"/>
        </w:rPr>
        <w:t xml:space="preserve"> the educational experience.</w:t>
      </w:r>
    </w:p>
    <w:p w14:paraId="69320BB6" w14:textId="77777777" w:rsidR="004A7E6A" w:rsidRPr="00587DF1" w:rsidRDefault="004A7E6A" w:rsidP="004A7E6A">
      <w:pPr>
        <w:pBdr>
          <w:top w:val="nil"/>
          <w:left w:val="nil"/>
          <w:bottom w:val="nil"/>
          <w:right w:val="nil"/>
          <w:between w:val="nil"/>
        </w:pBdr>
        <w:tabs>
          <w:tab w:val="left" w:pos="709"/>
        </w:tabs>
        <w:spacing w:after="0"/>
        <w:rPr>
          <w:rFonts w:ascii="Arial" w:eastAsia="Arial" w:hAnsi="Arial" w:cs="Arial"/>
          <w:bCs/>
          <w:color w:val="000000"/>
        </w:rPr>
      </w:pPr>
    </w:p>
    <w:p w14:paraId="3FF82E3E" w14:textId="77777777" w:rsidR="006458B3" w:rsidRPr="00587DF1" w:rsidRDefault="006458B3" w:rsidP="005E0D57">
      <w:pPr>
        <w:numPr>
          <w:ilvl w:val="2"/>
          <w:numId w:val="1"/>
        </w:numPr>
        <w:pBdr>
          <w:top w:val="nil"/>
          <w:left w:val="nil"/>
          <w:bottom w:val="nil"/>
          <w:right w:val="nil"/>
          <w:between w:val="nil"/>
        </w:pBdr>
        <w:spacing w:after="0"/>
        <w:jc w:val="both"/>
        <w:rPr>
          <w:rFonts w:ascii="Arial" w:eastAsia="Arial" w:hAnsi="Arial" w:cs="Arial"/>
          <w:b/>
          <w:color w:val="000000"/>
        </w:rPr>
      </w:pPr>
      <w:r w:rsidRPr="00587DF1">
        <w:rPr>
          <w:rFonts w:ascii="Arial" w:eastAsia="Arial" w:hAnsi="Arial" w:cs="Arial"/>
          <w:b/>
          <w:color w:val="000000"/>
        </w:rPr>
        <w:t>Proposed digital components</w:t>
      </w:r>
    </w:p>
    <w:p w14:paraId="2F12D44B" w14:textId="77777777" w:rsidR="006458B3" w:rsidRPr="00587DF1" w:rsidRDefault="006458B3" w:rsidP="006458B3">
      <w:pPr>
        <w:pBdr>
          <w:top w:val="nil"/>
          <w:left w:val="nil"/>
          <w:bottom w:val="nil"/>
          <w:right w:val="nil"/>
          <w:between w:val="nil"/>
        </w:pBdr>
        <w:tabs>
          <w:tab w:val="left" w:pos="709"/>
        </w:tabs>
        <w:spacing w:after="0"/>
        <w:rPr>
          <w:rFonts w:ascii="Arial" w:eastAsia="Arial" w:hAnsi="Arial" w:cs="Arial"/>
          <w:bCs/>
          <w:color w:val="000000"/>
        </w:rPr>
      </w:pPr>
    </w:p>
    <w:p w14:paraId="00671DF0" w14:textId="77777777" w:rsidR="006458B3" w:rsidRPr="00587DF1" w:rsidRDefault="00B146F0" w:rsidP="004A7E6A">
      <w:pPr>
        <w:pBdr>
          <w:top w:val="nil"/>
          <w:left w:val="nil"/>
          <w:bottom w:val="nil"/>
          <w:right w:val="nil"/>
          <w:between w:val="nil"/>
        </w:pBdr>
        <w:tabs>
          <w:tab w:val="left" w:pos="709"/>
        </w:tabs>
        <w:spacing w:after="0"/>
        <w:rPr>
          <w:rFonts w:ascii="Arial" w:eastAsia="Arial" w:hAnsi="Arial" w:cs="Arial"/>
          <w:bCs/>
          <w:color w:val="000000"/>
        </w:rPr>
      </w:pPr>
      <w:r>
        <w:rPr>
          <w:rFonts w:ascii="Arial" w:eastAsia="Arial" w:hAnsi="Arial" w:cs="Arial"/>
          <w:bCs/>
          <w:color w:val="000000"/>
        </w:rPr>
        <w:t>T</w:t>
      </w:r>
      <w:r w:rsidR="00EA0838" w:rsidRPr="00587DF1">
        <w:rPr>
          <w:rFonts w:ascii="Arial" w:eastAsia="Arial" w:hAnsi="Arial" w:cs="Arial"/>
          <w:bCs/>
          <w:color w:val="000000"/>
        </w:rPr>
        <w:t>he trust have agreed the following principle components which will be required in Oriel, in order to deliver the efficiency and patient experience improvements planned.</w:t>
      </w:r>
    </w:p>
    <w:p w14:paraId="0EF427C1" w14:textId="77777777" w:rsidR="006458B3" w:rsidRPr="00587DF1" w:rsidRDefault="006458B3" w:rsidP="004A7E6A">
      <w:pPr>
        <w:pBdr>
          <w:top w:val="nil"/>
          <w:left w:val="nil"/>
          <w:bottom w:val="nil"/>
          <w:right w:val="nil"/>
          <w:between w:val="nil"/>
        </w:pBdr>
        <w:tabs>
          <w:tab w:val="left" w:pos="709"/>
        </w:tabs>
        <w:spacing w:after="0"/>
        <w:rPr>
          <w:rFonts w:ascii="Arial" w:eastAsia="Arial" w:hAnsi="Arial" w:cs="Arial"/>
          <w:bCs/>
          <w:color w:val="000000"/>
        </w:rPr>
      </w:pPr>
    </w:p>
    <w:p w14:paraId="47A5C6FE" w14:textId="77777777" w:rsidR="00EA0838" w:rsidRPr="00587DF1" w:rsidRDefault="00EA0838" w:rsidP="00EA0838">
      <w:pPr>
        <w:pBdr>
          <w:top w:val="nil"/>
          <w:left w:val="nil"/>
          <w:bottom w:val="nil"/>
          <w:right w:val="nil"/>
          <w:between w:val="nil"/>
        </w:pBdr>
        <w:tabs>
          <w:tab w:val="left" w:pos="709"/>
        </w:tabs>
        <w:spacing w:after="0"/>
        <w:rPr>
          <w:rFonts w:ascii="Arial" w:eastAsia="Arial" w:hAnsi="Arial" w:cs="Arial"/>
          <w:bCs/>
          <w:color w:val="000000"/>
        </w:rPr>
      </w:pPr>
      <w:r w:rsidRPr="00587DF1">
        <w:rPr>
          <w:rFonts w:ascii="Arial" w:eastAsia="Arial" w:hAnsi="Arial" w:cs="Arial"/>
          <w:b/>
          <w:bCs/>
          <w:color w:val="000000"/>
        </w:rPr>
        <w:t>Clinical services</w:t>
      </w:r>
    </w:p>
    <w:p w14:paraId="3DCFE91A" w14:textId="77777777" w:rsidR="00EA0838" w:rsidRPr="00587DF1" w:rsidRDefault="00EA0838"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View of digital records for clinicians as and when required across multiple devices.</w:t>
      </w:r>
    </w:p>
    <w:p w14:paraId="6C2E6CE6" w14:textId="77777777" w:rsidR="00EA0838" w:rsidRPr="00587DF1" w:rsidRDefault="00EA0838"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Real</w:t>
      </w:r>
      <w:r w:rsidR="00B146F0">
        <w:rPr>
          <w:rFonts w:ascii="Arial" w:eastAsia="Arial" w:hAnsi="Arial" w:cs="Arial"/>
          <w:bCs/>
          <w:color w:val="000000"/>
        </w:rPr>
        <w:t>-</w:t>
      </w:r>
      <w:r w:rsidRPr="00587DF1">
        <w:rPr>
          <w:rFonts w:ascii="Arial" w:eastAsia="Arial" w:hAnsi="Arial" w:cs="Arial"/>
          <w:bCs/>
          <w:color w:val="000000"/>
        </w:rPr>
        <w:t>time digital data captured directly, close to source and shared centrally.</w:t>
      </w:r>
    </w:p>
    <w:p w14:paraId="4C14A752" w14:textId="77777777" w:rsidR="00EA0838" w:rsidRPr="00587DF1" w:rsidRDefault="00EA0838"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Ability to share selected data with patients and other health professionals inside and outside of Moorfields, to support collaboration and knowledge share.</w:t>
      </w:r>
    </w:p>
    <w:p w14:paraId="4F63C0B1" w14:textId="77777777" w:rsidR="00EA0838" w:rsidRPr="00587DF1" w:rsidRDefault="00EA0838"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 xml:space="preserve">Workflow and transition between departments </w:t>
      </w:r>
      <w:r w:rsidR="00135293" w:rsidRPr="00587DF1">
        <w:rPr>
          <w:rFonts w:ascii="Arial" w:eastAsia="Arial" w:hAnsi="Arial" w:cs="Arial"/>
          <w:bCs/>
          <w:color w:val="000000"/>
        </w:rPr>
        <w:t>which</w:t>
      </w:r>
      <w:r w:rsidRPr="00587DF1">
        <w:rPr>
          <w:rFonts w:ascii="Arial" w:eastAsia="Arial" w:hAnsi="Arial" w:cs="Arial"/>
          <w:bCs/>
          <w:color w:val="000000"/>
        </w:rPr>
        <w:t xml:space="preserve"> ensure</w:t>
      </w:r>
      <w:r w:rsidR="00135293" w:rsidRPr="00587DF1">
        <w:rPr>
          <w:rFonts w:ascii="Arial" w:eastAsia="Arial" w:hAnsi="Arial" w:cs="Arial"/>
          <w:bCs/>
          <w:color w:val="000000"/>
        </w:rPr>
        <w:t>s</w:t>
      </w:r>
      <w:r w:rsidRPr="00587DF1">
        <w:rPr>
          <w:rFonts w:ascii="Arial" w:eastAsia="Arial" w:hAnsi="Arial" w:cs="Arial"/>
          <w:bCs/>
          <w:color w:val="000000"/>
        </w:rPr>
        <w:t xml:space="preserve"> that patient details are ready </w:t>
      </w:r>
      <w:r w:rsidR="00135293" w:rsidRPr="00587DF1">
        <w:rPr>
          <w:rFonts w:ascii="Arial" w:eastAsia="Arial" w:hAnsi="Arial" w:cs="Arial"/>
          <w:bCs/>
          <w:color w:val="000000"/>
        </w:rPr>
        <w:t>when required</w:t>
      </w:r>
      <w:r w:rsidRPr="00587DF1">
        <w:rPr>
          <w:rFonts w:ascii="Arial" w:eastAsia="Arial" w:hAnsi="Arial" w:cs="Arial"/>
          <w:bCs/>
          <w:color w:val="000000"/>
        </w:rPr>
        <w:t>.</w:t>
      </w:r>
    </w:p>
    <w:p w14:paraId="40E42037" w14:textId="77777777" w:rsidR="00EA0838" w:rsidRPr="00587DF1" w:rsidRDefault="00EA0838"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 xml:space="preserve">Infrastructure </w:t>
      </w:r>
      <w:r w:rsidR="00135293" w:rsidRPr="00587DF1">
        <w:rPr>
          <w:rFonts w:ascii="Arial" w:eastAsia="Arial" w:hAnsi="Arial" w:cs="Arial"/>
          <w:bCs/>
          <w:color w:val="000000"/>
        </w:rPr>
        <w:t xml:space="preserve">to </w:t>
      </w:r>
      <w:r w:rsidRPr="00587DF1">
        <w:rPr>
          <w:rFonts w:ascii="Arial" w:eastAsia="Arial" w:hAnsi="Arial" w:cs="Arial"/>
          <w:bCs/>
          <w:color w:val="000000"/>
        </w:rPr>
        <w:t>support rapid and reliable access to clinical images.</w:t>
      </w:r>
    </w:p>
    <w:p w14:paraId="0AB4B6A0" w14:textId="77777777" w:rsidR="00EA0838" w:rsidRPr="00587DF1" w:rsidRDefault="00135293"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A</w:t>
      </w:r>
      <w:r w:rsidR="00EA0838" w:rsidRPr="00587DF1">
        <w:rPr>
          <w:rFonts w:ascii="Arial" w:eastAsia="Arial" w:hAnsi="Arial" w:cs="Arial"/>
          <w:bCs/>
          <w:color w:val="000000"/>
        </w:rPr>
        <w:t>bility to extend care ‘outside’ of current care delivery points e.g. tele-consultations, remote patient monitoring, remote robotics surgery.</w:t>
      </w:r>
    </w:p>
    <w:p w14:paraId="51CEC708" w14:textId="77777777" w:rsidR="00EA0838" w:rsidRPr="00587DF1" w:rsidRDefault="00EA0838" w:rsidP="00EA0838">
      <w:pPr>
        <w:pBdr>
          <w:top w:val="nil"/>
          <w:left w:val="nil"/>
          <w:bottom w:val="nil"/>
          <w:right w:val="nil"/>
          <w:between w:val="nil"/>
        </w:pBdr>
        <w:tabs>
          <w:tab w:val="left" w:pos="709"/>
        </w:tabs>
        <w:spacing w:after="0"/>
        <w:rPr>
          <w:rFonts w:ascii="Arial" w:eastAsia="Arial" w:hAnsi="Arial" w:cs="Arial"/>
          <w:bCs/>
          <w:color w:val="000000"/>
        </w:rPr>
      </w:pPr>
      <w:r w:rsidRPr="00587DF1">
        <w:rPr>
          <w:rFonts w:ascii="Arial" w:eastAsia="Arial" w:hAnsi="Arial" w:cs="Arial"/>
          <w:b/>
          <w:bCs/>
          <w:color w:val="000000"/>
        </w:rPr>
        <w:t>Research</w:t>
      </w:r>
    </w:p>
    <w:p w14:paraId="04B64C83" w14:textId="77777777" w:rsidR="00EA0838" w:rsidRPr="00587DF1" w:rsidRDefault="00135293"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T</w:t>
      </w:r>
      <w:r w:rsidR="00EA0838" w:rsidRPr="00587DF1">
        <w:rPr>
          <w:rFonts w:ascii="Arial" w:eastAsia="Arial" w:hAnsi="Arial" w:cs="Arial"/>
          <w:bCs/>
          <w:color w:val="000000"/>
        </w:rPr>
        <w:t xml:space="preserve">echnology solutions </w:t>
      </w:r>
      <w:r w:rsidRPr="00587DF1">
        <w:rPr>
          <w:rFonts w:ascii="Arial" w:eastAsia="Arial" w:hAnsi="Arial" w:cs="Arial"/>
          <w:bCs/>
          <w:color w:val="000000"/>
        </w:rPr>
        <w:t xml:space="preserve">to </w:t>
      </w:r>
      <w:r w:rsidR="00EA0838" w:rsidRPr="00587DF1">
        <w:rPr>
          <w:rFonts w:ascii="Arial" w:eastAsia="Arial" w:hAnsi="Arial" w:cs="Arial"/>
          <w:bCs/>
          <w:color w:val="000000"/>
        </w:rPr>
        <w:t xml:space="preserve">support and enable research, and never impede it. </w:t>
      </w:r>
    </w:p>
    <w:p w14:paraId="60A1DF75" w14:textId="77777777" w:rsidR="00EA0838" w:rsidRPr="00587DF1" w:rsidRDefault="00135293"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E</w:t>
      </w:r>
      <w:r w:rsidR="00EA0838" w:rsidRPr="00587DF1">
        <w:rPr>
          <w:rFonts w:ascii="Arial" w:eastAsia="Arial" w:hAnsi="Arial" w:cs="Arial"/>
          <w:bCs/>
          <w:color w:val="000000"/>
        </w:rPr>
        <w:t>fficient storage and retrieval of large volumes of images.</w:t>
      </w:r>
    </w:p>
    <w:p w14:paraId="3D06693D" w14:textId="6392C9DE" w:rsidR="00EA0838" w:rsidRPr="00587DF1" w:rsidRDefault="00135293"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A</w:t>
      </w:r>
      <w:r w:rsidR="00EA0838" w:rsidRPr="00587DF1">
        <w:rPr>
          <w:rFonts w:ascii="Arial" w:eastAsia="Arial" w:hAnsi="Arial" w:cs="Arial"/>
          <w:bCs/>
          <w:color w:val="000000"/>
        </w:rPr>
        <w:t>bility to engage</w:t>
      </w:r>
      <w:r w:rsidRPr="00587DF1">
        <w:rPr>
          <w:rFonts w:ascii="Arial" w:eastAsia="Arial" w:hAnsi="Arial" w:cs="Arial"/>
          <w:bCs/>
          <w:color w:val="000000"/>
        </w:rPr>
        <w:t xml:space="preserve"> and </w:t>
      </w:r>
      <w:r w:rsidR="00EA0838" w:rsidRPr="00587DF1">
        <w:rPr>
          <w:rFonts w:ascii="Arial" w:eastAsia="Arial" w:hAnsi="Arial" w:cs="Arial"/>
          <w:bCs/>
          <w:color w:val="000000"/>
        </w:rPr>
        <w:t>collaborate with other research institute</w:t>
      </w:r>
      <w:r w:rsidRPr="00587DF1">
        <w:rPr>
          <w:rFonts w:ascii="Arial" w:eastAsia="Arial" w:hAnsi="Arial" w:cs="Arial"/>
          <w:bCs/>
          <w:color w:val="000000"/>
        </w:rPr>
        <w:t>s</w:t>
      </w:r>
      <w:r w:rsidR="00EA0838" w:rsidRPr="00587DF1">
        <w:rPr>
          <w:rFonts w:ascii="Arial" w:eastAsia="Arial" w:hAnsi="Arial" w:cs="Arial"/>
          <w:bCs/>
          <w:color w:val="000000"/>
        </w:rPr>
        <w:t xml:space="preserve"> globally – through information exchange, video conferenc</w:t>
      </w:r>
      <w:r w:rsidR="00D76672">
        <w:rPr>
          <w:rFonts w:ascii="Arial" w:eastAsia="Arial" w:hAnsi="Arial" w:cs="Arial"/>
          <w:bCs/>
          <w:color w:val="000000"/>
        </w:rPr>
        <w:t>ing</w:t>
      </w:r>
      <w:r w:rsidR="00EA0838" w:rsidRPr="00587DF1">
        <w:rPr>
          <w:rFonts w:ascii="Arial" w:eastAsia="Arial" w:hAnsi="Arial" w:cs="Arial"/>
          <w:bCs/>
          <w:color w:val="000000"/>
        </w:rPr>
        <w:t>, collaborative working.</w:t>
      </w:r>
    </w:p>
    <w:p w14:paraId="3A002BEB" w14:textId="77777777" w:rsidR="00EA0838" w:rsidRPr="00587DF1" w:rsidRDefault="00EA0838"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Collaboration and ability to share clinical data with UCL and other trusted parties</w:t>
      </w:r>
      <w:r w:rsidR="00135293" w:rsidRPr="00587DF1">
        <w:rPr>
          <w:rFonts w:ascii="Arial" w:eastAsia="Arial" w:hAnsi="Arial" w:cs="Arial"/>
          <w:bCs/>
          <w:color w:val="000000"/>
        </w:rPr>
        <w:t xml:space="preserve"> (this will be carefully controlled in line with GDPR)</w:t>
      </w:r>
      <w:r w:rsidRPr="00587DF1">
        <w:rPr>
          <w:rFonts w:ascii="Arial" w:eastAsia="Arial" w:hAnsi="Arial" w:cs="Arial"/>
          <w:bCs/>
          <w:color w:val="000000"/>
        </w:rPr>
        <w:t>.</w:t>
      </w:r>
    </w:p>
    <w:p w14:paraId="33A19948" w14:textId="77777777" w:rsidR="00EA0838" w:rsidRPr="00587DF1" w:rsidRDefault="00EA0838" w:rsidP="00EA0838">
      <w:pPr>
        <w:pBdr>
          <w:top w:val="nil"/>
          <w:left w:val="nil"/>
          <w:bottom w:val="nil"/>
          <w:right w:val="nil"/>
          <w:between w:val="nil"/>
        </w:pBdr>
        <w:tabs>
          <w:tab w:val="left" w:pos="709"/>
        </w:tabs>
        <w:spacing w:after="0"/>
        <w:rPr>
          <w:rFonts w:ascii="Arial" w:eastAsia="Arial" w:hAnsi="Arial" w:cs="Arial"/>
          <w:bCs/>
          <w:color w:val="000000"/>
        </w:rPr>
      </w:pPr>
      <w:r w:rsidRPr="00587DF1">
        <w:rPr>
          <w:rFonts w:ascii="Arial" w:eastAsia="Arial" w:hAnsi="Arial" w:cs="Arial"/>
          <w:b/>
          <w:bCs/>
          <w:color w:val="000000"/>
        </w:rPr>
        <w:t>Education</w:t>
      </w:r>
    </w:p>
    <w:p w14:paraId="598240DD" w14:textId="77777777" w:rsidR="00EA0838" w:rsidRPr="00587DF1" w:rsidRDefault="00135293"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Ability to hold</w:t>
      </w:r>
      <w:r w:rsidR="00EA0838" w:rsidRPr="00587DF1">
        <w:rPr>
          <w:rFonts w:ascii="Arial" w:eastAsia="Arial" w:hAnsi="Arial" w:cs="Arial"/>
          <w:bCs/>
          <w:color w:val="000000"/>
        </w:rPr>
        <w:t xml:space="preserve"> lectures virtually and remotely to a connected audience. </w:t>
      </w:r>
    </w:p>
    <w:p w14:paraId="74FF32BA" w14:textId="77777777" w:rsidR="00EA0838" w:rsidRPr="00587DF1" w:rsidRDefault="00EA0838"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Infrastructure and applications (e.g. desktop video conferencing, recorded consultations, whiteboards) to provide an enhanced education experience.</w:t>
      </w:r>
    </w:p>
    <w:p w14:paraId="7D49FE9B" w14:textId="77777777" w:rsidR="00EA0838" w:rsidRPr="00587DF1" w:rsidRDefault="00EA0838"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Online digital library of tutorials to enable faster learning. Applicable for non-clinical and Health and Safety training in addition to clinical applications.</w:t>
      </w:r>
    </w:p>
    <w:p w14:paraId="1AB97606" w14:textId="77777777" w:rsidR="00EA0838" w:rsidRPr="00587DF1" w:rsidRDefault="00EA0838"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lastRenderedPageBreak/>
        <w:t>Accelerated knowledge sharing and training for new techniques and procedures.</w:t>
      </w:r>
    </w:p>
    <w:p w14:paraId="57F18571" w14:textId="77777777" w:rsidR="00EA0838" w:rsidRPr="00587DF1" w:rsidRDefault="00EA0838" w:rsidP="00EA0838">
      <w:pPr>
        <w:pBdr>
          <w:top w:val="nil"/>
          <w:left w:val="nil"/>
          <w:bottom w:val="nil"/>
          <w:right w:val="nil"/>
          <w:between w:val="nil"/>
        </w:pBdr>
        <w:tabs>
          <w:tab w:val="left" w:pos="709"/>
        </w:tabs>
        <w:spacing w:after="0"/>
        <w:rPr>
          <w:rFonts w:ascii="Arial" w:eastAsia="Arial" w:hAnsi="Arial" w:cs="Arial"/>
          <w:bCs/>
          <w:color w:val="000000"/>
        </w:rPr>
      </w:pPr>
      <w:r w:rsidRPr="00587DF1">
        <w:rPr>
          <w:rFonts w:ascii="Arial" w:eastAsia="Arial" w:hAnsi="Arial" w:cs="Arial"/>
          <w:b/>
          <w:bCs/>
          <w:color w:val="000000"/>
        </w:rPr>
        <w:t>Patients</w:t>
      </w:r>
    </w:p>
    <w:p w14:paraId="679921E8" w14:textId="77777777" w:rsidR="00EA0838" w:rsidRPr="00587DF1" w:rsidRDefault="00EA0838"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 xml:space="preserve">Digital </w:t>
      </w:r>
      <w:r w:rsidR="00135293" w:rsidRPr="00587DF1">
        <w:rPr>
          <w:rFonts w:ascii="Arial" w:eastAsia="Arial" w:hAnsi="Arial" w:cs="Arial"/>
          <w:bCs/>
          <w:color w:val="000000"/>
        </w:rPr>
        <w:t>c</w:t>
      </w:r>
      <w:r w:rsidRPr="00587DF1">
        <w:rPr>
          <w:rFonts w:ascii="Arial" w:eastAsia="Arial" w:hAnsi="Arial" w:cs="Arial"/>
          <w:bCs/>
          <w:color w:val="000000"/>
        </w:rPr>
        <w:t xml:space="preserve">ommunication </w:t>
      </w:r>
      <w:r w:rsidR="00135293" w:rsidRPr="00587DF1">
        <w:rPr>
          <w:rFonts w:ascii="Arial" w:eastAsia="Arial" w:hAnsi="Arial" w:cs="Arial"/>
          <w:bCs/>
          <w:color w:val="000000"/>
        </w:rPr>
        <w:t xml:space="preserve">with </w:t>
      </w:r>
      <w:r w:rsidRPr="00587DF1">
        <w:rPr>
          <w:rFonts w:ascii="Arial" w:eastAsia="Arial" w:hAnsi="Arial" w:cs="Arial"/>
          <w:bCs/>
          <w:color w:val="000000"/>
        </w:rPr>
        <w:t>patients in a form of their choosing.</w:t>
      </w:r>
    </w:p>
    <w:p w14:paraId="78B6A3A9" w14:textId="77777777" w:rsidR="00EA0838" w:rsidRPr="00587DF1" w:rsidRDefault="00EA0838"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Outpatient registration to simplify the patient journey and enable Moorfields staff to focus on clinical care rather than administration.</w:t>
      </w:r>
    </w:p>
    <w:p w14:paraId="11B17732" w14:textId="77777777" w:rsidR="00EA0838" w:rsidRPr="00587DF1" w:rsidRDefault="00135293"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I</w:t>
      </w:r>
      <w:r w:rsidR="00EA0838" w:rsidRPr="00587DF1">
        <w:rPr>
          <w:rFonts w:ascii="Arial" w:eastAsia="Arial" w:hAnsi="Arial" w:cs="Arial"/>
          <w:bCs/>
          <w:color w:val="000000"/>
        </w:rPr>
        <w:t xml:space="preserve">nteractive visual and audio </w:t>
      </w:r>
      <w:r w:rsidRPr="00587DF1">
        <w:rPr>
          <w:rFonts w:ascii="Arial" w:eastAsia="Arial" w:hAnsi="Arial" w:cs="Arial"/>
          <w:bCs/>
          <w:color w:val="000000"/>
        </w:rPr>
        <w:t>wayfinding</w:t>
      </w:r>
      <w:r w:rsidR="00EA0838" w:rsidRPr="00587DF1">
        <w:rPr>
          <w:rFonts w:ascii="Arial" w:eastAsia="Arial" w:hAnsi="Arial" w:cs="Arial"/>
          <w:bCs/>
          <w:color w:val="000000"/>
        </w:rPr>
        <w:t>.</w:t>
      </w:r>
    </w:p>
    <w:p w14:paraId="603662BF" w14:textId="692AFA2D" w:rsidR="00EA0838" w:rsidRPr="00587DF1" w:rsidRDefault="00EA0838"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 xml:space="preserve">Transparency of current waiting times for A&amp;E and alternative </w:t>
      </w:r>
      <w:r w:rsidR="00D76672">
        <w:rPr>
          <w:rFonts w:ascii="Arial" w:eastAsia="Arial" w:hAnsi="Arial" w:cs="Arial"/>
          <w:bCs/>
          <w:color w:val="000000"/>
        </w:rPr>
        <w:t>ways</w:t>
      </w:r>
      <w:r w:rsidRPr="00587DF1">
        <w:rPr>
          <w:rFonts w:ascii="Arial" w:eastAsia="Arial" w:hAnsi="Arial" w:cs="Arial"/>
          <w:bCs/>
          <w:color w:val="000000"/>
        </w:rPr>
        <w:t xml:space="preserve"> for treatment to </w:t>
      </w:r>
      <w:r w:rsidR="00135293" w:rsidRPr="00587DF1">
        <w:rPr>
          <w:rFonts w:ascii="Arial" w:eastAsia="Arial" w:hAnsi="Arial" w:cs="Arial"/>
          <w:bCs/>
          <w:color w:val="000000"/>
        </w:rPr>
        <w:t xml:space="preserve">enable </w:t>
      </w:r>
      <w:r w:rsidRPr="00587DF1">
        <w:rPr>
          <w:rFonts w:ascii="Arial" w:eastAsia="Arial" w:hAnsi="Arial" w:cs="Arial"/>
          <w:bCs/>
          <w:color w:val="000000"/>
        </w:rPr>
        <w:t>patients to make informed choices and optimise A&amp;E throughput.</w:t>
      </w:r>
    </w:p>
    <w:p w14:paraId="21773253" w14:textId="77777777" w:rsidR="00EA0838" w:rsidRPr="00587DF1" w:rsidRDefault="00EA0838"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Transparency of current waiting times for clinics to optimise throughput.</w:t>
      </w:r>
    </w:p>
    <w:p w14:paraId="74D25412" w14:textId="77777777" w:rsidR="00EA0838" w:rsidRPr="00587DF1" w:rsidRDefault="00EA0838" w:rsidP="00EA0838">
      <w:pPr>
        <w:pBdr>
          <w:top w:val="nil"/>
          <w:left w:val="nil"/>
          <w:bottom w:val="nil"/>
          <w:right w:val="nil"/>
          <w:between w:val="nil"/>
        </w:pBdr>
        <w:tabs>
          <w:tab w:val="left" w:pos="709"/>
        </w:tabs>
        <w:spacing w:after="0"/>
        <w:rPr>
          <w:rFonts w:ascii="Arial" w:eastAsia="Arial" w:hAnsi="Arial" w:cs="Arial"/>
          <w:bCs/>
          <w:color w:val="000000"/>
        </w:rPr>
      </w:pPr>
      <w:r w:rsidRPr="00587DF1">
        <w:rPr>
          <w:rFonts w:ascii="Arial" w:eastAsia="Arial" w:hAnsi="Arial" w:cs="Arial"/>
          <w:b/>
          <w:bCs/>
          <w:color w:val="000000"/>
        </w:rPr>
        <w:t>Infrastructure</w:t>
      </w:r>
    </w:p>
    <w:p w14:paraId="43F0200A" w14:textId="77777777" w:rsidR="00EA0838" w:rsidRPr="00587DF1" w:rsidRDefault="00135293"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I</w:t>
      </w:r>
      <w:r w:rsidR="00EA0838" w:rsidRPr="00587DF1">
        <w:rPr>
          <w:rFonts w:ascii="Arial" w:eastAsia="Arial" w:hAnsi="Arial" w:cs="Arial"/>
          <w:bCs/>
          <w:color w:val="000000"/>
        </w:rPr>
        <w:t>ntegrated working and shared use of space and services where appropriate.</w:t>
      </w:r>
    </w:p>
    <w:p w14:paraId="6E09EFE1" w14:textId="77777777" w:rsidR="00EA0838" w:rsidRPr="00587DF1" w:rsidRDefault="00135293"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A</w:t>
      </w:r>
      <w:r w:rsidR="00EA0838" w:rsidRPr="00587DF1">
        <w:rPr>
          <w:rFonts w:ascii="Arial" w:eastAsia="Arial" w:hAnsi="Arial" w:cs="Arial"/>
          <w:bCs/>
          <w:color w:val="000000"/>
        </w:rPr>
        <w:t xml:space="preserve">bility for staff to work away from offices </w:t>
      </w:r>
      <w:r w:rsidRPr="00587DF1">
        <w:rPr>
          <w:rFonts w:ascii="Arial" w:eastAsia="Arial" w:hAnsi="Arial" w:cs="Arial"/>
          <w:bCs/>
          <w:color w:val="000000"/>
        </w:rPr>
        <w:t>and</w:t>
      </w:r>
      <w:r w:rsidR="00EA0838" w:rsidRPr="00587DF1">
        <w:rPr>
          <w:rFonts w:ascii="Arial" w:eastAsia="Arial" w:hAnsi="Arial" w:cs="Arial"/>
          <w:bCs/>
          <w:color w:val="000000"/>
        </w:rPr>
        <w:t xml:space="preserve"> clinic rooms</w:t>
      </w:r>
      <w:r w:rsidRPr="00587DF1">
        <w:rPr>
          <w:rFonts w:ascii="Arial" w:eastAsia="Arial" w:hAnsi="Arial" w:cs="Arial"/>
          <w:bCs/>
          <w:color w:val="000000"/>
        </w:rPr>
        <w:t xml:space="preserve"> </w:t>
      </w:r>
      <w:r w:rsidR="00EA0838" w:rsidRPr="00587DF1">
        <w:rPr>
          <w:rFonts w:ascii="Arial" w:eastAsia="Arial" w:hAnsi="Arial" w:cs="Arial"/>
          <w:bCs/>
          <w:color w:val="000000"/>
        </w:rPr>
        <w:t>efficiently.</w:t>
      </w:r>
    </w:p>
    <w:p w14:paraId="0E447930" w14:textId="77777777" w:rsidR="00EA0838" w:rsidRPr="00587DF1" w:rsidRDefault="00135293"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 xml:space="preserve">Ability to support </w:t>
      </w:r>
      <w:r w:rsidR="00EA0838" w:rsidRPr="00587DF1">
        <w:rPr>
          <w:rFonts w:ascii="Arial" w:eastAsia="Arial" w:hAnsi="Arial" w:cs="Arial"/>
          <w:bCs/>
          <w:color w:val="000000"/>
        </w:rPr>
        <w:t>future development.</w:t>
      </w:r>
    </w:p>
    <w:p w14:paraId="73E9D005" w14:textId="77777777" w:rsidR="00EA0838" w:rsidRPr="00587DF1" w:rsidRDefault="00EA0838" w:rsidP="00EA0838">
      <w:pPr>
        <w:pBdr>
          <w:top w:val="nil"/>
          <w:left w:val="nil"/>
          <w:bottom w:val="nil"/>
          <w:right w:val="nil"/>
          <w:between w:val="nil"/>
        </w:pBdr>
        <w:tabs>
          <w:tab w:val="left" w:pos="709"/>
        </w:tabs>
        <w:spacing w:after="0"/>
        <w:rPr>
          <w:rFonts w:ascii="Arial" w:eastAsia="Arial" w:hAnsi="Arial" w:cs="Arial"/>
          <w:bCs/>
          <w:color w:val="000000"/>
        </w:rPr>
      </w:pPr>
      <w:r w:rsidRPr="00587DF1">
        <w:rPr>
          <w:rFonts w:ascii="Arial" w:eastAsia="Arial" w:hAnsi="Arial" w:cs="Arial"/>
          <w:b/>
          <w:bCs/>
          <w:color w:val="000000"/>
        </w:rPr>
        <w:t xml:space="preserve">Whole of building </w:t>
      </w:r>
    </w:p>
    <w:p w14:paraId="6BDE48C0" w14:textId="77777777" w:rsidR="00EA0838" w:rsidRPr="00587DF1" w:rsidRDefault="00EA0838"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 xml:space="preserve">Digital </w:t>
      </w:r>
      <w:r w:rsidR="00135293" w:rsidRPr="00587DF1">
        <w:rPr>
          <w:rFonts w:ascii="Arial" w:eastAsia="Arial" w:hAnsi="Arial" w:cs="Arial"/>
          <w:bCs/>
          <w:color w:val="000000"/>
        </w:rPr>
        <w:t>a</w:t>
      </w:r>
      <w:r w:rsidRPr="00587DF1">
        <w:rPr>
          <w:rFonts w:ascii="Arial" w:eastAsia="Arial" w:hAnsi="Arial" w:cs="Arial"/>
          <w:bCs/>
          <w:color w:val="000000"/>
        </w:rPr>
        <w:t>sset tracking to enable easy administration and reduce loss and wastage.</w:t>
      </w:r>
    </w:p>
    <w:p w14:paraId="4999CE2F" w14:textId="77777777" w:rsidR="00EA0838" w:rsidRPr="00587DF1" w:rsidRDefault="00EA0838"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Streamlined business processes supplemented by automation to deliver efficient and effective services.</w:t>
      </w:r>
    </w:p>
    <w:p w14:paraId="2C87B239" w14:textId="77777777" w:rsidR="00EA0838" w:rsidRPr="00587DF1" w:rsidRDefault="00135293"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 xml:space="preserve">Ability to support artificial intelligence </w:t>
      </w:r>
      <w:r w:rsidR="00EA0838" w:rsidRPr="00587DF1">
        <w:rPr>
          <w:rFonts w:ascii="Arial" w:eastAsia="Arial" w:hAnsi="Arial" w:cs="Arial"/>
          <w:bCs/>
          <w:color w:val="000000"/>
        </w:rPr>
        <w:t>enhancements to streamline processes and analyse success variations.</w:t>
      </w:r>
    </w:p>
    <w:p w14:paraId="6CCD03AE" w14:textId="77777777" w:rsidR="00EA0838" w:rsidRPr="00587DF1" w:rsidRDefault="00135293"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A</w:t>
      </w:r>
      <w:r w:rsidR="00EA0838" w:rsidRPr="00587DF1">
        <w:rPr>
          <w:rFonts w:ascii="Arial" w:eastAsia="Arial" w:hAnsi="Arial" w:cs="Arial"/>
          <w:bCs/>
          <w:color w:val="000000"/>
        </w:rPr>
        <w:t>ccurate and easy reporting to support appropriate governance and simplified decision making.</w:t>
      </w:r>
    </w:p>
    <w:p w14:paraId="10131549" w14:textId="77777777" w:rsidR="004A7E6A" w:rsidRPr="00587DF1" w:rsidRDefault="004A7E6A" w:rsidP="005E0D57">
      <w:pPr>
        <w:numPr>
          <w:ilvl w:val="2"/>
          <w:numId w:val="1"/>
        </w:numPr>
        <w:pBdr>
          <w:top w:val="nil"/>
          <w:left w:val="nil"/>
          <w:bottom w:val="nil"/>
          <w:right w:val="nil"/>
          <w:between w:val="nil"/>
        </w:pBdr>
        <w:spacing w:after="0"/>
        <w:jc w:val="both"/>
        <w:rPr>
          <w:rFonts w:ascii="Arial" w:eastAsia="Arial" w:hAnsi="Arial" w:cs="Arial"/>
          <w:b/>
          <w:color w:val="000000"/>
        </w:rPr>
      </w:pPr>
      <w:r w:rsidRPr="00587DF1">
        <w:rPr>
          <w:rFonts w:ascii="Arial" w:eastAsia="Arial" w:hAnsi="Arial" w:cs="Arial"/>
          <w:b/>
          <w:color w:val="000000"/>
        </w:rPr>
        <w:t>Deliverables</w:t>
      </w:r>
    </w:p>
    <w:p w14:paraId="47245AB9" w14:textId="77777777" w:rsidR="004A7E6A" w:rsidRPr="00587DF1" w:rsidRDefault="004A7E6A" w:rsidP="004A7E6A">
      <w:pPr>
        <w:pBdr>
          <w:top w:val="nil"/>
          <w:left w:val="nil"/>
          <w:bottom w:val="nil"/>
          <w:right w:val="nil"/>
          <w:between w:val="nil"/>
        </w:pBdr>
        <w:tabs>
          <w:tab w:val="left" w:pos="567"/>
        </w:tabs>
        <w:spacing w:after="0"/>
        <w:jc w:val="both"/>
        <w:rPr>
          <w:rFonts w:ascii="Arial" w:eastAsia="Arial" w:hAnsi="Arial" w:cs="Arial"/>
          <w:bCs/>
          <w:color w:val="000000"/>
        </w:rPr>
      </w:pPr>
    </w:p>
    <w:p w14:paraId="58B956CE" w14:textId="77777777" w:rsidR="004A7E6A" w:rsidRPr="00587DF1" w:rsidRDefault="004A7E6A" w:rsidP="004A7E6A">
      <w:pPr>
        <w:pBdr>
          <w:top w:val="nil"/>
          <w:left w:val="nil"/>
          <w:bottom w:val="nil"/>
          <w:right w:val="nil"/>
          <w:between w:val="nil"/>
        </w:pBdr>
        <w:tabs>
          <w:tab w:val="left" w:pos="567"/>
        </w:tabs>
        <w:jc w:val="both"/>
        <w:rPr>
          <w:rFonts w:ascii="Arial" w:eastAsia="Arial" w:hAnsi="Arial" w:cs="Arial"/>
          <w:b/>
          <w:color w:val="000000"/>
        </w:rPr>
      </w:pPr>
      <w:r w:rsidRPr="00587DF1">
        <w:rPr>
          <w:rFonts w:ascii="Arial" w:eastAsia="Arial" w:hAnsi="Arial" w:cs="Arial"/>
          <w:b/>
          <w:color w:val="000000"/>
        </w:rPr>
        <w:t>Trust-wide application requirements</w:t>
      </w:r>
    </w:p>
    <w:p w14:paraId="5943F061" w14:textId="4E00FB8A" w:rsidR="004A7E6A" w:rsidRPr="00587DF1" w:rsidRDefault="00135293" w:rsidP="004A7E6A">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 xml:space="preserve">The following applications are already in the trust digital programme, and are planned to be rolled out across the network. These </w:t>
      </w:r>
      <w:r w:rsidR="00BF5253">
        <w:rPr>
          <w:rFonts w:ascii="Arial" w:eastAsia="Arial" w:hAnsi="Arial" w:cs="Arial"/>
          <w:bCs/>
          <w:color w:val="000000"/>
        </w:rPr>
        <w:t>will</w:t>
      </w:r>
      <w:r w:rsidRPr="00587DF1">
        <w:rPr>
          <w:rFonts w:ascii="Arial" w:eastAsia="Arial" w:hAnsi="Arial" w:cs="Arial"/>
          <w:bCs/>
          <w:color w:val="000000"/>
        </w:rPr>
        <w:t xml:space="preserve"> be implemented before Oriel opening, </w:t>
      </w:r>
      <w:r w:rsidR="004A7E6A" w:rsidRPr="00587DF1">
        <w:rPr>
          <w:rFonts w:ascii="Arial" w:eastAsia="Arial" w:hAnsi="Arial" w:cs="Arial"/>
          <w:bCs/>
          <w:color w:val="000000"/>
        </w:rPr>
        <w:t>to minimise disruption</w:t>
      </w:r>
      <w:r w:rsidRPr="00587DF1">
        <w:rPr>
          <w:rFonts w:ascii="Arial" w:eastAsia="Arial" w:hAnsi="Arial" w:cs="Arial"/>
          <w:bCs/>
          <w:color w:val="000000"/>
        </w:rPr>
        <w:t xml:space="preserve"> and ensure that services can operate effectively in the new building</w:t>
      </w:r>
      <w:r w:rsidR="004A7E6A" w:rsidRPr="00587DF1">
        <w:rPr>
          <w:rFonts w:ascii="Arial" w:eastAsia="Arial" w:hAnsi="Arial" w:cs="Arial"/>
          <w:bCs/>
          <w:color w:val="000000"/>
        </w:rPr>
        <w:t>. They will be rolled out across the trust to ensure inter-operability and trust-wide benefits.</w:t>
      </w:r>
    </w:p>
    <w:p w14:paraId="1E69A763" w14:textId="77777777" w:rsidR="002165C3" w:rsidRPr="00587DF1" w:rsidRDefault="002165C3"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Electronic Medical Records (EMR).</w:t>
      </w:r>
    </w:p>
    <w:p w14:paraId="564734E4" w14:textId="77777777" w:rsidR="002165C3" w:rsidRPr="00587DF1" w:rsidRDefault="002165C3"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Pre-assessment portal.</w:t>
      </w:r>
    </w:p>
    <w:p w14:paraId="04C4E3F3" w14:textId="77777777" w:rsidR="002165C3" w:rsidRPr="00587DF1" w:rsidRDefault="002165C3"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Patient portal.</w:t>
      </w:r>
    </w:p>
    <w:p w14:paraId="1069A1F2" w14:textId="77777777" w:rsidR="002165C3" w:rsidRPr="00587DF1" w:rsidRDefault="002165C3"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Order communications and results reporting.</w:t>
      </w:r>
    </w:p>
    <w:p w14:paraId="3F766B06" w14:textId="77777777" w:rsidR="002165C3" w:rsidRPr="00587DF1" w:rsidRDefault="002165C3"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ePrescribing and medicines administration.</w:t>
      </w:r>
    </w:p>
    <w:p w14:paraId="3CF4A22B" w14:textId="77777777" w:rsidR="002165C3" w:rsidRPr="00587DF1" w:rsidRDefault="002165C3"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Digital image platform.</w:t>
      </w:r>
    </w:p>
    <w:p w14:paraId="0FFE0F0F" w14:textId="77777777" w:rsidR="002165C3" w:rsidRPr="00587DF1" w:rsidRDefault="002165C3"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Electronic Document Management (EDM).</w:t>
      </w:r>
    </w:p>
    <w:p w14:paraId="20947836" w14:textId="77777777" w:rsidR="002165C3" w:rsidRPr="00587DF1" w:rsidRDefault="002165C3"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Tele-ophthalmology and virtual clinics.</w:t>
      </w:r>
    </w:p>
    <w:p w14:paraId="7AD46736" w14:textId="77777777" w:rsidR="002165C3" w:rsidRPr="00587DF1" w:rsidRDefault="002165C3"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Integration with national systems.</w:t>
      </w:r>
    </w:p>
    <w:p w14:paraId="41887A47" w14:textId="77777777" w:rsidR="002165C3" w:rsidRPr="00587DF1" w:rsidRDefault="002165C3"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Digital research platform.</w:t>
      </w:r>
    </w:p>
    <w:p w14:paraId="2BC7D2C8" w14:textId="60D2B9A8" w:rsidR="0061637A" w:rsidRDefault="002165C3" w:rsidP="002165C3">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lastRenderedPageBreak/>
        <w:t>The following applications are proposed new Oriel capabilities</w:t>
      </w:r>
      <w:r w:rsidR="00D76672">
        <w:rPr>
          <w:rFonts w:ascii="Arial" w:eastAsia="Arial" w:hAnsi="Arial" w:cs="Arial"/>
          <w:bCs/>
          <w:color w:val="000000"/>
        </w:rPr>
        <w:t>, w</w:t>
      </w:r>
      <w:r w:rsidRPr="00587DF1">
        <w:rPr>
          <w:rFonts w:ascii="Arial" w:eastAsia="Arial" w:hAnsi="Arial" w:cs="Arial"/>
          <w:bCs/>
          <w:color w:val="000000"/>
        </w:rPr>
        <w:t>hich will be implemented in the new building in time for its opening.</w:t>
      </w:r>
      <w:r w:rsidR="00B146F0">
        <w:rPr>
          <w:rFonts w:ascii="Arial" w:eastAsia="Arial" w:hAnsi="Arial" w:cs="Arial"/>
          <w:bCs/>
          <w:color w:val="000000"/>
        </w:rPr>
        <w:t xml:space="preserve"> Descriptions and benefits of each are described in Appendix </w:t>
      </w:r>
      <w:r w:rsidR="006376EA">
        <w:rPr>
          <w:rFonts w:ascii="Arial" w:eastAsia="Arial" w:hAnsi="Arial" w:cs="Arial"/>
          <w:bCs/>
          <w:color w:val="000000"/>
        </w:rPr>
        <w:t>5C</w:t>
      </w:r>
      <w:r w:rsidR="00B146F0">
        <w:rPr>
          <w:rFonts w:ascii="Arial" w:eastAsia="Arial" w:hAnsi="Arial" w:cs="Arial"/>
          <w:bCs/>
          <w:color w:val="000000"/>
        </w:rPr>
        <w:t>.</w:t>
      </w:r>
    </w:p>
    <w:p w14:paraId="2BEE0618" w14:textId="77777777" w:rsidR="00B146F0" w:rsidRPr="00B146F0" w:rsidRDefault="00B146F0"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B146F0">
        <w:rPr>
          <w:rFonts w:ascii="Arial" w:eastAsia="Arial" w:hAnsi="Arial" w:cs="Arial"/>
          <w:bCs/>
          <w:color w:val="000000"/>
        </w:rPr>
        <w:t>Dynamic scheduling</w:t>
      </w:r>
      <w:r>
        <w:rPr>
          <w:rFonts w:ascii="Arial" w:eastAsia="Arial" w:hAnsi="Arial" w:cs="Arial"/>
          <w:bCs/>
          <w:color w:val="000000"/>
        </w:rPr>
        <w:t>.</w:t>
      </w:r>
    </w:p>
    <w:p w14:paraId="656C8C7A" w14:textId="77777777" w:rsidR="00B146F0" w:rsidRPr="00B146F0" w:rsidRDefault="00B146F0"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B146F0">
        <w:rPr>
          <w:rFonts w:ascii="Arial" w:eastAsia="Arial" w:hAnsi="Arial" w:cs="Arial"/>
          <w:bCs/>
          <w:color w:val="000000"/>
        </w:rPr>
        <w:t>Clinical logistics</w:t>
      </w:r>
      <w:r>
        <w:rPr>
          <w:rFonts w:ascii="Arial" w:eastAsia="Arial" w:hAnsi="Arial" w:cs="Arial"/>
          <w:bCs/>
          <w:color w:val="000000"/>
        </w:rPr>
        <w:t>.</w:t>
      </w:r>
    </w:p>
    <w:p w14:paraId="10560249" w14:textId="77777777" w:rsidR="00B146F0" w:rsidRPr="00B146F0" w:rsidRDefault="00B146F0"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B146F0">
        <w:rPr>
          <w:rFonts w:ascii="Arial" w:eastAsia="Arial" w:hAnsi="Arial" w:cs="Arial"/>
          <w:bCs/>
          <w:color w:val="000000"/>
        </w:rPr>
        <w:t>eObservations</w:t>
      </w:r>
      <w:r>
        <w:rPr>
          <w:rFonts w:ascii="Arial" w:eastAsia="Arial" w:hAnsi="Arial" w:cs="Arial"/>
          <w:bCs/>
          <w:color w:val="000000"/>
        </w:rPr>
        <w:t>.</w:t>
      </w:r>
    </w:p>
    <w:p w14:paraId="4EA25574" w14:textId="77777777" w:rsidR="00B146F0" w:rsidRPr="00B146F0" w:rsidRDefault="00B146F0"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B146F0">
        <w:rPr>
          <w:rFonts w:ascii="Arial" w:eastAsia="Arial" w:hAnsi="Arial" w:cs="Arial"/>
          <w:bCs/>
          <w:color w:val="000000"/>
        </w:rPr>
        <w:t>Ward status boards</w:t>
      </w:r>
      <w:r>
        <w:rPr>
          <w:rFonts w:ascii="Arial" w:eastAsia="Arial" w:hAnsi="Arial" w:cs="Arial"/>
          <w:bCs/>
          <w:color w:val="000000"/>
        </w:rPr>
        <w:t>.</w:t>
      </w:r>
    </w:p>
    <w:p w14:paraId="44B5200D" w14:textId="77777777" w:rsidR="00B146F0" w:rsidRPr="00B146F0" w:rsidRDefault="00B146F0"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B146F0">
        <w:rPr>
          <w:rFonts w:ascii="Arial" w:eastAsia="Arial" w:hAnsi="Arial" w:cs="Arial"/>
          <w:bCs/>
          <w:color w:val="000000"/>
        </w:rPr>
        <w:t>Wayfinding</w:t>
      </w:r>
      <w:r>
        <w:rPr>
          <w:rFonts w:ascii="Arial" w:eastAsia="Arial" w:hAnsi="Arial" w:cs="Arial"/>
          <w:bCs/>
          <w:color w:val="000000"/>
        </w:rPr>
        <w:t>.</w:t>
      </w:r>
    </w:p>
    <w:p w14:paraId="739B758D" w14:textId="77777777" w:rsidR="00B146F0" w:rsidRPr="00B146F0" w:rsidRDefault="00B146F0"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B146F0">
        <w:rPr>
          <w:rFonts w:ascii="Arial" w:eastAsia="Arial" w:hAnsi="Arial" w:cs="Arial"/>
          <w:bCs/>
          <w:color w:val="000000"/>
        </w:rPr>
        <w:t>Asset management – RFID tracking</w:t>
      </w:r>
      <w:r>
        <w:rPr>
          <w:rFonts w:ascii="Arial" w:eastAsia="Arial" w:hAnsi="Arial" w:cs="Arial"/>
          <w:bCs/>
          <w:color w:val="000000"/>
        </w:rPr>
        <w:t>.</w:t>
      </w:r>
    </w:p>
    <w:p w14:paraId="2DF99277" w14:textId="77777777" w:rsidR="00B146F0" w:rsidRPr="00B146F0" w:rsidRDefault="00B146F0"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B146F0">
        <w:rPr>
          <w:rFonts w:ascii="Arial" w:eastAsia="Arial" w:hAnsi="Arial" w:cs="Arial"/>
          <w:bCs/>
          <w:color w:val="000000"/>
        </w:rPr>
        <w:t>Remote working</w:t>
      </w:r>
      <w:r>
        <w:rPr>
          <w:rFonts w:ascii="Arial" w:eastAsia="Arial" w:hAnsi="Arial" w:cs="Arial"/>
          <w:bCs/>
          <w:color w:val="000000"/>
        </w:rPr>
        <w:t>.</w:t>
      </w:r>
    </w:p>
    <w:p w14:paraId="5A74BCF7" w14:textId="77777777" w:rsidR="00B146F0" w:rsidRPr="00B146F0" w:rsidRDefault="00B146F0"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B146F0">
        <w:rPr>
          <w:rFonts w:ascii="Arial" w:eastAsia="Arial" w:hAnsi="Arial" w:cs="Arial"/>
          <w:bCs/>
          <w:color w:val="000000"/>
        </w:rPr>
        <w:t>Robotic Process Automation (RPA)</w:t>
      </w:r>
      <w:r>
        <w:rPr>
          <w:rFonts w:ascii="Arial" w:eastAsia="Arial" w:hAnsi="Arial" w:cs="Arial"/>
          <w:bCs/>
          <w:color w:val="000000"/>
        </w:rPr>
        <w:t>.</w:t>
      </w:r>
    </w:p>
    <w:p w14:paraId="4B82327C" w14:textId="77777777" w:rsidR="00B146F0" w:rsidRPr="00B146F0" w:rsidRDefault="00B146F0"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B146F0">
        <w:rPr>
          <w:rFonts w:ascii="Arial" w:eastAsia="Arial" w:hAnsi="Arial" w:cs="Arial"/>
          <w:bCs/>
          <w:color w:val="000000"/>
        </w:rPr>
        <w:t>Room booking and scheduling</w:t>
      </w:r>
      <w:r>
        <w:rPr>
          <w:rFonts w:ascii="Arial" w:eastAsia="Arial" w:hAnsi="Arial" w:cs="Arial"/>
          <w:bCs/>
          <w:color w:val="000000"/>
        </w:rPr>
        <w:t>.</w:t>
      </w:r>
    </w:p>
    <w:p w14:paraId="5CD7A852" w14:textId="71058572" w:rsidR="00B146F0" w:rsidRDefault="00B146F0" w:rsidP="005E0D57">
      <w:pPr>
        <w:pStyle w:val="ListParagraph"/>
        <w:numPr>
          <w:ilvl w:val="0"/>
          <w:numId w:val="46"/>
        </w:numPr>
        <w:pBdr>
          <w:top w:val="nil"/>
          <w:left w:val="nil"/>
          <w:bottom w:val="nil"/>
          <w:right w:val="nil"/>
          <w:between w:val="nil"/>
        </w:pBdr>
        <w:tabs>
          <w:tab w:val="left" w:pos="709"/>
        </w:tabs>
        <w:rPr>
          <w:rFonts w:ascii="Arial" w:eastAsia="Arial" w:hAnsi="Arial" w:cs="Arial"/>
          <w:bCs/>
          <w:color w:val="000000"/>
        </w:rPr>
      </w:pPr>
      <w:r w:rsidRPr="00B146F0">
        <w:rPr>
          <w:rFonts w:ascii="Arial" w:eastAsia="Arial" w:hAnsi="Arial" w:cs="Arial"/>
          <w:bCs/>
          <w:color w:val="000000"/>
        </w:rPr>
        <w:t>Collaboration tools incl</w:t>
      </w:r>
      <w:r w:rsidR="00D76672">
        <w:rPr>
          <w:rFonts w:ascii="Arial" w:eastAsia="Arial" w:hAnsi="Arial" w:cs="Arial"/>
          <w:bCs/>
          <w:color w:val="000000"/>
        </w:rPr>
        <w:t>uding</w:t>
      </w:r>
      <w:r w:rsidRPr="00B146F0">
        <w:rPr>
          <w:rFonts w:ascii="Arial" w:eastAsia="Arial" w:hAnsi="Arial" w:cs="Arial"/>
          <w:bCs/>
          <w:color w:val="000000"/>
        </w:rPr>
        <w:t xml:space="preserve"> video and teleconference facilities</w:t>
      </w:r>
      <w:r>
        <w:rPr>
          <w:rFonts w:ascii="Arial" w:eastAsia="Arial" w:hAnsi="Arial" w:cs="Arial"/>
          <w:bCs/>
          <w:color w:val="000000"/>
        </w:rPr>
        <w:t>.</w:t>
      </w:r>
    </w:p>
    <w:p w14:paraId="5861337F" w14:textId="77777777" w:rsidR="004A7E6A" w:rsidRPr="00587DF1" w:rsidRDefault="004A7E6A" w:rsidP="005E0D57">
      <w:pPr>
        <w:numPr>
          <w:ilvl w:val="2"/>
          <w:numId w:val="1"/>
        </w:numPr>
        <w:pBdr>
          <w:top w:val="nil"/>
          <w:left w:val="nil"/>
          <w:bottom w:val="nil"/>
          <w:right w:val="nil"/>
          <w:between w:val="nil"/>
        </w:pBdr>
        <w:spacing w:after="0"/>
        <w:jc w:val="both"/>
        <w:rPr>
          <w:rFonts w:ascii="Arial" w:eastAsia="Arial" w:hAnsi="Arial" w:cs="Arial"/>
          <w:b/>
          <w:color w:val="000000"/>
        </w:rPr>
      </w:pPr>
      <w:r w:rsidRPr="00587DF1">
        <w:rPr>
          <w:rFonts w:ascii="Arial" w:eastAsia="Arial" w:hAnsi="Arial" w:cs="Arial"/>
          <w:b/>
          <w:color w:val="000000"/>
        </w:rPr>
        <w:t xml:space="preserve">Implications of the IT strategy </w:t>
      </w:r>
      <w:r w:rsidR="00E07D96" w:rsidRPr="00587DF1">
        <w:rPr>
          <w:rFonts w:ascii="Arial" w:eastAsia="Arial" w:hAnsi="Arial" w:cs="Arial"/>
          <w:b/>
          <w:color w:val="000000"/>
        </w:rPr>
        <w:t>for</w:t>
      </w:r>
      <w:r w:rsidRPr="00587DF1">
        <w:rPr>
          <w:rFonts w:ascii="Arial" w:eastAsia="Arial" w:hAnsi="Arial" w:cs="Arial"/>
          <w:b/>
          <w:color w:val="000000"/>
        </w:rPr>
        <w:t xml:space="preserve"> building design</w:t>
      </w:r>
    </w:p>
    <w:p w14:paraId="24016395" w14:textId="77777777" w:rsidR="004A7E6A" w:rsidRPr="00587DF1" w:rsidRDefault="004A7E6A" w:rsidP="004A7E6A">
      <w:pPr>
        <w:spacing w:after="0"/>
        <w:rPr>
          <w:rFonts w:ascii="Arial" w:hAnsi="Arial" w:cs="Arial"/>
          <w:lang w:eastAsia="en-US"/>
        </w:rPr>
      </w:pPr>
    </w:p>
    <w:p w14:paraId="645619CD" w14:textId="77777777" w:rsidR="004A7E6A" w:rsidRPr="00D76672" w:rsidRDefault="00E07D96" w:rsidP="004A7E6A">
      <w:pPr>
        <w:spacing w:before="60" w:after="60"/>
        <w:rPr>
          <w:rFonts w:ascii="Arial" w:hAnsi="Arial" w:cs="Arial"/>
        </w:rPr>
      </w:pPr>
      <w:r w:rsidRPr="00587DF1">
        <w:rPr>
          <w:rFonts w:ascii="Arial" w:hAnsi="Arial" w:cs="Arial"/>
        </w:rPr>
        <w:t xml:space="preserve">Oriel will need to be able to support the functionality described above, and have the flexibility to respond to </w:t>
      </w:r>
      <w:r w:rsidR="004A7E6A" w:rsidRPr="00D76672">
        <w:rPr>
          <w:rFonts w:ascii="Arial" w:hAnsi="Arial" w:cs="Arial"/>
        </w:rPr>
        <w:t xml:space="preserve">as-yet-unknown </w:t>
      </w:r>
      <w:r w:rsidRPr="00D76672">
        <w:rPr>
          <w:rFonts w:ascii="Arial" w:hAnsi="Arial" w:cs="Arial"/>
        </w:rPr>
        <w:t xml:space="preserve">technological </w:t>
      </w:r>
      <w:r w:rsidR="004A7E6A" w:rsidRPr="00D76672">
        <w:rPr>
          <w:rFonts w:ascii="Arial" w:hAnsi="Arial" w:cs="Arial"/>
        </w:rPr>
        <w:t xml:space="preserve">changes in the future. </w:t>
      </w:r>
      <w:r w:rsidRPr="00D76672">
        <w:rPr>
          <w:rFonts w:ascii="Arial" w:hAnsi="Arial" w:cs="Arial"/>
        </w:rPr>
        <w:t>The following principles have therefore been incorporated within the design:</w:t>
      </w:r>
    </w:p>
    <w:p w14:paraId="5628C309" w14:textId="77777777" w:rsidR="004A7E6A" w:rsidRPr="00D76672" w:rsidRDefault="004A7E6A" w:rsidP="005E0D57">
      <w:pPr>
        <w:pStyle w:val="ListParagraph"/>
        <w:numPr>
          <w:ilvl w:val="0"/>
          <w:numId w:val="37"/>
        </w:numPr>
        <w:spacing w:after="120"/>
        <w:ind w:left="714" w:hanging="357"/>
        <w:rPr>
          <w:rFonts w:ascii="Arial" w:hAnsi="Arial" w:cs="Arial"/>
        </w:rPr>
      </w:pPr>
      <w:r w:rsidRPr="00D76672">
        <w:rPr>
          <w:rFonts w:ascii="Arial" w:hAnsi="Arial" w:cs="Arial"/>
          <w:b/>
          <w:bCs/>
        </w:rPr>
        <w:t>Integrated technology infrastructure:</w:t>
      </w:r>
      <w:r w:rsidRPr="00D76672">
        <w:rPr>
          <w:rFonts w:ascii="Arial" w:hAnsi="Arial" w:cs="Arial"/>
        </w:rPr>
        <w:t xml:space="preserve"> </w:t>
      </w:r>
      <w:r w:rsidR="00E07D96" w:rsidRPr="00D76672">
        <w:rPr>
          <w:rFonts w:ascii="Arial" w:hAnsi="Arial" w:cs="Arial"/>
        </w:rPr>
        <w:t>Site</w:t>
      </w:r>
      <w:r w:rsidRPr="00D76672">
        <w:rPr>
          <w:rFonts w:ascii="Arial" w:hAnsi="Arial" w:cs="Arial"/>
        </w:rPr>
        <w:t>-wide IT connectivity solutions will enable staff to interact seamlessly.  The infrastructure will need to support information management, communication to staff and visitors, translation and hearing loop facilities and apps and/or pagers to manage appointments and waiting. The infrastructure will also support rapid sharing of large amounts of data.</w:t>
      </w:r>
    </w:p>
    <w:p w14:paraId="74CF09E2" w14:textId="4286FCC8" w:rsidR="004A7E6A" w:rsidRPr="00D76672" w:rsidRDefault="004A7E6A" w:rsidP="005E0D57">
      <w:pPr>
        <w:pStyle w:val="ListParagraph"/>
        <w:numPr>
          <w:ilvl w:val="0"/>
          <w:numId w:val="37"/>
        </w:numPr>
        <w:spacing w:after="120"/>
        <w:ind w:left="714" w:hanging="357"/>
        <w:rPr>
          <w:rFonts w:ascii="Arial" w:hAnsi="Arial" w:cs="Arial"/>
        </w:rPr>
      </w:pPr>
      <w:r w:rsidRPr="00D76672">
        <w:rPr>
          <w:rFonts w:ascii="Arial" w:hAnsi="Arial" w:cs="Arial"/>
          <w:b/>
          <w:bCs/>
        </w:rPr>
        <w:t xml:space="preserve">Information governance: </w:t>
      </w:r>
      <w:r w:rsidR="00E07D96" w:rsidRPr="00D76672">
        <w:rPr>
          <w:rFonts w:ascii="Arial" w:hAnsi="Arial" w:cs="Arial"/>
        </w:rPr>
        <w:t xml:space="preserve">The </w:t>
      </w:r>
      <w:r w:rsidRPr="00D76672">
        <w:rPr>
          <w:rFonts w:ascii="Arial" w:hAnsi="Arial" w:cs="Arial"/>
        </w:rPr>
        <w:t xml:space="preserve">confidentiality of patient data is paramount, and </w:t>
      </w:r>
      <w:r w:rsidR="00D76672">
        <w:rPr>
          <w:rFonts w:ascii="Arial" w:hAnsi="Arial" w:cs="Arial"/>
        </w:rPr>
        <w:t xml:space="preserve">an </w:t>
      </w:r>
      <w:r w:rsidRPr="00D76672">
        <w:rPr>
          <w:rFonts w:ascii="Arial" w:hAnsi="Arial" w:cs="Arial"/>
        </w:rPr>
        <w:t>appropriate, stable and resilient platform will be required.</w:t>
      </w:r>
    </w:p>
    <w:p w14:paraId="45BB063B" w14:textId="060B2575" w:rsidR="004A7E6A" w:rsidRPr="00D76672" w:rsidRDefault="004A7E6A" w:rsidP="005E0D57">
      <w:pPr>
        <w:pStyle w:val="ListParagraph"/>
        <w:numPr>
          <w:ilvl w:val="0"/>
          <w:numId w:val="37"/>
        </w:numPr>
        <w:spacing w:after="120"/>
        <w:ind w:left="714" w:hanging="357"/>
        <w:rPr>
          <w:rFonts w:ascii="Arial" w:hAnsi="Arial" w:cs="Arial"/>
        </w:rPr>
      </w:pPr>
      <w:r w:rsidRPr="00D76672">
        <w:rPr>
          <w:rFonts w:ascii="Arial" w:hAnsi="Arial" w:cs="Arial"/>
          <w:b/>
          <w:bCs/>
        </w:rPr>
        <w:t>Imaging related research:</w:t>
      </w:r>
      <w:r w:rsidRPr="00D76672">
        <w:rPr>
          <w:rFonts w:ascii="Arial" w:hAnsi="Arial" w:cs="Arial"/>
        </w:rPr>
        <w:t xml:space="preserve"> </w:t>
      </w:r>
      <w:r w:rsidR="00E07D96" w:rsidRPr="00D76672">
        <w:rPr>
          <w:rFonts w:ascii="Arial" w:hAnsi="Arial" w:cs="Arial"/>
        </w:rPr>
        <w:t xml:space="preserve">High </w:t>
      </w:r>
      <w:r w:rsidRPr="00D76672">
        <w:rPr>
          <w:rFonts w:ascii="Arial" w:hAnsi="Arial" w:cs="Arial"/>
        </w:rPr>
        <w:t xml:space="preserve">specifications </w:t>
      </w:r>
      <w:r w:rsidR="00D76672">
        <w:rPr>
          <w:rFonts w:ascii="Arial" w:hAnsi="Arial" w:cs="Arial"/>
        </w:rPr>
        <w:t>are</w:t>
      </w:r>
      <w:r w:rsidRPr="00D76672">
        <w:rPr>
          <w:rFonts w:ascii="Arial" w:hAnsi="Arial" w:cs="Arial"/>
        </w:rPr>
        <w:t xml:space="preserve"> required for imaging work</w:t>
      </w:r>
      <w:r w:rsidR="00E07D96" w:rsidRPr="00D76672">
        <w:rPr>
          <w:rFonts w:ascii="Arial" w:hAnsi="Arial" w:cs="Arial"/>
        </w:rPr>
        <w:t>.</w:t>
      </w:r>
    </w:p>
    <w:p w14:paraId="32EAEB43" w14:textId="77777777" w:rsidR="004A7E6A" w:rsidRPr="00D76672" w:rsidRDefault="004A7E6A" w:rsidP="005E0D57">
      <w:pPr>
        <w:pStyle w:val="ListParagraph"/>
        <w:numPr>
          <w:ilvl w:val="0"/>
          <w:numId w:val="37"/>
        </w:numPr>
        <w:spacing w:after="120"/>
        <w:ind w:left="714" w:hanging="357"/>
        <w:rPr>
          <w:rFonts w:ascii="Arial" w:hAnsi="Arial" w:cs="Arial"/>
        </w:rPr>
      </w:pPr>
      <w:r w:rsidRPr="00D76672">
        <w:rPr>
          <w:rFonts w:ascii="Arial" w:hAnsi="Arial" w:cs="Arial"/>
          <w:b/>
          <w:bCs/>
        </w:rPr>
        <w:t xml:space="preserve">Equipment: </w:t>
      </w:r>
      <w:r w:rsidR="00E07D96" w:rsidRPr="00D76672">
        <w:rPr>
          <w:rFonts w:ascii="Arial" w:hAnsi="Arial" w:cs="Arial"/>
        </w:rPr>
        <w:t xml:space="preserve">The </w:t>
      </w:r>
      <w:r w:rsidRPr="00D76672">
        <w:rPr>
          <w:rFonts w:ascii="Arial" w:hAnsi="Arial" w:cs="Arial"/>
        </w:rPr>
        <w:t>design will allow for the replacement of the equipment during the life of the facility. Adequate routes for removal and delivery of such equipment are essential, and the necessary structural loadings taken into account. The entire infrastructure must be sufficiently robust and flexible to be capable of easy adaptation, modernisation and expansion over the life of the building</w:t>
      </w:r>
      <w:r w:rsidR="00E07D96" w:rsidRPr="00D76672">
        <w:rPr>
          <w:rFonts w:ascii="Arial" w:hAnsi="Arial" w:cs="Arial"/>
        </w:rPr>
        <w:t>.</w:t>
      </w:r>
    </w:p>
    <w:p w14:paraId="79503D68" w14:textId="77777777" w:rsidR="004A7E6A" w:rsidRPr="00D76672" w:rsidRDefault="004A7E6A" w:rsidP="005E0D57">
      <w:pPr>
        <w:pStyle w:val="ListParagraph"/>
        <w:numPr>
          <w:ilvl w:val="0"/>
          <w:numId w:val="37"/>
        </w:numPr>
        <w:spacing w:after="120"/>
        <w:ind w:left="714" w:hanging="357"/>
        <w:rPr>
          <w:rFonts w:ascii="Arial" w:hAnsi="Arial" w:cs="Arial"/>
        </w:rPr>
      </w:pPr>
      <w:r w:rsidRPr="00D76672">
        <w:rPr>
          <w:rFonts w:ascii="Arial" w:hAnsi="Arial" w:cs="Arial"/>
          <w:b/>
          <w:bCs/>
        </w:rPr>
        <w:t>Patients’ behaviour is changing:</w:t>
      </w:r>
      <w:r w:rsidR="00E07D96" w:rsidRPr="00D76672">
        <w:rPr>
          <w:rFonts w:ascii="Arial" w:hAnsi="Arial" w:cs="Arial"/>
        </w:rPr>
        <w:t xml:space="preserve"> </w:t>
      </w:r>
      <w:r w:rsidRPr="00D76672">
        <w:rPr>
          <w:rFonts w:ascii="Arial" w:hAnsi="Arial" w:cs="Arial"/>
        </w:rPr>
        <w:t>Robust, accessible Wi-Fi infrastructure will be provided to support mobile device applications that enable appointment scheduling, wayfinding etc.</w:t>
      </w:r>
    </w:p>
    <w:p w14:paraId="1650B758" w14:textId="284EBE96" w:rsidR="004A7E6A" w:rsidRPr="00587DF1" w:rsidRDefault="004A7E6A" w:rsidP="005E0D57">
      <w:pPr>
        <w:pStyle w:val="ListParagraph"/>
        <w:numPr>
          <w:ilvl w:val="0"/>
          <w:numId w:val="37"/>
        </w:numPr>
        <w:spacing w:after="120"/>
        <w:ind w:left="714" w:hanging="357"/>
        <w:rPr>
          <w:rFonts w:ascii="Arial" w:hAnsi="Arial" w:cs="Arial"/>
        </w:rPr>
      </w:pPr>
      <w:r w:rsidRPr="00D76672">
        <w:rPr>
          <w:rFonts w:ascii="Arial" w:hAnsi="Arial" w:cs="Arial"/>
          <w:b/>
          <w:bCs/>
        </w:rPr>
        <w:t>Information and online advice:</w:t>
      </w:r>
      <w:r w:rsidRPr="00D76672">
        <w:rPr>
          <w:rFonts w:ascii="Arial" w:hAnsi="Arial" w:cs="Arial"/>
        </w:rPr>
        <w:t xml:space="preserve"> </w:t>
      </w:r>
      <w:r w:rsidR="00E07D96" w:rsidRPr="00D76672">
        <w:rPr>
          <w:rFonts w:ascii="Arial" w:hAnsi="Arial" w:cs="Arial"/>
        </w:rPr>
        <w:t xml:space="preserve">Digital </w:t>
      </w:r>
      <w:r w:rsidRPr="00D76672">
        <w:rPr>
          <w:rFonts w:ascii="Arial" w:hAnsi="Arial" w:cs="Arial"/>
        </w:rPr>
        <w:t>kiosks will be required to offer opportunities for patients to check in and find out more</w:t>
      </w:r>
      <w:r w:rsidRPr="00587DF1">
        <w:rPr>
          <w:rFonts w:ascii="Arial" w:hAnsi="Arial" w:cs="Arial"/>
        </w:rPr>
        <w:t xml:space="preserve"> information about </w:t>
      </w:r>
      <w:r w:rsidR="00D76672">
        <w:rPr>
          <w:rFonts w:ascii="Arial" w:hAnsi="Arial" w:cs="Arial"/>
        </w:rPr>
        <w:t>diagnosis and</w:t>
      </w:r>
      <w:r w:rsidRPr="00587DF1">
        <w:rPr>
          <w:rFonts w:ascii="Arial" w:hAnsi="Arial" w:cs="Arial"/>
        </w:rPr>
        <w:t xml:space="preserve"> treatments.</w:t>
      </w:r>
    </w:p>
    <w:p w14:paraId="3196687C" w14:textId="25873B9F" w:rsidR="004A7E6A" w:rsidRPr="00587DF1" w:rsidRDefault="004A7E6A" w:rsidP="004A7E6A">
      <w:pPr>
        <w:rPr>
          <w:rFonts w:ascii="Arial" w:hAnsi="Arial" w:cs="Arial"/>
        </w:rPr>
      </w:pPr>
      <w:r w:rsidRPr="00587DF1">
        <w:rPr>
          <w:rFonts w:ascii="Arial" w:hAnsi="Arial" w:cs="Arial"/>
        </w:rPr>
        <w:t xml:space="preserve">The vision for the new facility is that, where possible, a single instance of any system, service or technology should be implemented and shared between the </w:t>
      </w:r>
      <w:r w:rsidR="00D76672">
        <w:rPr>
          <w:rFonts w:ascii="Arial" w:hAnsi="Arial" w:cs="Arial"/>
        </w:rPr>
        <w:t>partners</w:t>
      </w:r>
      <w:r w:rsidRPr="00587DF1">
        <w:rPr>
          <w:rFonts w:ascii="Arial" w:hAnsi="Arial" w:cs="Arial"/>
        </w:rPr>
        <w:t xml:space="preserve">. This approach will provide financial, operational and research benefits. </w:t>
      </w:r>
    </w:p>
    <w:p w14:paraId="72333BC1" w14:textId="77777777" w:rsidR="004A7E6A" w:rsidRPr="00587DF1" w:rsidRDefault="004A7E6A" w:rsidP="00E07D96">
      <w:pPr>
        <w:autoSpaceDE w:val="0"/>
        <w:autoSpaceDN w:val="0"/>
        <w:adjustRightInd w:val="0"/>
        <w:rPr>
          <w:rFonts w:ascii="Arial" w:eastAsia="Arial" w:hAnsi="Arial" w:cs="Arial"/>
          <w:color w:val="000000"/>
          <w:lang w:eastAsia="en-US"/>
        </w:rPr>
      </w:pPr>
      <w:r w:rsidRPr="00587DF1">
        <w:rPr>
          <w:rFonts w:ascii="Arial" w:eastAsia="Arial" w:hAnsi="Arial" w:cs="Arial"/>
          <w:color w:val="000000"/>
          <w:lang w:eastAsia="en-US"/>
        </w:rPr>
        <w:t xml:space="preserve">The services housed in the building will be highly dependent on IT to support the provision of clinical services, research services and critical equipment. The site will therefore need to </w:t>
      </w:r>
      <w:r w:rsidRPr="00587DF1">
        <w:rPr>
          <w:rFonts w:ascii="Arial" w:eastAsia="Arial" w:hAnsi="Arial" w:cs="Arial"/>
          <w:color w:val="000000"/>
          <w:lang w:eastAsia="en-US"/>
        </w:rPr>
        <w:lastRenderedPageBreak/>
        <w:t>provide highly reliable network availability 24/7 365 days per annum. The infrastructure will also need to support the intelligent building design and Smart BMS system.</w:t>
      </w:r>
    </w:p>
    <w:bookmarkEnd w:id="249"/>
    <w:p w14:paraId="32884BBB" w14:textId="77777777" w:rsidR="004A7E6A" w:rsidRPr="00587DF1" w:rsidRDefault="004A7E6A" w:rsidP="004A7E6A">
      <w:pPr>
        <w:spacing w:after="0"/>
        <w:rPr>
          <w:rFonts w:ascii="Arial" w:hAnsi="Arial" w:cs="Arial"/>
        </w:rPr>
      </w:pPr>
    </w:p>
    <w:p w14:paraId="31CE1F13" w14:textId="77777777" w:rsidR="004A7E6A" w:rsidRPr="00587DF1" w:rsidRDefault="004A7E6A" w:rsidP="005E0D57">
      <w:pPr>
        <w:pStyle w:val="Heading2"/>
        <w:numPr>
          <w:ilvl w:val="1"/>
          <w:numId w:val="1"/>
        </w:numPr>
        <w:rPr>
          <w:rFonts w:ascii="Arial" w:eastAsia="Arial" w:hAnsi="Arial" w:cs="Arial"/>
        </w:rPr>
      </w:pPr>
      <w:bookmarkStart w:id="252" w:name="_Ref29545716"/>
      <w:bookmarkStart w:id="253" w:name="_Toc32842725"/>
      <w:bookmarkEnd w:id="221"/>
      <w:bookmarkEnd w:id="222"/>
      <w:r w:rsidRPr="00587DF1">
        <w:rPr>
          <w:rFonts w:ascii="Arial" w:eastAsia="Arial" w:hAnsi="Arial" w:cs="Arial"/>
        </w:rPr>
        <w:t xml:space="preserve">Design </w:t>
      </w:r>
      <w:r w:rsidR="00D20FB0" w:rsidRPr="00587DF1">
        <w:rPr>
          <w:rFonts w:ascii="Arial" w:eastAsia="Arial" w:hAnsi="Arial" w:cs="Arial"/>
        </w:rPr>
        <w:t>overview</w:t>
      </w:r>
      <w:bookmarkEnd w:id="252"/>
      <w:bookmarkEnd w:id="253"/>
    </w:p>
    <w:p w14:paraId="4B8AE315" w14:textId="77777777" w:rsidR="004A7E6A" w:rsidRPr="00587DF1" w:rsidRDefault="004A7E6A" w:rsidP="004A7E6A">
      <w:pPr>
        <w:spacing w:after="0"/>
        <w:rPr>
          <w:rFonts w:ascii="Arial" w:hAnsi="Arial" w:cs="Arial"/>
        </w:rPr>
      </w:pPr>
    </w:p>
    <w:p w14:paraId="2A368BE6" w14:textId="77777777" w:rsidR="004A7E6A" w:rsidRPr="00587DF1" w:rsidRDefault="004A7E6A" w:rsidP="004A7E6A">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This section describes the design process undertaken, the current status of the designs and their alignment with NHS guidance.</w:t>
      </w:r>
    </w:p>
    <w:p w14:paraId="09A1C648" w14:textId="77777777" w:rsidR="001B545B" w:rsidRPr="00587DF1" w:rsidRDefault="001B545B" w:rsidP="005E0D57">
      <w:pPr>
        <w:numPr>
          <w:ilvl w:val="2"/>
          <w:numId w:val="1"/>
        </w:numPr>
        <w:pBdr>
          <w:top w:val="nil"/>
          <w:left w:val="nil"/>
          <w:bottom w:val="nil"/>
          <w:right w:val="nil"/>
          <w:between w:val="nil"/>
        </w:pBdr>
        <w:spacing w:after="0"/>
        <w:jc w:val="both"/>
        <w:rPr>
          <w:rFonts w:ascii="Arial" w:eastAsia="Arial" w:hAnsi="Arial" w:cs="Arial"/>
          <w:b/>
          <w:color w:val="000000"/>
        </w:rPr>
      </w:pPr>
      <w:r w:rsidRPr="00587DF1">
        <w:rPr>
          <w:rFonts w:ascii="Arial" w:eastAsia="Arial" w:hAnsi="Arial" w:cs="Arial"/>
          <w:b/>
          <w:color w:val="000000"/>
        </w:rPr>
        <w:t>Purpose of the building</w:t>
      </w:r>
    </w:p>
    <w:p w14:paraId="1E4075D3" w14:textId="77777777" w:rsidR="001B545B" w:rsidRPr="00587DF1" w:rsidRDefault="001B545B" w:rsidP="001B545B">
      <w:pPr>
        <w:pBdr>
          <w:top w:val="nil"/>
          <w:left w:val="nil"/>
          <w:bottom w:val="nil"/>
          <w:right w:val="nil"/>
          <w:between w:val="nil"/>
        </w:pBdr>
        <w:tabs>
          <w:tab w:val="left" w:pos="567"/>
        </w:tabs>
        <w:spacing w:after="0"/>
        <w:rPr>
          <w:rFonts w:ascii="Arial" w:eastAsia="Arial" w:hAnsi="Arial" w:cs="Arial"/>
          <w:bCs/>
          <w:color w:val="000000"/>
        </w:rPr>
      </w:pPr>
    </w:p>
    <w:p w14:paraId="29F4E5F0" w14:textId="77777777" w:rsidR="001B545B" w:rsidRPr="00587DF1" w:rsidRDefault="001B545B" w:rsidP="001B545B">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 xml:space="preserve">Oriel takes a radical approach to the integration of sight-related care, research and education, driving innovation and speeding up the translation of research findings into treatment. The new building will enable seamless collaboration between clinicians, patients and researchers, delivering world class clinical services and cutting edge research.  </w:t>
      </w:r>
    </w:p>
    <w:p w14:paraId="3325EA33" w14:textId="0C6CA3F9" w:rsidR="001B545B" w:rsidRPr="00587DF1" w:rsidRDefault="001B545B" w:rsidP="001B545B">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The design caters for the wide diversity of user groups including</w:t>
      </w:r>
      <w:r w:rsidR="0025490F">
        <w:rPr>
          <w:rFonts w:ascii="Arial" w:eastAsia="Arial" w:hAnsi="Arial" w:cs="Arial"/>
          <w:bCs/>
          <w:color w:val="000000"/>
        </w:rPr>
        <w:t>:</w:t>
      </w:r>
    </w:p>
    <w:p w14:paraId="50968157" w14:textId="77777777" w:rsidR="001B545B" w:rsidRPr="00587DF1" w:rsidRDefault="001B545B" w:rsidP="005E0D57">
      <w:pPr>
        <w:pStyle w:val="ListParagraph"/>
        <w:numPr>
          <w:ilvl w:val="0"/>
          <w:numId w:val="67"/>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Patients, family members and carers.</w:t>
      </w:r>
    </w:p>
    <w:p w14:paraId="38ECC624" w14:textId="77777777" w:rsidR="001B545B" w:rsidRPr="00587DF1" w:rsidRDefault="001B545B" w:rsidP="005E0D57">
      <w:pPr>
        <w:pStyle w:val="ListParagraph"/>
        <w:numPr>
          <w:ilvl w:val="0"/>
          <w:numId w:val="67"/>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Doctors, nurses and other clinical staff.</w:t>
      </w:r>
    </w:p>
    <w:p w14:paraId="6E7A1D41" w14:textId="77777777" w:rsidR="001B545B" w:rsidRPr="00587DF1" w:rsidRDefault="001B545B" w:rsidP="005E0D57">
      <w:pPr>
        <w:pStyle w:val="ListParagraph"/>
        <w:numPr>
          <w:ilvl w:val="0"/>
          <w:numId w:val="67"/>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Volunteers.</w:t>
      </w:r>
    </w:p>
    <w:p w14:paraId="5DC14012" w14:textId="77777777" w:rsidR="001B545B" w:rsidRPr="00587DF1" w:rsidRDefault="001B545B" w:rsidP="005E0D57">
      <w:pPr>
        <w:pStyle w:val="ListParagraph"/>
        <w:numPr>
          <w:ilvl w:val="0"/>
          <w:numId w:val="67"/>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Academic researchers.</w:t>
      </w:r>
    </w:p>
    <w:p w14:paraId="59C3DD50" w14:textId="77777777" w:rsidR="001B545B" w:rsidRPr="00587DF1" w:rsidRDefault="001B545B" w:rsidP="005E0D57">
      <w:pPr>
        <w:pStyle w:val="ListParagraph"/>
        <w:numPr>
          <w:ilvl w:val="0"/>
          <w:numId w:val="67"/>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Students.</w:t>
      </w:r>
    </w:p>
    <w:p w14:paraId="4A0E19AF" w14:textId="77777777" w:rsidR="001B545B" w:rsidRPr="00587DF1" w:rsidRDefault="001B545B" w:rsidP="005E0D57">
      <w:pPr>
        <w:pStyle w:val="ListParagraph"/>
        <w:numPr>
          <w:ilvl w:val="0"/>
          <w:numId w:val="67"/>
        </w:num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Administrators and other staff</w:t>
      </w:r>
    </w:p>
    <w:p w14:paraId="19FC1D54" w14:textId="77777777" w:rsidR="001B545B" w:rsidRPr="00587DF1" w:rsidRDefault="001B545B" w:rsidP="001B545B">
      <w:pPr>
        <w:pBdr>
          <w:top w:val="nil"/>
          <w:left w:val="nil"/>
          <w:bottom w:val="nil"/>
          <w:right w:val="nil"/>
          <w:between w:val="nil"/>
        </w:pBdr>
        <w:tabs>
          <w:tab w:val="left" w:pos="709"/>
        </w:tabs>
        <w:rPr>
          <w:rFonts w:ascii="Arial" w:eastAsia="Arial" w:hAnsi="Arial" w:cs="Arial"/>
          <w:bCs/>
          <w:color w:val="000000"/>
        </w:rPr>
      </w:pPr>
      <w:r w:rsidRPr="00587DF1">
        <w:rPr>
          <w:rFonts w:ascii="Arial" w:eastAsia="Arial" w:hAnsi="Arial" w:cs="Arial"/>
          <w:bCs/>
          <w:color w:val="000000"/>
        </w:rPr>
        <w:t>At the centre of the building is a light-filled atrium, forming the focus and heart of the building. All visitors, patients and staff will arrive into this space before proceeding to the different parts of the building.  A central ‘oriel space’ rising up through the atrium forms the main circulation route through the building, providing the public-facing focus of the building for patients and staff alike.  From this oriel, all departments within the building can be accessed.  With plenty of daylight, warm timber finishes and acoustic treatment the atrium and oriel form the key orientation within the building.  Wayfinding will be emphasised through light, signage, art, colour and contrast.</w:t>
      </w:r>
    </w:p>
    <w:p w14:paraId="77FDCF51" w14:textId="77777777" w:rsidR="004A7E6A" w:rsidRPr="00587DF1" w:rsidRDefault="004A7E6A" w:rsidP="005E0D57">
      <w:pPr>
        <w:numPr>
          <w:ilvl w:val="2"/>
          <w:numId w:val="1"/>
        </w:numPr>
        <w:pBdr>
          <w:top w:val="nil"/>
          <w:left w:val="nil"/>
          <w:bottom w:val="nil"/>
          <w:right w:val="nil"/>
          <w:between w:val="nil"/>
        </w:pBdr>
        <w:spacing w:after="0"/>
        <w:jc w:val="both"/>
        <w:rPr>
          <w:rFonts w:ascii="Arial" w:eastAsia="Arial" w:hAnsi="Arial" w:cs="Arial"/>
          <w:b/>
          <w:color w:val="000000"/>
        </w:rPr>
      </w:pPr>
      <w:r w:rsidRPr="00587DF1">
        <w:rPr>
          <w:rFonts w:ascii="Arial" w:eastAsia="Arial" w:hAnsi="Arial" w:cs="Arial"/>
          <w:b/>
          <w:color w:val="000000"/>
        </w:rPr>
        <w:t xml:space="preserve">Design </w:t>
      </w:r>
      <w:r w:rsidR="00D20FB0" w:rsidRPr="00587DF1">
        <w:rPr>
          <w:rFonts w:ascii="Arial" w:eastAsia="Arial" w:hAnsi="Arial" w:cs="Arial"/>
          <w:b/>
          <w:color w:val="000000"/>
        </w:rPr>
        <w:t>principles</w:t>
      </w:r>
    </w:p>
    <w:p w14:paraId="5F075248" w14:textId="77777777" w:rsidR="00D20FB0" w:rsidRPr="00587DF1" w:rsidRDefault="00D20FB0" w:rsidP="00D20FB0">
      <w:pPr>
        <w:pBdr>
          <w:top w:val="nil"/>
          <w:left w:val="nil"/>
          <w:bottom w:val="nil"/>
          <w:right w:val="nil"/>
          <w:between w:val="nil"/>
        </w:pBdr>
        <w:tabs>
          <w:tab w:val="left" w:pos="567"/>
        </w:tabs>
        <w:spacing w:after="0"/>
        <w:rPr>
          <w:rFonts w:ascii="Arial" w:eastAsia="Arial" w:hAnsi="Arial" w:cs="Arial"/>
          <w:bCs/>
          <w:color w:val="000000"/>
        </w:rPr>
      </w:pPr>
    </w:p>
    <w:p w14:paraId="36EC77BD" w14:textId="77777777" w:rsidR="004A7E6A" w:rsidRPr="00DA6AE4" w:rsidRDefault="004A7E6A" w:rsidP="004A7E6A">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 xml:space="preserve">In order for Oriel to achieve its ambition </w:t>
      </w:r>
      <w:r w:rsidRPr="00DA6AE4">
        <w:rPr>
          <w:rFonts w:ascii="Arial" w:eastAsia="Arial" w:hAnsi="Arial" w:cs="Arial"/>
          <w:bCs/>
          <w:color w:val="000000"/>
        </w:rPr>
        <w:t>to be a catalyst to implement radically new ways of working, improve the experience of all users, and drive excellence in ophthalmology across the country, Moorfields has developed a set of core design principles for the building.</w:t>
      </w:r>
      <w:r w:rsidR="00DF7943" w:rsidRPr="00DA6AE4">
        <w:rPr>
          <w:rFonts w:ascii="Arial" w:eastAsia="Arial" w:hAnsi="Arial" w:cs="Arial"/>
          <w:bCs/>
          <w:color w:val="000000"/>
        </w:rPr>
        <w:t xml:space="preserve"> These were echoed in the feedback received during the public consultation.</w:t>
      </w:r>
      <w:r w:rsidRPr="00DA6AE4">
        <w:rPr>
          <w:rFonts w:ascii="Arial" w:eastAsia="Arial" w:hAnsi="Arial" w:cs="Arial"/>
          <w:bCs/>
          <w:color w:val="000000"/>
        </w:rPr>
        <w:t xml:space="preserve"> These are:</w:t>
      </w:r>
    </w:p>
    <w:p w14:paraId="28BA507F" w14:textId="77777777" w:rsidR="004A7E6A" w:rsidRPr="00DA6AE4" w:rsidRDefault="004A7E6A" w:rsidP="005E0D57">
      <w:pPr>
        <w:pStyle w:val="ListParagraph"/>
        <w:numPr>
          <w:ilvl w:val="0"/>
          <w:numId w:val="37"/>
        </w:numPr>
        <w:rPr>
          <w:rFonts w:ascii="Arial" w:hAnsi="Arial" w:cs="Arial"/>
        </w:rPr>
      </w:pPr>
      <w:r w:rsidRPr="00DA6AE4">
        <w:rPr>
          <w:rFonts w:ascii="Arial" w:hAnsi="Arial" w:cs="Arial"/>
          <w:b/>
          <w:bCs/>
        </w:rPr>
        <w:t>Consider the full spectrum of visual impairment types</w:t>
      </w:r>
      <w:r w:rsidRPr="00DA6AE4">
        <w:rPr>
          <w:rFonts w:ascii="Arial" w:hAnsi="Arial" w:cs="Arial"/>
        </w:rPr>
        <w:t>.</w:t>
      </w:r>
    </w:p>
    <w:p w14:paraId="0EAEF2E1" w14:textId="77777777" w:rsidR="004A7E6A" w:rsidRPr="00DA6AE4" w:rsidRDefault="004A7E6A" w:rsidP="005E0D57">
      <w:pPr>
        <w:pStyle w:val="ListParagraph"/>
        <w:numPr>
          <w:ilvl w:val="0"/>
          <w:numId w:val="37"/>
        </w:numPr>
        <w:spacing w:before="60" w:after="60"/>
        <w:ind w:left="714" w:hanging="357"/>
        <w:rPr>
          <w:rFonts w:ascii="Arial" w:hAnsi="Arial" w:cs="Arial"/>
          <w:b/>
        </w:rPr>
      </w:pPr>
      <w:r w:rsidRPr="00DA6AE4">
        <w:rPr>
          <w:rFonts w:ascii="Arial" w:hAnsi="Arial" w:cs="Arial"/>
          <w:b/>
          <w:bCs/>
        </w:rPr>
        <w:t xml:space="preserve">Safety and </w:t>
      </w:r>
      <w:r w:rsidR="00DF7943" w:rsidRPr="00DA6AE4">
        <w:rPr>
          <w:rFonts w:ascii="Arial" w:hAnsi="Arial" w:cs="Arial"/>
          <w:b/>
          <w:bCs/>
        </w:rPr>
        <w:t>accessibility</w:t>
      </w:r>
      <w:r w:rsidRPr="00DA6AE4">
        <w:rPr>
          <w:rFonts w:ascii="Arial" w:hAnsi="Arial" w:cs="Arial"/>
          <w:b/>
          <w:bCs/>
        </w:rPr>
        <w:t>:</w:t>
      </w:r>
      <w:r w:rsidRPr="00DA6AE4">
        <w:rPr>
          <w:rFonts w:ascii="Arial" w:hAnsi="Arial" w:cs="Arial"/>
          <w:bCs/>
        </w:rPr>
        <w:t xml:space="preserve"> visually impaired visitors approaching the new facility should find the route free of obstacles, safe and easy to navigate.  </w:t>
      </w:r>
    </w:p>
    <w:p w14:paraId="68A853F0" w14:textId="77777777" w:rsidR="004A7E6A" w:rsidRPr="00DA6AE4" w:rsidRDefault="004A7E6A" w:rsidP="005E0D57">
      <w:pPr>
        <w:pStyle w:val="ListParagraph"/>
        <w:numPr>
          <w:ilvl w:val="0"/>
          <w:numId w:val="38"/>
        </w:numPr>
        <w:spacing w:before="60" w:after="60"/>
        <w:rPr>
          <w:rFonts w:ascii="Arial" w:hAnsi="Arial" w:cs="Arial"/>
        </w:rPr>
      </w:pPr>
      <w:r w:rsidRPr="00DA6AE4">
        <w:rPr>
          <w:rFonts w:ascii="Arial" w:hAnsi="Arial" w:cs="Arial"/>
          <w:b/>
          <w:bCs/>
        </w:rPr>
        <w:t>Welcome and wayfinding:</w:t>
      </w:r>
      <w:r w:rsidRPr="00DA6AE4">
        <w:rPr>
          <w:rFonts w:ascii="Arial" w:hAnsi="Arial" w:cs="Arial"/>
        </w:rPr>
        <w:t xml:space="preserve"> the interior as a whole should be welcoming, comfortable and reassuring.  </w:t>
      </w:r>
      <w:r w:rsidR="00DF7943" w:rsidRPr="00DA6AE4">
        <w:rPr>
          <w:rFonts w:ascii="Arial" w:hAnsi="Arial" w:cs="Arial"/>
        </w:rPr>
        <w:t xml:space="preserve">Wayfinding around </w:t>
      </w:r>
      <w:r w:rsidRPr="00DA6AE4">
        <w:rPr>
          <w:rFonts w:ascii="Arial" w:hAnsi="Arial" w:cs="Arial"/>
        </w:rPr>
        <w:t xml:space="preserve">the building </w:t>
      </w:r>
      <w:r w:rsidR="00DF7943" w:rsidRPr="00DA6AE4">
        <w:rPr>
          <w:rFonts w:ascii="Arial" w:hAnsi="Arial" w:cs="Arial"/>
        </w:rPr>
        <w:t xml:space="preserve">should be </w:t>
      </w:r>
      <w:r w:rsidRPr="00DA6AE4">
        <w:rPr>
          <w:rFonts w:ascii="Arial" w:hAnsi="Arial" w:cs="Arial"/>
        </w:rPr>
        <w:t xml:space="preserve">as </w:t>
      </w:r>
      <w:r w:rsidR="00DF7943" w:rsidRPr="00DA6AE4">
        <w:rPr>
          <w:rFonts w:ascii="Arial" w:hAnsi="Arial" w:cs="Arial"/>
        </w:rPr>
        <w:t xml:space="preserve">straightforward </w:t>
      </w:r>
      <w:r w:rsidRPr="00DA6AE4">
        <w:rPr>
          <w:rFonts w:ascii="Arial" w:hAnsi="Arial" w:cs="Arial"/>
        </w:rPr>
        <w:t>as possible.</w:t>
      </w:r>
      <w:r w:rsidRPr="00DA6AE4">
        <w:rPr>
          <w:rFonts w:ascii="Arial" w:hAnsi="Arial" w:cs="Arial"/>
          <w:bCs/>
        </w:rPr>
        <w:t xml:space="preserve">  </w:t>
      </w:r>
    </w:p>
    <w:p w14:paraId="1CA912DA" w14:textId="77777777" w:rsidR="004A7E6A" w:rsidRPr="00DA6AE4" w:rsidRDefault="004A7E6A" w:rsidP="005E0D57">
      <w:pPr>
        <w:pStyle w:val="ListParagraph"/>
        <w:numPr>
          <w:ilvl w:val="0"/>
          <w:numId w:val="38"/>
        </w:numPr>
        <w:spacing w:before="60" w:after="60"/>
        <w:rPr>
          <w:rFonts w:ascii="Arial" w:hAnsi="Arial" w:cs="Arial"/>
          <w:b/>
        </w:rPr>
      </w:pPr>
      <w:r w:rsidRPr="00DA6AE4">
        <w:rPr>
          <w:rFonts w:ascii="Arial" w:hAnsi="Arial" w:cs="Arial"/>
          <w:b/>
          <w:bCs/>
        </w:rPr>
        <w:lastRenderedPageBreak/>
        <w:t>Appropriate lighting is vitality important</w:t>
      </w:r>
      <w:r w:rsidRPr="00DA6AE4">
        <w:rPr>
          <w:rFonts w:ascii="Arial" w:hAnsi="Arial" w:cs="Arial"/>
        </w:rPr>
        <w:t xml:space="preserve">. </w:t>
      </w:r>
    </w:p>
    <w:p w14:paraId="1D4507EB" w14:textId="77777777" w:rsidR="004A7E6A" w:rsidRPr="00DA6AE4" w:rsidRDefault="004A7E6A" w:rsidP="005E0D57">
      <w:pPr>
        <w:pStyle w:val="ListParagraph"/>
        <w:numPr>
          <w:ilvl w:val="0"/>
          <w:numId w:val="38"/>
        </w:numPr>
        <w:rPr>
          <w:rFonts w:ascii="Arial" w:hAnsi="Arial" w:cs="Arial"/>
        </w:rPr>
      </w:pPr>
      <w:r w:rsidRPr="00DA6AE4">
        <w:rPr>
          <w:rFonts w:ascii="Arial" w:hAnsi="Arial" w:cs="Arial"/>
          <w:b/>
          <w:bCs/>
        </w:rPr>
        <w:t>Environments for older people and those with complex needs:</w:t>
      </w:r>
      <w:r w:rsidRPr="00DA6AE4">
        <w:rPr>
          <w:rFonts w:ascii="Arial" w:hAnsi="Arial" w:cs="Arial"/>
        </w:rPr>
        <w:t xml:space="preserve"> </w:t>
      </w:r>
      <w:r w:rsidR="00DF7943" w:rsidRPr="00DA6AE4">
        <w:rPr>
          <w:rFonts w:ascii="Arial" w:hAnsi="Arial" w:cs="Arial"/>
        </w:rPr>
        <w:t>t</w:t>
      </w:r>
      <w:r w:rsidRPr="00DA6AE4">
        <w:rPr>
          <w:rFonts w:ascii="Arial" w:hAnsi="Arial" w:cs="Arial"/>
        </w:rPr>
        <w:t xml:space="preserve">he environment should be easily used by </w:t>
      </w:r>
      <w:r w:rsidR="00DF7943" w:rsidRPr="00DA6AE4">
        <w:rPr>
          <w:rFonts w:ascii="Arial" w:hAnsi="Arial" w:cs="Arial"/>
        </w:rPr>
        <w:t xml:space="preserve">the full spectrum of people with protected characteristics, including people with </w:t>
      </w:r>
      <w:r w:rsidRPr="00DA6AE4">
        <w:rPr>
          <w:rFonts w:ascii="Arial" w:hAnsi="Arial" w:cs="Arial"/>
        </w:rPr>
        <w:t xml:space="preserve">reduced </w:t>
      </w:r>
      <w:r w:rsidR="00DF7943" w:rsidRPr="00DA6AE4">
        <w:rPr>
          <w:rFonts w:ascii="Arial" w:hAnsi="Arial" w:cs="Arial"/>
        </w:rPr>
        <w:t>mobility and sensory impairments</w:t>
      </w:r>
      <w:r w:rsidRPr="00DA6AE4">
        <w:rPr>
          <w:rFonts w:ascii="Arial" w:hAnsi="Arial" w:cs="Arial"/>
        </w:rPr>
        <w:t>.</w:t>
      </w:r>
    </w:p>
    <w:p w14:paraId="7C4D8A39" w14:textId="77777777" w:rsidR="004A7E6A" w:rsidRPr="00DA6AE4" w:rsidRDefault="004A7E6A" w:rsidP="005E0D57">
      <w:pPr>
        <w:pStyle w:val="ListParagraph"/>
        <w:numPr>
          <w:ilvl w:val="0"/>
          <w:numId w:val="38"/>
        </w:numPr>
        <w:rPr>
          <w:rFonts w:ascii="Arial" w:hAnsi="Arial" w:cs="Arial"/>
        </w:rPr>
      </w:pPr>
      <w:r w:rsidRPr="00DA6AE4">
        <w:rPr>
          <w:rFonts w:ascii="Arial" w:hAnsi="Arial" w:cs="Arial"/>
          <w:b/>
          <w:bCs/>
        </w:rPr>
        <w:t>Provision for guide dogs:</w:t>
      </w:r>
      <w:r w:rsidRPr="00DA6AE4">
        <w:rPr>
          <w:rFonts w:ascii="Arial" w:hAnsi="Arial" w:cs="Arial"/>
        </w:rPr>
        <w:t xml:space="preserve"> the building must accommodate the needs of patients and visitors with guide dogs. </w:t>
      </w:r>
    </w:p>
    <w:p w14:paraId="45BCB454" w14:textId="77777777" w:rsidR="004A7E6A" w:rsidRPr="00DA6AE4" w:rsidRDefault="004A7E6A" w:rsidP="005E0D57">
      <w:pPr>
        <w:pStyle w:val="ListParagraph"/>
        <w:numPr>
          <w:ilvl w:val="0"/>
          <w:numId w:val="38"/>
        </w:numPr>
        <w:spacing w:before="60" w:after="60"/>
        <w:rPr>
          <w:rFonts w:ascii="Arial" w:hAnsi="Arial" w:cs="Arial"/>
        </w:rPr>
      </w:pPr>
      <w:r w:rsidRPr="00DA6AE4">
        <w:rPr>
          <w:rFonts w:ascii="Arial" w:hAnsi="Arial" w:cs="Arial"/>
          <w:b/>
          <w:bCs/>
        </w:rPr>
        <w:t>Meets changing needs:</w:t>
      </w:r>
      <w:r w:rsidRPr="00DA6AE4">
        <w:rPr>
          <w:rFonts w:ascii="Arial" w:hAnsi="Arial" w:cs="Arial"/>
          <w:b/>
        </w:rPr>
        <w:t xml:space="preserve"> </w:t>
      </w:r>
      <w:r w:rsidRPr="00DA6AE4">
        <w:rPr>
          <w:rFonts w:ascii="Arial" w:hAnsi="Arial" w:cs="Arial"/>
        </w:rPr>
        <w:t xml:space="preserve">the facilities </w:t>
      </w:r>
      <w:r w:rsidR="00DF7943" w:rsidRPr="00DA6AE4">
        <w:rPr>
          <w:rFonts w:ascii="Arial" w:hAnsi="Arial" w:cs="Arial"/>
        </w:rPr>
        <w:t xml:space="preserve">must be able to flex </w:t>
      </w:r>
      <w:r w:rsidRPr="00DA6AE4">
        <w:rPr>
          <w:rFonts w:ascii="Arial" w:hAnsi="Arial" w:cs="Arial"/>
        </w:rPr>
        <w:t xml:space="preserve">to meet the needs of </w:t>
      </w:r>
      <w:r w:rsidR="00DF7943" w:rsidRPr="00DA6AE4">
        <w:rPr>
          <w:rFonts w:ascii="Arial" w:hAnsi="Arial" w:cs="Arial"/>
        </w:rPr>
        <w:t>the building’s users</w:t>
      </w:r>
      <w:r w:rsidRPr="00DA6AE4">
        <w:rPr>
          <w:rFonts w:ascii="Arial" w:hAnsi="Arial" w:cs="Arial"/>
        </w:rPr>
        <w:t xml:space="preserve"> now and into the future. Space will be able to adapt to new uses and techniques, enabling the partners to meet changing needs and encourage staff to prepare and embrace change in the continual pursuit of improvement.</w:t>
      </w:r>
    </w:p>
    <w:p w14:paraId="735ECBA9" w14:textId="2926B8D1" w:rsidR="004A7E6A" w:rsidRPr="00DA6AE4" w:rsidRDefault="004A7E6A" w:rsidP="005E0D57">
      <w:pPr>
        <w:pStyle w:val="ListParagraph"/>
        <w:numPr>
          <w:ilvl w:val="0"/>
          <w:numId w:val="38"/>
        </w:numPr>
        <w:rPr>
          <w:rFonts w:ascii="Arial" w:hAnsi="Arial" w:cs="Arial"/>
        </w:rPr>
      </w:pPr>
      <w:r w:rsidRPr="00DA6AE4">
        <w:rPr>
          <w:rFonts w:ascii="Arial" w:hAnsi="Arial" w:cs="Arial"/>
          <w:b/>
          <w:bCs/>
        </w:rPr>
        <w:t>Staff health and wellbeing:</w:t>
      </w:r>
      <w:r w:rsidRPr="00DA6AE4">
        <w:rPr>
          <w:rFonts w:ascii="Arial" w:hAnsi="Arial" w:cs="Arial"/>
        </w:rPr>
        <w:t xml:space="preserve"> the facilities </w:t>
      </w:r>
      <w:r w:rsidR="00DF7943" w:rsidRPr="00DA6AE4">
        <w:rPr>
          <w:rFonts w:ascii="Arial" w:hAnsi="Arial" w:cs="Arial"/>
        </w:rPr>
        <w:t>must</w:t>
      </w:r>
      <w:r w:rsidRPr="00DA6AE4">
        <w:rPr>
          <w:rFonts w:ascii="Arial" w:hAnsi="Arial" w:cs="Arial"/>
        </w:rPr>
        <w:t xml:space="preserve"> support staff to make healthy lifestyle choices and will support their physical and mental wellbeing.</w:t>
      </w:r>
    </w:p>
    <w:p w14:paraId="16B807BC" w14:textId="77777777" w:rsidR="005B7B37" w:rsidRPr="00587DF1" w:rsidRDefault="004A7E6A" w:rsidP="004A7E6A">
      <w:pPr>
        <w:pBdr>
          <w:top w:val="nil"/>
          <w:left w:val="nil"/>
          <w:bottom w:val="nil"/>
          <w:right w:val="nil"/>
          <w:between w:val="nil"/>
        </w:pBdr>
        <w:tabs>
          <w:tab w:val="left" w:pos="567"/>
        </w:tabs>
        <w:rPr>
          <w:rFonts w:ascii="Arial" w:eastAsia="Arial" w:hAnsi="Arial" w:cs="Arial"/>
          <w:bCs/>
          <w:color w:val="000000"/>
        </w:rPr>
      </w:pPr>
      <w:r w:rsidRPr="00DA6AE4">
        <w:rPr>
          <w:rFonts w:ascii="Arial" w:eastAsia="Arial" w:hAnsi="Arial" w:cs="Arial"/>
          <w:bCs/>
          <w:color w:val="000000"/>
        </w:rPr>
        <w:t>In addition to this, the building will promote organisational</w:t>
      </w:r>
      <w:r w:rsidRPr="00587DF1">
        <w:rPr>
          <w:rFonts w:ascii="Arial" w:eastAsia="Arial" w:hAnsi="Arial" w:cs="Arial"/>
          <w:bCs/>
          <w:color w:val="000000"/>
        </w:rPr>
        <w:t xml:space="preserve"> sustainability, making use of low-Carbon energy sources wherever possible, and being energy efficient to reduce its impact on both the environment and building running costs. Materials, fixtures and fittings are being selected based on their whole-life cost, to ensure the building can continue to support the organisation’s financial position over the long term as well as its strategic aspirations.</w:t>
      </w:r>
    </w:p>
    <w:p w14:paraId="2D0D7C28" w14:textId="382DB52F" w:rsidR="004A7E6A" w:rsidRPr="00587DF1" w:rsidRDefault="00DF7943" w:rsidP="004A7E6A">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 xml:space="preserve">The building’s functional areas </w:t>
      </w:r>
      <w:r w:rsidR="0025699F">
        <w:rPr>
          <w:rFonts w:ascii="Arial" w:eastAsia="Arial" w:hAnsi="Arial" w:cs="Arial"/>
          <w:bCs/>
          <w:color w:val="000000"/>
        </w:rPr>
        <w:t xml:space="preserve">are set out in Appendix </w:t>
      </w:r>
      <w:r w:rsidR="0004407D">
        <w:rPr>
          <w:rFonts w:ascii="Arial" w:eastAsia="Arial" w:hAnsi="Arial" w:cs="Arial"/>
          <w:bCs/>
          <w:color w:val="000000"/>
        </w:rPr>
        <w:t>5D</w:t>
      </w:r>
      <w:r w:rsidR="0025699F">
        <w:rPr>
          <w:rFonts w:ascii="Arial" w:eastAsia="Arial" w:hAnsi="Arial" w:cs="Arial"/>
          <w:bCs/>
          <w:color w:val="000000"/>
        </w:rPr>
        <w:t>.</w:t>
      </w:r>
    </w:p>
    <w:p w14:paraId="58268B4B" w14:textId="77777777" w:rsidR="004A7E6A" w:rsidRPr="00587DF1" w:rsidRDefault="004A7E6A" w:rsidP="005E0D57">
      <w:pPr>
        <w:numPr>
          <w:ilvl w:val="2"/>
          <w:numId w:val="1"/>
        </w:numPr>
        <w:pBdr>
          <w:top w:val="nil"/>
          <w:left w:val="nil"/>
          <w:bottom w:val="nil"/>
          <w:right w:val="nil"/>
          <w:between w:val="nil"/>
        </w:pBdr>
        <w:spacing w:after="0"/>
        <w:jc w:val="both"/>
        <w:rPr>
          <w:rFonts w:ascii="Arial" w:eastAsia="Arial" w:hAnsi="Arial" w:cs="Arial"/>
          <w:b/>
          <w:color w:val="000000"/>
        </w:rPr>
      </w:pPr>
      <w:r w:rsidRPr="00587DF1">
        <w:rPr>
          <w:rFonts w:ascii="Arial" w:eastAsia="Arial" w:hAnsi="Arial" w:cs="Arial"/>
          <w:b/>
          <w:color w:val="000000"/>
        </w:rPr>
        <w:t>Design process</w:t>
      </w:r>
    </w:p>
    <w:p w14:paraId="59BAABD0" w14:textId="77777777" w:rsidR="004A7E6A" w:rsidRPr="00587DF1" w:rsidRDefault="004A7E6A" w:rsidP="004A7E6A">
      <w:pPr>
        <w:spacing w:after="0"/>
        <w:rPr>
          <w:rFonts w:ascii="Arial" w:eastAsia="Arial" w:hAnsi="Arial" w:cs="Arial"/>
          <w:bCs/>
          <w:color w:val="000000"/>
        </w:rPr>
      </w:pPr>
    </w:p>
    <w:p w14:paraId="695E3628" w14:textId="6F687260" w:rsidR="004A7E6A" w:rsidRPr="00587DF1" w:rsidRDefault="004A7E6A" w:rsidP="004A7E6A">
      <w:pPr>
        <w:rPr>
          <w:rFonts w:ascii="Arial" w:eastAsia="Arial" w:hAnsi="Arial" w:cs="Arial"/>
          <w:bCs/>
          <w:color w:val="000000"/>
        </w:rPr>
      </w:pPr>
      <w:r w:rsidRPr="00587DF1">
        <w:rPr>
          <w:rFonts w:ascii="Arial" w:eastAsia="Arial" w:hAnsi="Arial" w:cs="Arial"/>
          <w:bCs/>
          <w:color w:val="000000"/>
        </w:rPr>
        <w:t xml:space="preserve">The design team, in conjunction with clinical representatives and the Oriel project team (described in section </w:t>
      </w:r>
      <w:r w:rsidR="00600E4C">
        <w:rPr>
          <w:rFonts w:ascii="Arial" w:eastAsia="Arial" w:hAnsi="Arial" w:cs="Arial"/>
          <w:bCs/>
          <w:color w:val="000000"/>
        </w:rPr>
        <w:fldChar w:fldCharType="begin"/>
      </w:r>
      <w:r w:rsidR="00600E4C">
        <w:rPr>
          <w:rFonts w:ascii="Arial" w:eastAsia="Arial" w:hAnsi="Arial" w:cs="Arial"/>
          <w:bCs/>
          <w:color w:val="000000"/>
        </w:rPr>
        <w:instrText xml:space="preserve"> REF _Ref27746299 \r \h </w:instrText>
      </w:r>
      <w:r w:rsidR="00600E4C">
        <w:rPr>
          <w:rFonts w:ascii="Arial" w:eastAsia="Arial" w:hAnsi="Arial" w:cs="Arial"/>
          <w:bCs/>
          <w:color w:val="000000"/>
        </w:rPr>
      </w:r>
      <w:r w:rsidR="00600E4C">
        <w:rPr>
          <w:rFonts w:ascii="Arial" w:eastAsia="Arial" w:hAnsi="Arial" w:cs="Arial"/>
          <w:bCs/>
          <w:color w:val="000000"/>
        </w:rPr>
        <w:fldChar w:fldCharType="separate"/>
      </w:r>
      <w:r w:rsidR="00A936CD">
        <w:rPr>
          <w:rFonts w:ascii="Arial" w:eastAsia="Arial" w:hAnsi="Arial" w:cs="Arial"/>
          <w:bCs/>
          <w:color w:val="000000"/>
        </w:rPr>
        <w:t>5.2.1</w:t>
      </w:r>
      <w:r w:rsidR="00600E4C">
        <w:rPr>
          <w:rFonts w:ascii="Arial" w:eastAsia="Arial" w:hAnsi="Arial" w:cs="Arial"/>
          <w:bCs/>
          <w:color w:val="000000"/>
        </w:rPr>
        <w:fldChar w:fldCharType="end"/>
      </w:r>
      <w:r w:rsidRPr="00587DF1">
        <w:rPr>
          <w:rFonts w:ascii="Arial" w:eastAsia="Arial" w:hAnsi="Arial" w:cs="Arial"/>
          <w:bCs/>
          <w:color w:val="000000"/>
        </w:rPr>
        <w:t xml:space="preserve">), have developed a Schedule of Accommodation and designs based on a ‘test to fit’ exercise. The designs and capital cost estimates in this OBC represent the conclusion of RIBA stage 1. The focus of this work has been on confirming the external envelope of the building and gaining assurance from LB Camden town planning department that the proposals are deliverable within town planning policy. This is described further in the Commercial Case (section </w:t>
      </w:r>
      <w:r w:rsidR="00F20CC0">
        <w:rPr>
          <w:rFonts w:ascii="Arial" w:eastAsia="Arial" w:hAnsi="Arial" w:cs="Arial"/>
          <w:bCs/>
          <w:color w:val="000000"/>
        </w:rPr>
        <w:fldChar w:fldCharType="begin"/>
      </w:r>
      <w:r w:rsidR="00F20CC0">
        <w:rPr>
          <w:rFonts w:ascii="Arial" w:eastAsia="Arial" w:hAnsi="Arial" w:cs="Arial"/>
          <w:bCs/>
          <w:color w:val="000000"/>
        </w:rPr>
        <w:instrText xml:space="preserve"> REF _Ref27746848 \r \h </w:instrText>
      </w:r>
      <w:r w:rsidR="00F20CC0">
        <w:rPr>
          <w:rFonts w:ascii="Arial" w:eastAsia="Arial" w:hAnsi="Arial" w:cs="Arial"/>
          <w:bCs/>
          <w:color w:val="000000"/>
        </w:rPr>
      </w:r>
      <w:r w:rsidR="00F20CC0">
        <w:rPr>
          <w:rFonts w:ascii="Arial" w:eastAsia="Arial" w:hAnsi="Arial" w:cs="Arial"/>
          <w:bCs/>
          <w:color w:val="000000"/>
        </w:rPr>
        <w:fldChar w:fldCharType="separate"/>
      </w:r>
      <w:r w:rsidR="00A936CD">
        <w:rPr>
          <w:rFonts w:ascii="Arial" w:eastAsia="Arial" w:hAnsi="Arial" w:cs="Arial"/>
          <w:bCs/>
          <w:color w:val="000000"/>
        </w:rPr>
        <w:t>7.8.2</w:t>
      </w:r>
      <w:r w:rsidR="00F20CC0">
        <w:rPr>
          <w:rFonts w:ascii="Arial" w:eastAsia="Arial" w:hAnsi="Arial" w:cs="Arial"/>
          <w:bCs/>
          <w:color w:val="000000"/>
        </w:rPr>
        <w:fldChar w:fldCharType="end"/>
      </w:r>
      <w:r w:rsidRPr="00587DF1">
        <w:rPr>
          <w:rFonts w:ascii="Arial" w:eastAsia="Arial" w:hAnsi="Arial" w:cs="Arial"/>
          <w:bCs/>
          <w:color w:val="000000"/>
        </w:rPr>
        <w:t>). The test to fit designs have provided assurance on capital affordability and functionality.</w:t>
      </w:r>
    </w:p>
    <w:p w14:paraId="5E509670" w14:textId="77777777" w:rsidR="00D20FB0" w:rsidRPr="00587DF1" w:rsidRDefault="00D20FB0" w:rsidP="00D20FB0">
      <w:pPr>
        <w:rPr>
          <w:rFonts w:ascii="Arial" w:eastAsia="Arial" w:hAnsi="Arial" w:cs="Arial"/>
          <w:b/>
          <w:color w:val="000000"/>
        </w:rPr>
      </w:pPr>
      <w:r w:rsidRPr="00587DF1">
        <w:rPr>
          <w:rFonts w:ascii="Arial" w:eastAsia="Arial" w:hAnsi="Arial" w:cs="Arial"/>
          <w:b/>
          <w:color w:val="000000"/>
        </w:rPr>
        <w:t>Design development process</w:t>
      </w:r>
    </w:p>
    <w:p w14:paraId="54A834D5" w14:textId="77777777" w:rsidR="00D20FB0" w:rsidRPr="00587DF1" w:rsidRDefault="00D20FB0" w:rsidP="00D20FB0">
      <w:pPr>
        <w:rPr>
          <w:rFonts w:ascii="Arial" w:hAnsi="Arial" w:cs="Arial"/>
          <w:color w:val="000000" w:themeColor="text1"/>
        </w:rPr>
      </w:pPr>
      <w:r w:rsidRPr="00587DF1">
        <w:rPr>
          <w:rFonts w:ascii="Arial" w:hAnsi="Arial" w:cs="Arial"/>
          <w:color w:val="000000" w:themeColor="text1"/>
        </w:rPr>
        <w:t>The design programme is based on the RIBA Plan of Work stages. These are the industry recognised stages for preparing design information.</w:t>
      </w:r>
    </w:p>
    <w:p w14:paraId="53FFA9AB" w14:textId="77777777" w:rsidR="00D20FB0" w:rsidRPr="00587DF1" w:rsidRDefault="00D20FB0" w:rsidP="00D20FB0">
      <w:pPr>
        <w:rPr>
          <w:rFonts w:ascii="Arial" w:hAnsi="Arial" w:cs="Arial"/>
          <w:color w:val="000000" w:themeColor="text1"/>
        </w:rPr>
      </w:pPr>
      <w:r w:rsidRPr="00587DF1">
        <w:rPr>
          <w:rFonts w:ascii="Arial" w:hAnsi="Arial" w:cs="Arial"/>
          <w:color w:val="000000" w:themeColor="text1"/>
        </w:rPr>
        <w:t>Stage 1 has included the following additional activities:</w:t>
      </w:r>
    </w:p>
    <w:p w14:paraId="121CDA3E" w14:textId="77777777" w:rsidR="00D20FB0" w:rsidRPr="00587DF1" w:rsidRDefault="00D20FB0" w:rsidP="005E0D57">
      <w:pPr>
        <w:pStyle w:val="ListParagraph"/>
        <w:numPr>
          <w:ilvl w:val="0"/>
          <w:numId w:val="81"/>
        </w:numPr>
        <w:rPr>
          <w:rFonts w:ascii="Arial" w:hAnsi="Arial" w:cs="Arial"/>
          <w:color w:val="000000" w:themeColor="text1"/>
        </w:rPr>
      </w:pPr>
      <w:r w:rsidRPr="00587DF1">
        <w:rPr>
          <w:rFonts w:ascii="Arial" w:hAnsi="Arial" w:cs="Arial"/>
          <w:color w:val="000000" w:themeColor="text1"/>
        </w:rPr>
        <w:t>The preparation of a shell and core design to allow planning discussions to progress and the cost plan to be developed.</w:t>
      </w:r>
    </w:p>
    <w:p w14:paraId="77ED3D2F" w14:textId="77777777" w:rsidR="00D20FB0" w:rsidRPr="00587DF1" w:rsidRDefault="00D20FB0" w:rsidP="005E0D57">
      <w:pPr>
        <w:pStyle w:val="ListParagraph"/>
        <w:numPr>
          <w:ilvl w:val="0"/>
          <w:numId w:val="81"/>
        </w:numPr>
        <w:spacing w:after="160" w:line="256" w:lineRule="auto"/>
        <w:rPr>
          <w:rFonts w:ascii="Arial" w:hAnsi="Arial" w:cs="Arial"/>
          <w:color w:val="000000" w:themeColor="text1"/>
        </w:rPr>
      </w:pPr>
      <w:r w:rsidRPr="00587DF1">
        <w:rPr>
          <w:rFonts w:ascii="Arial" w:hAnsi="Arial" w:cs="Arial"/>
          <w:color w:val="000000" w:themeColor="text1"/>
        </w:rPr>
        <w:t>Stacking diagrams for the building to allow the plant requirements to be honed and tested against the allowances in the SoA and the locations of the departments agreed in principle.</w:t>
      </w:r>
    </w:p>
    <w:p w14:paraId="63512AE9" w14:textId="77777777" w:rsidR="00D20FB0" w:rsidRPr="00587DF1" w:rsidRDefault="00D20FB0" w:rsidP="005E0D57">
      <w:pPr>
        <w:pStyle w:val="ListParagraph"/>
        <w:numPr>
          <w:ilvl w:val="0"/>
          <w:numId w:val="81"/>
        </w:numPr>
        <w:spacing w:after="160" w:line="256" w:lineRule="auto"/>
        <w:rPr>
          <w:rFonts w:ascii="Arial" w:hAnsi="Arial" w:cs="Arial"/>
          <w:color w:val="000000" w:themeColor="text1"/>
        </w:rPr>
      </w:pPr>
      <w:r w:rsidRPr="00587DF1">
        <w:rPr>
          <w:rFonts w:ascii="Arial" w:hAnsi="Arial" w:cs="Arial"/>
          <w:color w:val="000000" w:themeColor="text1"/>
        </w:rPr>
        <w:t xml:space="preserve">The preparation of ‘test-to-fit’ layouts to determine that the circulation and wall allowances included in the SoA are robust. Whilst these layouts have had clinician input their core purpose is to prove that the area allowances are robust providing the </w:t>
      </w:r>
      <w:r w:rsidRPr="00587DF1">
        <w:rPr>
          <w:rFonts w:ascii="Arial" w:hAnsi="Arial" w:cs="Arial"/>
          <w:color w:val="000000" w:themeColor="text1"/>
        </w:rPr>
        <w:lastRenderedPageBreak/>
        <w:t xml:space="preserve">clinicians more time to hone their models of care and more detailed space allowance requirements. </w:t>
      </w:r>
    </w:p>
    <w:p w14:paraId="3BE809C8" w14:textId="77777777" w:rsidR="00D20FB0" w:rsidRPr="00587DF1" w:rsidRDefault="00D20FB0" w:rsidP="00D20FB0">
      <w:pPr>
        <w:rPr>
          <w:rFonts w:ascii="Arial" w:hAnsi="Arial" w:cs="Arial"/>
          <w:color w:val="000000" w:themeColor="text1"/>
        </w:rPr>
      </w:pPr>
      <w:r w:rsidRPr="00587DF1">
        <w:rPr>
          <w:rFonts w:ascii="Arial" w:hAnsi="Arial" w:cs="Arial"/>
          <w:color w:val="000000" w:themeColor="text1"/>
        </w:rPr>
        <w:t>This has enabled the robustness of the building’s shell and core design can be tested against planning requirements and the departmental area requirements.</w:t>
      </w:r>
    </w:p>
    <w:p w14:paraId="4FCC0F07" w14:textId="4D374C76" w:rsidR="00D20FB0" w:rsidRPr="00587DF1" w:rsidRDefault="00D20FB0" w:rsidP="00D20FB0">
      <w:pPr>
        <w:rPr>
          <w:rFonts w:ascii="Arial" w:eastAsia="Arial" w:hAnsi="Arial" w:cs="Arial"/>
          <w:bCs/>
          <w:color w:val="000000"/>
        </w:rPr>
      </w:pPr>
      <w:r w:rsidRPr="00587DF1">
        <w:rPr>
          <w:rFonts w:ascii="Arial" w:eastAsia="Arial" w:hAnsi="Arial" w:cs="Arial"/>
          <w:bCs/>
          <w:color w:val="000000"/>
        </w:rPr>
        <w:t>The schedule of accommodation and ‘test to fit’ designs are included in Appendi</w:t>
      </w:r>
      <w:r w:rsidR="004424A6">
        <w:rPr>
          <w:rFonts w:ascii="Arial" w:eastAsia="Arial" w:hAnsi="Arial" w:cs="Arial"/>
          <w:bCs/>
          <w:color w:val="000000"/>
        </w:rPr>
        <w:t>ces 5E and 5F</w:t>
      </w:r>
      <w:r w:rsidRPr="00587DF1">
        <w:rPr>
          <w:rFonts w:ascii="Arial" w:eastAsia="Arial" w:hAnsi="Arial" w:cs="Arial"/>
          <w:bCs/>
          <w:color w:val="000000"/>
        </w:rPr>
        <w:t>.</w:t>
      </w:r>
    </w:p>
    <w:p w14:paraId="6269636C" w14:textId="77777777" w:rsidR="005B7B37" w:rsidRPr="00587DF1" w:rsidRDefault="005B7B37" w:rsidP="004A7E6A">
      <w:pPr>
        <w:rPr>
          <w:rFonts w:ascii="Arial" w:eastAsia="Arial" w:hAnsi="Arial" w:cs="Arial"/>
          <w:b/>
          <w:color w:val="000000"/>
        </w:rPr>
      </w:pPr>
      <w:r w:rsidRPr="00587DF1">
        <w:rPr>
          <w:rFonts w:ascii="Arial" w:eastAsia="Arial" w:hAnsi="Arial" w:cs="Arial"/>
          <w:b/>
          <w:color w:val="000000"/>
        </w:rPr>
        <w:t>Health planning involvement</w:t>
      </w:r>
    </w:p>
    <w:p w14:paraId="3482822B" w14:textId="58B9BE22" w:rsidR="005B7B37" w:rsidRPr="00587DF1" w:rsidRDefault="005B7B37" w:rsidP="004A7E6A">
      <w:pPr>
        <w:rPr>
          <w:rFonts w:ascii="Arial" w:eastAsia="Arial" w:hAnsi="Arial" w:cs="Arial"/>
          <w:bCs/>
          <w:color w:val="000000"/>
        </w:rPr>
      </w:pPr>
      <w:r w:rsidRPr="00587DF1">
        <w:rPr>
          <w:rFonts w:ascii="Arial" w:eastAsia="Arial" w:hAnsi="Arial" w:cs="Arial"/>
          <w:bCs/>
          <w:color w:val="000000"/>
        </w:rPr>
        <w:t>The trust appointed Essentia Trading Ltd to undertake the health planning role to develop the schedule of accommodation (SoA) with clinical teams. This role is being re-procured to provide ongoing support and challenge during the Stage 2 &amp; 3 design process, to ensure they provide appropriate facilities and patient flow. This health planner will support the user groups to ensure the design aligns with departmental and patient requirements.</w:t>
      </w:r>
    </w:p>
    <w:p w14:paraId="0DC885B1" w14:textId="77777777" w:rsidR="004A7E6A" w:rsidRPr="00587DF1" w:rsidRDefault="004A7E6A" w:rsidP="004A7E6A">
      <w:pPr>
        <w:spacing w:after="0"/>
        <w:rPr>
          <w:rFonts w:ascii="Arial" w:hAnsi="Arial" w:cs="Arial"/>
        </w:rPr>
      </w:pPr>
    </w:p>
    <w:p w14:paraId="60BD7EC9" w14:textId="77777777" w:rsidR="00CC30F4" w:rsidRPr="00587DF1" w:rsidRDefault="004A7E6A" w:rsidP="00C8221A">
      <w:pPr>
        <w:pBdr>
          <w:top w:val="nil"/>
          <w:left w:val="nil"/>
          <w:bottom w:val="nil"/>
          <w:right w:val="nil"/>
          <w:between w:val="nil"/>
        </w:pBdr>
        <w:tabs>
          <w:tab w:val="left" w:pos="567"/>
        </w:tabs>
        <w:rPr>
          <w:rFonts w:ascii="Arial" w:eastAsia="Arial" w:hAnsi="Arial" w:cs="Arial"/>
          <w:b/>
          <w:sz w:val="28"/>
          <w:szCs w:val="28"/>
        </w:rPr>
      </w:pPr>
      <w:r w:rsidRPr="00587DF1">
        <w:rPr>
          <w:rFonts w:ascii="Arial" w:eastAsia="Arial" w:hAnsi="Arial" w:cs="Arial"/>
        </w:rPr>
        <w:br w:type="page"/>
      </w:r>
      <w:bookmarkEnd w:id="218"/>
    </w:p>
    <w:p w14:paraId="60B5DAA8" w14:textId="77777777" w:rsidR="00F5301A" w:rsidRPr="00587DF1" w:rsidRDefault="00F5301A" w:rsidP="005E0D57">
      <w:pPr>
        <w:pStyle w:val="ListParagraph"/>
        <w:keepNext/>
        <w:keepLines/>
        <w:numPr>
          <w:ilvl w:val="0"/>
          <w:numId w:val="39"/>
        </w:numPr>
        <w:spacing w:after="0" w:line="240" w:lineRule="auto"/>
        <w:ind w:hanging="720"/>
        <w:contextualSpacing w:val="0"/>
        <w:outlineLvl w:val="0"/>
        <w:rPr>
          <w:rFonts w:ascii="Arial" w:eastAsia="Arial" w:hAnsi="Arial" w:cs="Arial"/>
          <w:b/>
          <w:vanish/>
          <w:sz w:val="28"/>
          <w:szCs w:val="28"/>
        </w:rPr>
      </w:pPr>
      <w:bookmarkStart w:id="254" w:name="_Toc25080217"/>
      <w:bookmarkStart w:id="255" w:name="_Toc26429982"/>
      <w:bookmarkStart w:id="256" w:name="_Toc27129295"/>
      <w:bookmarkStart w:id="257" w:name="_Toc27746692"/>
      <w:bookmarkStart w:id="258" w:name="_Toc30073746"/>
      <w:bookmarkStart w:id="259" w:name="_Toc30168757"/>
      <w:bookmarkStart w:id="260" w:name="_Toc30670695"/>
      <w:bookmarkStart w:id="261" w:name="_Toc32842726"/>
      <w:bookmarkEnd w:id="254"/>
      <w:bookmarkEnd w:id="255"/>
      <w:bookmarkEnd w:id="256"/>
      <w:bookmarkEnd w:id="257"/>
      <w:bookmarkEnd w:id="258"/>
      <w:bookmarkEnd w:id="259"/>
      <w:bookmarkEnd w:id="260"/>
      <w:bookmarkEnd w:id="261"/>
    </w:p>
    <w:p w14:paraId="3B923F9D" w14:textId="77777777" w:rsidR="00F5301A" w:rsidRPr="00587DF1" w:rsidRDefault="00F5301A" w:rsidP="005E0D57">
      <w:pPr>
        <w:pStyle w:val="ListParagraph"/>
        <w:keepNext/>
        <w:keepLines/>
        <w:numPr>
          <w:ilvl w:val="0"/>
          <w:numId w:val="39"/>
        </w:numPr>
        <w:spacing w:after="0" w:line="240" w:lineRule="auto"/>
        <w:ind w:hanging="720"/>
        <w:contextualSpacing w:val="0"/>
        <w:outlineLvl w:val="0"/>
        <w:rPr>
          <w:rFonts w:ascii="Arial" w:eastAsia="Arial" w:hAnsi="Arial" w:cs="Arial"/>
          <w:b/>
          <w:vanish/>
          <w:sz w:val="28"/>
          <w:szCs w:val="28"/>
        </w:rPr>
      </w:pPr>
      <w:bookmarkStart w:id="262" w:name="_Toc25080218"/>
      <w:bookmarkStart w:id="263" w:name="_Toc26429983"/>
      <w:bookmarkStart w:id="264" w:name="_Toc27129296"/>
      <w:bookmarkStart w:id="265" w:name="_Toc27746693"/>
      <w:bookmarkStart w:id="266" w:name="_Toc30073747"/>
      <w:bookmarkStart w:id="267" w:name="_Toc30168758"/>
      <w:bookmarkStart w:id="268" w:name="_Toc30670696"/>
      <w:bookmarkStart w:id="269" w:name="_Toc32842727"/>
      <w:bookmarkEnd w:id="262"/>
      <w:bookmarkEnd w:id="263"/>
      <w:bookmarkEnd w:id="264"/>
      <w:bookmarkEnd w:id="265"/>
      <w:bookmarkEnd w:id="266"/>
      <w:bookmarkEnd w:id="267"/>
      <w:bookmarkEnd w:id="268"/>
      <w:bookmarkEnd w:id="269"/>
    </w:p>
    <w:p w14:paraId="749F490B" w14:textId="77777777" w:rsidR="00F5301A" w:rsidRPr="00587DF1" w:rsidRDefault="00F5301A" w:rsidP="005E0D57">
      <w:pPr>
        <w:pStyle w:val="ListParagraph"/>
        <w:keepNext/>
        <w:keepLines/>
        <w:numPr>
          <w:ilvl w:val="0"/>
          <w:numId w:val="39"/>
        </w:numPr>
        <w:spacing w:after="0" w:line="240" w:lineRule="auto"/>
        <w:ind w:hanging="720"/>
        <w:contextualSpacing w:val="0"/>
        <w:outlineLvl w:val="0"/>
        <w:rPr>
          <w:rFonts w:ascii="Arial" w:eastAsia="Arial" w:hAnsi="Arial" w:cs="Arial"/>
          <w:b/>
          <w:vanish/>
          <w:sz w:val="28"/>
          <w:szCs w:val="28"/>
        </w:rPr>
      </w:pPr>
      <w:bookmarkStart w:id="270" w:name="_Toc25080219"/>
      <w:bookmarkStart w:id="271" w:name="_Toc26429984"/>
      <w:bookmarkStart w:id="272" w:name="_Toc27129297"/>
      <w:bookmarkStart w:id="273" w:name="_Toc27746694"/>
      <w:bookmarkStart w:id="274" w:name="_Toc30073748"/>
      <w:bookmarkStart w:id="275" w:name="_Toc30168759"/>
      <w:bookmarkStart w:id="276" w:name="_Toc30670697"/>
      <w:bookmarkStart w:id="277" w:name="_Toc32842728"/>
      <w:bookmarkEnd w:id="270"/>
      <w:bookmarkEnd w:id="271"/>
      <w:bookmarkEnd w:id="272"/>
      <w:bookmarkEnd w:id="273"/>
      <w:bookmarkEnd w:id="274"/>
      <w:bookmarkEnd w:id="275"/>
      <w:bookmarkEnd w:id="276"/>
      <w:bookmarkEnd w:id="277"/>
    </w:p>
    <w:p w14:paraId="4FC7D3BE" w14:textId="22B5FADA" w:rsidR="00CC30F4" w:rsidRDefault="00CC30F4" w:rsidP="005E0D57">
      <w:pPr>
        <w:pStyle w:val="Heading1"/>
        <w:numPr>
          <w:ilvl w:val="0"/>
          <w:numId w:val="1"/>
        </w:numPr>
        <w:ind w:hanging="720"/>
        <w:rPr>
          <w:rFonts w:ascii="Arial" w:eastAsia="Arial" w:hAnsi="Arial" w:cs="Arial"/>
        </w:rPr>
      </w:pPr>
      <w:r w:rsidRPr="00587DF1">
        <w:rPr>
          <w:rFonts w:ascii="Arial" w:eastAsia="Arial" w:hAnsi="Arial" w:cs="Arial"/>
        </w:rPr>
        <w:t xml:space="preserve"> </w:t>
      </w:r>
      <w:bookmarkStart w:id="278" w:name="_Ref27148249"/>
      <w:bookmarkStart w:id="279" w:name="_Toc32842729"/>
      <w:r w:rsidRPr="00587DF1">
        <w:rPr>
          <w:rFonts w:ascii="Arial" w:eastAsia="Arial" w:hAnsi="Arial" w:cs="Arial"/>
        </w:rPr>
        <w:t>Finance case</w:t>
      </w:r>
      <w:bookmarkEnd w:id="278"/>
      <w:bookmarkEnd w:id="279"/>
    </w:p>
    <w:p w14:paraId="3A654B7F" w14:textId="77777777" w:rsidR="005E30EF" w:rsidRPr="005E30EF" w:rsidRDefault="005E30EF" w:rsidP="005E30EF"/>
    <w:tbl>
      <w:tblPr>
        <w:tblW w:w="0" w:type="auto"/>
        <w:tblLook w:val="04A0" w:firstRow="1" w:lastRow="0" w:firstColumn="1" w:lastColumn="0" w:noHBand="0" w:noVBand="1"/>
      </w:tblPr>
      <w:tblGrid>
        <w:gridCol w:w="9016"/>
      </w:tblGrid>
      <w:tr w:rsidR="005E30EF" w:rsidRPr="00587DF1" w14:paraId="6C678B85" w14:textId="77777777" w:rsidTr="00BE31AE">
        <w:tc>
          <w:tcPr>
            <w:tcW w:w="9016" w:type="dxa"/>
            <w:tcBorders>
              <w:top w:val="single" w:sz="4" w:space="0" w:color="00A09D"/>
              <w:left w:val="single" w:sz="4" w:space="0" w:color="00A09D"/>
              <w:bottom w:val="single" w:sz="4" w:space="0" w:color="00A09D"/>
              <w:right w:val="single" w:sz="4" w:space="0" w:color="00A09D"/>
            </w:tcBorders>
            <w:shd w:val="clear" w:color="auto" w:fill="DEECEF"/>
          </w:tcPr>
          <w:p w14:paraId="704AC9F9" w14:textId="77777777" w:rsidR="005E30EF" w:rsidRPr="00587DF1" w:rsidRDefault="005E30EF" w:rsidP="00B72F95">
            <w:pPr>
              <w:rPr>
                <w:rFonts w:ascii="Arial" w:hAnsi="Arial" w:cs="Arial"/>
                <w:b/>
                <w:bCs/>
                <w:color w:val="00A09D"/>
              </w:rPr>
            </w:pPr>
            <w:r>
              <w:rPr>
                <w:rFonts w:ascii="Arial" w:hAnsi="Arial" w:cs="Arial"/>
                <w:b/>
                <w:bCs/>
                <w:color w:val="00A09D"/>
              </w:rPr>
              <w:t>Finance case</w:t>
            </w:r>
            <w:r w:rsidRPr="00587DF1">
              <w:rPr>
                <w:rFonts w:ascii="Arial" w:hAnsi="Arial" w:cs="Arial"/>
                <w:b/>
                <w:bCs/>
                <w:color w:val="00A09D"/>
              </w:rPr>
              <w:t xml:space="preserve"> – chapter summary</w:t>
            </w:r>
          </w:p>
          <w:p w14:paraId="4C25093F" w14:textId="28B1E4AD" w:rsidR="005E30EF" w:rsidRDefault="005E30EF" w:rsidP="00B72F95">
            <w:pPr>
              <w:spacing w:line="264" w:lineRule="auto"/>
              <w:ind w:right="142"/>
              <w:rPr>
                <w:rFonts w:ascii="Arial" w:hAnsi="Arial" w:cs="Arial"/>
              </w:rPr>
            </w:pPr>
            <w:r>
              <w:rPr>
                <w:rFonts w:ascii="Arial" w:hAnsi="Arial" w:cs="Arial"/>
              </w:rPr>
              <w:t xml:space="preserve">The </w:t>
            </w:r>
            <w:r w:rsidR="00236908">
              <w:rPr>
                <w:rFonts w:ascii="Arial" w:hAnsi="Arial" w:cs="Arial"/>
              </w:rPr>
              <w:t>Economic Case</w:t>
            </w:r>
            <w:r>
              <w:rPr>
                <w:rFonts w:ascii="Arial" w:hAnsi="Arial" w:cs="Arial"/>
              </w:rPr>
              <w:t xml:space="preserve"> described a </w:t>
            </w:r>
            <w:r w:rsidR="000E08B9">
              <w:rPr>
                <w:rFonts w:ascii="Arial" w:hAnsi="Arial" w:cs="Arial"/>
              </w:rPr>
              <w:t>shortlist</w:t>
            </w:r>
            <w:r>
              <w:rPr>
                <w:rFonts w:ascii="Arial" w:hAnsi="Arial" w:cs="Arial"/>
              </w:rPr>
              <w:t xml:space="preserve"> of five options.  The economic appraisal of these options determined that the preferred option is to build a new facility </w:t>
            </w:r>
            <w:r w:rsidR="006E1B58">
              <w:rPr>
                <w:rFonts w:ascii="Arial" w:hAnsi="Arial" w:cs="Arial"/>
              </w:rPr>
              <w:t>at</w:t>
            </w:r>
            <w:r>
              <w:rPr>
                <w:rFonts w:ascii="Arial" w:hAnsi="Arial" w:cs="Arial"/>
              </w:rPr>
              <w:t xml:space="preserve"> St Pancras with an area of 39,500 square metres. The purpose of the </w:t>
            </w:r>
            <w:r w:rsidR="00236908">
              <w:rPr>
                <w:rFonts w:ascii="Arial" w:hAnsi="Arial" w:cs="Arial"/>
              </w:rPr>
              <w:t xml:space="preserve">Finance Case </w:t>
            </w:r>
            <w:r>
              <w:rPr>
                <w:rFonts w:ascii="Arial" w:hAnsi="Arial" w:cs="Arial"/>
              </w:rPr>
              <w:t xml:space="preserve">is to assess the affordability of the preferred option from the perspective of the </w:t>
            </w:r>
            <w:r w:rsidR="00E13043">
              <w:rPr>
                <w:rFonts w:ascii="Arial" w:hAnsi="Arial" w:cs="Arial"/>
              </w:rPr>
              <w:t>t</w:t>
            </w:r>
            <w:r>
              <w:rPr>
                <w:rFonts w:ascii="Arial" w:hAnsi="Arial" w:cs="Arial"/>
              </w:rPr>
              <w:t>rust’s budget.  For this chapter, affordability has been defined as:</w:t>
            </w:r>
          </w:p>
          <w:p w14:paraId="43E08610" w14:textId="79BDC598" w:rsidR="005E30EF" w:rsidRDefault="005E30EF" w:rsidP="00190084">
            <w:pPr>
              <w:pStyle w:val="ListParagraph"/>
              <w:numPr>
                <w:ilvl w:val="0"/>
                <w:numId w:val="97"/>
              </w:numPr>
              <w:spacing w:line="264" w:lineRule="auto"/>
              <w:ind w:right="142"/>
              <w:rPr>
                <w:rFonts w:ascii="Arial" w:hAnsi="Arial" w:cs="Arial"/>
              </w:rPr>
            </w:pPr>
            <w:r>
              <w:rPr>
                <w:rFonts w:ascii="Arial" w:hAnsi="Arial" w:cs="Arial"/>
              </w:rPr>
              <w:t>Cash balances above £5m in every year</w:t>
            </w:r>
            <w:r w:rsidR="006E1B58">
              <w:rPr>
                <w:rFonts w:ascii="Arial" w:hAnsi="Arial" w:cs="Arial"/>
              </w:rPr>
              <w:t>.</w:t>
            </w:r>
          </w:p>
          <w:p w14:paraId="1783E350" w14:textId="00525F52" w:rsidR="005E30EF" w:rsidRDefault="005E30EF" w:rsidP="00190084">
            <w:pPr>
              <w:pStyle w:val="ListParagraph"/>
              <w:numPr>
                <w:ilvl w:val="0"/>
                <w:numId w:val="97"/>
              </w:numPr>
              <w:spacing w:line="264" w:lineRule="auto"/>
              <w:ind w:right="142"/>
              <w:rPr>
                <w:rFonts w:ascii="Arial" w:hAnsi="Arial" w:cs="Arial"/>
              </w:rPr>
            </w:pPr>
            <w:r>
              <w:rPr>
                <w:rFonts w:ascii="Arial" w:hAnsi="Arial" w:cs="Arial"/>
              </w:rPr>
              <w:t>Underlying surpluses (which excludes non-recurrent costs e.g. relating to the transition to the new site) in every year</w:t>
            </w:r>
            <w:r w:rsidR="006E1B58">
              <w:rPr>
                <w:rFonts w:ascii="Arial" w:hAnsi="Arial" w:cs="Arial"/>
              </w:rPr>
              <w:t>.</w:t>
            </w:r>
          </w:p>
          <w:p w14:paraId="39B44330" w14:textId="51C973CC" w:rsidR="005E30EF" w:rsidRDefault="005E30EF" w:rsidP="00190084">
            <w:pPr>
              <w:pStyle w:val="ListParagraph"/>
              <w:numPr>
                <w:ilvl w:val="0"/>
                <w:numId w:val="97"/>
              </w:numPr>
              <w:spacing w:line="264" w:lineRule="auto"/>
              <w:ind w:right="142"/>
              <w:rPr>
                <w:rFonts w:ascii="Arial" w:hAnsi="Arial" w:cs="Arial"/>
              </w:rPr>
            </w:pPr>
            <w:r>
              <w:rPr>
                <w:rFonts w:ascii="Arial" w:hAnsi="Arial" w:cs="Arial"/>
              </w:rPr>
              <w:t>Adjusted surplus (t</w:t>
            </w:r>
            <w:r w:rsidR="00A9001E">
              <w:rPr>
                <w:rFonts w:ascii="Arial" w:hAnsi="Arial" w:cs="Arial"/>
              </w:rPr>
              <w:t>he measure used by NHSI) by FY29</w:t>
            </w:r>
            <w:r w:rsidR="006E1B58">
              <w:rPr>
                <w:rFonts w:ascii="Arial" w:hAnsi="Arial" w:cs="Arial"/>
              </w:rPr>
              <w:t>.</w:t>
            </w:r>
          </w:p>
          <w:p w14:paraId="53825B15" w14:textId="1A794D61" w:rsidR="005E30EF" w:rsidRDefault="005E30EF" w:rsidP="00B72F95">
            <w:pPr>
              <w:spacing w:line="264" w:lineRule="auto"/>
              <w:ind w:right="142"/>
              <w:rPr>
                <w:rFonts w:ascii="Arial" w:hAnsi="Arial" w:cs="Arial"/>
              </w:rPr>
            </w:pPr>
            <w:r>
              <w:rPr>
                <w:rFonts w:ascii="Arial" w:hAnsi="Arial" w:cs="Arial"/>
              </w:rPr>
              <w:t>The conclusion of the chapter is that the preferred option is considered to be affordable, including in a downside scenario.</w:t>
            </w:r>
          </w:p>
          <w:p w14:paraId="59F667EF" w14:textId="7FABB913" w:rsidR="006E1B58" w:rsidRPr="00677EB2" w:rsidRDefault="006E1B58" w:rsidP="006E1B58">
            <w:pPr>
              <w:pBdr>
                <w:top w:val="nil"/>
                <w:left w:val="nil"/>
                <w:bottom w:val="nil"/>
                <w:right w:val="nil"/>
                <w:between w:val="nil"/>
              </w:pBdr>
              <w:tabs>
                <w:tab w:val="left" w:pos="567"/>
              </w:tabs>
              <w:rPr>
                <w:rFonts w:ascii="Arial" w:hAnsi="Arial" w:cs="Arial"/>
              </w:rPr>
            </w:pPr>
            <w:r>
              <w:rPr>
                <w:rFonts w:ascii="Arial" w:hAnsi="Arial" w:cs="Arial"/>
              </w:rPr>
              <w:t xml:space="preserve">The </w:t>
            </w:r>
            <w:r w:rsidR="00236908">
              <w:rPr>
                <w:rFonts w:ascii="Arial" w:hAnsi="Arial" w:cs="Arial"/>
              </w:rPr>
              <w:t xml:space="preserve">Finance Case </w:t>
            </w:r>
            <w:r>
              <w:rPr>
                <w:rFonts w:ascii="Arial" w:hAnsi="Arial" w:cs="Arial"/>
              </w:rPr>
              <w:t>sets out:</w:t>
            </w:r>
          </w:p>
          <w:p w14:paraId="2397C8DC" w14:textId="10C71A78" w:rsidR="006E1B58" w:rsidRDefault="006E1B58" w:rsidP="00190084">
            <w:pPr>
              <w:pStyle w:val="ListParagraph"/>
              <w:numPr>
                <w:ilvl w:val="0"/>
                <w:numId w:val="114"/>
              </w:numPr>
              <w:pBdr>
                <w:top w:val="nil"/>
                <w:left w:val="nil"/>
                <w:bottom w:val="nil"/>
                <w:right w:val="nil"/>
                <w:between w:val="nil"/>
              </w:pBdr>
              <w:tabs>
                <w:tab w:val="left" w:pos="567"/>
              </w:tabs>
              <w:ind w:left="567" w:hanging="207"/>
              <w:rPr>
                <w:rFonts w:ascii="Arial" w:eastAsia="Arial" w:hAnsi="Arial" w:cs="Arial"/>
                <w:bCs/>
                <w:color w:val="000000"/>
              </w:rPr>
            </w:pPr>
            <w:r>
              <w:rPr>
                <w:rFonts w:ascii="Arial" w:eastAsia="Arial" w:hAnsi="Arial" w:cs="Arial"/>
                <w:bCs/>
                <w:color w:val="000000"/>
              </w:rPr>
              <w:t>Key principles and assumptions und</w:t>
            </w:r>
            <w:r w:rsidR="00D12C60">
              <w:rPr>
                <w:rFonts w:ascii="Arial" w:eastAsia="Arial" w:hAnsi="Arial" w:cs="Arial"/>
                <w:bCs/>
                <w:color w:val="000000"/>
              </w:rPr>
              <w:t>erpinning the financial model (S</w:t>
            </w:r>
            <w:r>
              <w:rPr>
                <w:rFonts w:ascii="Arial" w:eastAsia="Arial" w:hAnsi="Arial" w:cs="Arial"/>
                <w:bCs/>
                <w:color w:val="000000"/>
              </w:rPr>
              <w:t xml:space="preserve">ection </w:t>
            </w:r>
            <w:r>
              <w:rPr>
                <w:rFonts w:ascii="Arial" w:eastAsia="Arial" w:hAnsi="Arial" w:cs="Arial"/>
                <w:bCs/>
                <w:color w:val="000000"/>
              </w:rPr>
              <w:fldChar w:fldCharType="begin"/>
            </w:r>
            <w:r>
              <w:rPr>
                <w:rFonts w:ascii="Arial" w:eastAsia="Arial" w:hAnsi="Arial" w:cs="Arial"/>
                <w:bCs/>
                <w:color w:val="000000"/>
              </w:rPr>
              <w:instrText xml:space="preserve"> REF _Ref30429671 \r \h </w:instrText>
            </w:r>
            <w:r>
              <w:rPr>
                <w:rFonts w:ascii="Arial" w:eastAsia="Arial" w:hAnsi="Arial" w:cs="Arial"/>
                <w:bCs/>
                <w:color w:val="000000"/>
              </w:rPr>
            </w:r>
            <w:r>
              <w:rPr>
                <w:rFonts w:ascii="Arial" w:eastAsia="Arial" w:hAnsi="Arial" w:cs="Arial"/>
                <w:bCs/>
                <w:color w:val="000000"/>
              </w:rPr>
              <w:fldChar w:fldCharType="separate"/>
            </w:r>
            <w:r w:rsidR="00A936CD">
              <w:rPr>
                <w:rFonts w:ascii="Arial" w:eastAsia="Arial" w:hAnsi="Arial" w:cs="Arial"/>
                <w:bCs/>
                <w:color w:val="000000"/>
              </w:rPr>
              <w:t>6.1</w:t>
            </w:r>
            <w:r>
              <w:rPr>
                <w:rFonts w:ascii="Arial" w:eastAsia="Arial" w:hAnsi="Arial" w:cs="Arial"/>
                <w:bCs/>
                <w:color w:val="000000"/>
              </w:rPr>
              <w:fldChar w:fldCharType="end"/>
            </w:r>
            <w:r>
              <w:rPr>
                <w:rFonts w:ascii="Arial" w:eastAsia="Arial" w:hAnsi="Arial" w:cs="Arial"/>
                <w:bCs/>
                <w:color w:val="000000"/>
              </w:rPr>
              <w:t>).</w:t>
            </w:r>
          </w:p>
          <w:p w14:paraId="5CFE2493" w14:textId="14529A1A" w:rsidR="006E1B58" w:rsidRPr="00B167BD" w:rsidRDefault="006E1B58" w:rsidP="00190084">
            <w:pPr>
              <w:pStyle w:val="ListParagraph"/>
              <w:numPr>
                <w:ilvl w:val="0"/>
                <w:numId w:val="114"/>
              </w:numPr>
              <w:pBdr>
                <w:top w:val="nil"/>
                <w:left w:val="nil"/>
                <w:bottom w:val="nil"/>
                <w:right w:val="nil"/>
                <w:between w:val="nil"/>
              </w:pBdr>
              <w:tabs>
                <w:tab w:val="left" w:pos="567"/>
              </w:tabs>
              <w:ind w:left="567" w:hanging="207"/>
              <w:rPr>
                <w:rFonts w:ascii="Arial" w:eastAsia="Arial" w:hAnsi="Arial" w:cs="Arial"/>
                <w:bCs/>
                <w:color w:val="000000"/>
              </w:rPr>
            </w:pPr>
            <w:r>
              <w:rPr>
                <w:rFonts w:ascii="Arial" w:eastAsia="Arial" w:hAnsi="Arial" w:cs="Arial"/>
                <w:bCs/>
                <w:color w:val="000000"/>
              </w:rPr>
              <w:t>T</w:t>
            </w:r>
            <w:r w:rsidRPr="00B167BD">
              <w:rPr>
                <w:rFonts w:ascii="Arial" w:eastAsia="Arial" w:hAnsi="Arial" w:cs="Arial"/>
                <w:bCs/>
                <w:color w:val="000000"/>
              </w:rPr>
              <w:t xml:space="preserve">he current and historical financial performance of the </w:t>
            </w:r>
            <w:r>
              <w:rPr>
                <w:rFonts w:ascii="Arial" w:eastAsia="Arial" w:hAnsi="Arial" w:cs="Arial"/>
                <w:bCs/>
                <w:color w:val="000000"/>
              </w:rPr>
              <w:t>t</w:t>
            </w:r>
            <w:r w:rsidRPr="00B167BD">
              <w:rPr>
                <w:rFonts w:ascii="Arial" w:eastAsia="Arial" w:hAnsi="Arial" w:cs="Arial"/>
                <w:bCs/>
                <w:color w:val="000000"/>
              </w:rPr>
              <w:t>rust to give the context for the long term forecasts and assumptions used</w:t>
            </w:r>
            <w:r w:rsidR="00D12C60">
              <w:rPr>
                <w:rFonts w:ascii="Arial" w:eastAsia="Arial" w:hAnsi="Arial" w:cs="Arial"/>
                <w:bCs/>
                <w:color w:val="000000"/>
              </w:rPr>
              <w:t xml:space="preserve"> (S</w:t>
            </w:r>
            <w:r>
              <w:rPr>
                <w:rFonts w:ascii="Arial" w:eastAsia="Arial" w:hAnsi="Arial" w:cs="Arial"/>
                <w:bCs/>
                <w:color w:val="000000"/>
              </w:rPr>
              <w:t xml:space="preserve">ection </w:t>
            </w:r>
            <w:r>
              <w:rPr>
                <w:rFonts w:ascii="Arial" w:eastAsia="Arial" w:hAnsi="Arial" w:cs="Arial"/>
                <w:bCs/>
                <w:color w:val="000000"/>
              </w:rPr>
              <w:fldChar w:fldCharType="begin"/>
            </w:r>
            <w:r>
              <w:rPr>
                <w:rFonts w:ascii="Arial" w:eastAsia="Arial" w:hAnsi="Arial" w:cs="Arial"/>
                <w:bCs/>
                <w:color w:val="000000"/>
              </w:rPr>
              <w:instrText xml:space="preserve"> REF _Ref30429542 \r \h </w:instrText>
            </w:r>
            <w:r>
              <w:rPr>
                <w:rFonts w:ascii="Arial" w:eastAsia="Arial" w:hAnsi="Arial" w:cs="Arial"/>
                <w:bCs/>
                <w:color w:val="000000"/>
              </w:rPr>
            </w:r>
            <w:r>
              <w:rPr>
                <w:rFonts w:ascii="Arial" w:eastAsia="Arial" w:hAnsi="Arial" w:cs="Arial"/>
                <w:bCs/>
                <w:color w:val="000000"/>
              </w:rPr>
              <w:fldChar w:fldCharType="separate"/>
            </w:r>
            <w:r w:rsidR="00A936CD">
              <w:rPr>
                <w:rFonts w:ascii="Arial" w:eastAsia="Arial" w:hAnsi="Arial" w:cs="Arial"/>
                <w:bCs/>
                <w:color w:val="000000"/>
              </w:rPr>
              <w:t>6.2</w:t>
            </w:r>
            <w:r>
              <w:rPr>
                <w:rFonts w:ascii="Arial" w:eastAsia="Arial" w:hAnsi="Arial" w:cs="Arial"/>
                <w:bCs/>
                <w:color w:val="000000"/>
              </w:rPr>
              <w:fldChar w:fldCharType="end"/>
            </w:r>
            <w:r>
              <w:rPr>
                <w:rFonts w:ascii="Arial" w:eastAsia="Arial" w:hAnsi="Arial" w:cs="Arial"/>
                <w:bCs/>
                <w:color w:val="000000"/>
              </w:rPr>
              <w:t>)</w:t>
            </w:r>
            <w:r w:rsidRPr="00B167BD">
              <w:rPr>
                <w:rFonts w:ascii="Arial" w:eastAsia="Arial" w:hAnsi="Arial" w:cs="Arial"/>
                <w:bCs/>
                <w:color w:val="000000"/>
              </w:rPr>
              <w:t>.</w:t>
            </w:r>
          </w:p>
          <w:p w14:paraId="1CCDF2B2" w14:textId="313EA520" w:rsidR="006E1B58" w:rsidRPr="00B167BD" w:rsidRDefault="006E1B58" w:rsidP="00190084">
            <w:pPr>
              <w:pStyle w:val="ListParagraph"/>
              <w:numPr>
                <w:ilvl w:val="0"/>
                <w:numId w:val="114"/>
              </w:numPr>
              <w:pBdr>
                <w:top w:val="nil"/>
                <w:left w:val="nil"/>
                <w:bottom w:val="nil"/>
                <w:right w:val="nil"/>
                <w:between w:val="nil"/>
              </w:pBdr>
              <w:tabs>
                <w:tab w:val="left" w:pos="567"/>
              </w:tabs>
              <w:ind w:left="567" w:hanging="207"/>
              <w:rPr>
                <w:rFonts w:ascii="Arial" w:eastAsia="Arial" w:hAnsi="Arial" w:cs="Arial"/>
                <w:bCs/>
                <w:color w:val="000000"/>
              </w:rPr>
            </w:pPr>
            <w:r>
              <w:rPr>
                <w:rFonts w:ascii="Arial" w:eastAsia="Arial" w:hAnsi="Arial" w:cs="Arial"/>
                <w:bCs/>
                <w:color w:val="000000"/>
              </w:rPr>
              <w:t xml:space="preserve">A summary </w:t>
            </w:r>
            <w:r w:rsidRPr="00B167BD">
              <w:rPr>
                <w:rFonts w:ascii="Arial" w:eastAsia="Arial" w:hAnsi="Arial" w:cs="Arial"/>
                <w:bCs/>
                <w:color w:val="000000"/>
              </w:rPr>
              <w:t>of the revenue and capital forecasts</w:t>
            </w:r>
            <w:r>
              <w:rPr>
                <w:rFonts w:ascii="Arial" w:eastAsia="Arial" w:hAnsi="Arial" w:cs="Arial"/>
                <w:bCs/>
                <w:color w:val="000000"/>
              </w:rPr>
              <w:t>,</w:t>
            </w:r>
            <w:r w:rsidRPr="00B167BD">
              <w:rPr>
                <w:rFonts w:ascii="Arial" w:eastAsia="Arial" w:hAnsi="Arial" w:cs="Arial"/>
                <w:bCs/>
                <w:color w:val="000000"/>
              </w:rPr>
              <w:t xml:space="preserve"> explain</w:t>
            </w:r>
            <w:r>
              <w:rPr>
                <w:rFonts w:ascii="Arial" w:eastAsia="Arial" w:hAnsi="Arial" w:cs="Arial"/>
                <w:bCs/>
                <w:color w:val="000000"/>
              </w:rPr>
              <w:t>ing</w:t>
            </w:r>
            <w:r w:rsidRPr="00B167BD">
              <w:rPr>
                <w:rFonts w:ascii="Arial" w:eastAsia="Arial" w:hAnsi="Arial" w:cs="Arial"/>
                <w:bCs/>
                <w:color w:val="000000"/>
              </w:rPr>
              <w:t xml:space="preserve"> the key assumptions underpinning these</w:t>
            </w:r>
            <w:r w:rsidR="00D12C60">
              <w:rPr>
                <w:rFonts w:ascii="Arial" w:eastAsia="Arial" w:hAnsi="Arial" w:cs="Arial"/>
                <w:bCs/>
                <w:color w:val="000000"/>
              </w:rPr>
              <w:t xml:space="preserve"> (S</w:t>
            </w:r>
            <w:r>
              <w:rPr>
                <w:rFonts w:ascii="Arial" w:eastAsia="Arial" w:hAnsi="Arial" w:cs="Arial"/>
                <w:bCs/>
                <w:color w:val="000000"/>
              </w:rPr>
              <w:t xml:space="preserve">ection </w:t>
            </w:r>
            <w:r w:rsidR="00BD01CC">
              <w:rPr>
                <w:rFonts w:ascii="Arial" w:eastAsia="Arial" w:hAnsi="Arial" w:cs="Arial"/>
                <w:bCs/>
                <w:color w:val="000000"/>
              </w:rPr>
              <w:t>6.3</w:t>
            </w:r>
            <w:r>
              <w:rPr>
                <w:rFonts w:ascii="Arial" w:eastAsia="Arial" w:hAnsi="Arial" w:cs="Arial"/>
                <w:bCs/>
                <w:color w:val="000000"/>
              </w:rPr>
              <w:t>).</w:t>
            </w:r>
          </w:p>
          <w:p w14:paraId="23E46198" w14:textId="078D22D4" w:rsidR="006E1B58" w:rsidRPr="00B167BD" w:rsidRDefault="006E1B58" w:rsidP="00190084">
            <w:pPr>
              <w:pStyle w:val="ListParagraph"/>
              <w:numPr>
                <w:ilvl w:val="0"/>
                <w:numId w:val="114"/>
              </w:numPr>
              <w:pBdr>
                <w:top w:val="nil"/>
                <w:left w:val="nil"/>
                <w:bottom w:val="nil"/>
                <w:right w:val="nil"/>
                <w:between w:val="nil"/>
              </w:pBdr>
              <w:tabs>
                <w:tab w:val="left" w:pos="567"/>
              </w:tabs>
              <w:ind w:left="567" w:hanging="207"/>
              <w:rPr>
                <w:rFonts w:ascii="Arial" w:eastAsia="Arial" w:hAnsi="Arial" w:cs="Arial"/>
                <w:bCs/>
              </w:rPr>
            </w:pPr>
            <w:r>
              <w:rPr>
                <w:rFonts w:ascii="Arial" w:eastAsia="Arial" w:hAnsi="Arial" w:cs="Arial"/>
                <w:bCs/>
              </w:rPr>
              <w:t>T</w:t>
            </w:r>
            <w:r w:rsidRPr="00B167BD">
              <w:rPr>
                <w:rFonts w:ascii="Arial" w:eastAsia="Arial" w:hAnsi="Arial" w:cs="Arial"/>
                <w:bCs/>
              </w:rPr>
              <w:t>he annual summary financial statements for the period under these assumptions</w:t>
            </w:r>
            <w:r w:rsidR="00D12C60">
              <w:rPr>
                <w:rFonts w:ascii="Arial" w:eastAsia="Arial" w:hAnsi="Arial" w:cs="Arial"/>
                <w:bCs/>
              </w:rPr>
              <w:t xml:space="preserve"> (S</w:t>
            </w:r>
            <w:r>
              <w:rPr>
                <w:rFonts w:ascii="Arial" w:eastAsia="Arial" w:hAnsi="Arial" w:cs="Arial"/>
                <w:bCs/>
              </w:rPr>
              <w:t xml:space="preserve">ection </w:t>
            </w:r>
            <w:r w:rsidR="00BD01CC">
              <w:rPr>
                <w:rFonts w:ascii="Arial" w:eastAsia="Arial" w:hAnsi="Arial" w:cs="Arial"/>
                <w:bCs/>
              </w:rPr>
              <w:t>6.4</w:t>
            </w:r>
            <w:r>
              <w:rPr>
                <w:rFonts w:ascii="Arial" w:eastAsia="Arial" w:hAnsi="Arial" w:cs="Arial"/>
                <w:bCs/>
              </w:rPr>
              <w:t>).</w:t>
            </w:r>
          </w:p>
          <w:p w14:paraId="0B80D046" w14:textId="3DCA2C1B" w:rsidR="006E1B58" w:rsidRDefault="006E1B58" w:rsidP="00190084">
            <w:pPr>
              <w:pStyle w:val="ListParagraph"/>
              <w:numPr>
                <w:ilvl w:val="0"/>
                <w:numId w:val="114"/>
              </w:numPr>
              <w:pBdr>
                <w:top w:val="nil"/>
                <w:left w:val="nil"/>
                <w:bottom w:val="nil"/>
                <w:right w:val="nil"/>
                <w:between w:val="nil"/>
              </w:pBdr>
              <w:tabs>
                <w:tab w:val="left" w:pos="567"/>
              </w:tabs>
              <w:ind w:left="567" w:hanging="207"/>
              <w:rPr>
                <w:rFonts w:ascii="Arial" w:eastAsia="Arial" w:hAnsi="Arial" w:cs="Arial"/>
                <w:bCs/>
                <w:color w:val="000000"/>
              </w:rPr>
            </w:pPr>
            <w:r>
              <w:rPr>
                <w:rFonts w:ascii="Arial" w:eastAsia="Arial" w:hAnsi="Arial" w:cs="Arial"/>
                <w:bCs/>
                <w:color w:val="000000"/>
              </w:rPr>
              <w:t>Assessment of t</w:t>
            </w:r>
            <w:r w:rsidRPr="00B167BD">
              <w:rPr>
                <w:rFonts w:ascii="Arial" w:eastAsia="Arial" w:hAnsi="Arial" w:cs="Arial"/>
                <w:bCs/>
                <w:color w:val="000000"/>
              </w:rPr>
              <w:t>he sensitivity of these assumptions by testing them against a downside scenario</w:t>
            </w:r>
            <w:r w:rsidR="00D12C60">
              <w:rPr>
                <w:rFonts w:ascii="Arial" w:eastAsia="Arial" w:hAnsi="Arial" w:cs="Arial"/>
                <w:bCs/>
                <w:color w:val="000000"/>
              </w:rPr>
              <w:t xml:space="preserve"> (S</w:t>
            </w:r>
            <w:r>
              <w:rPr>
                <w:rFonts w:ascii="Arial" w:eastAsia="Arial" w:hAnsi="Arial" w:cs="Arial"/>
                <w:bCs/>
                <w:color w:val="000000"/>
              </w:rPr>
              <w:t xml:space="preserve">ection </w:t>
            </w:r>
            <w:r>
              <w:rPr>
                <w:rFonts w:ascii="Arial" w:eastAsia="Arial" w:hAnsi="Arial" w:cs="Arial"/>
                <w:bCs/>
                <w:color w:val="000000"/>
              </w:rPr>
              <w:fldChar w:fldCharType="begin"/>
            </w:r>
            <w:r>
              <w:rPr>
                <w:rFonts w:ascii="Arial" w:eastAsia="Arial" w:hAnsi="Arial" w:cs="Arial"/>
                <w:bCs/>
                <w:color w:val="000000"/>
              </w:rPr>
              <w:instrText xml:space="preserve"> REF _Ref30429741 \r \h </w:instrText>
            </w:r>
            <w:r>
              <w:rPr>
                <w:rFonts w:ascii="Arial" w:eastAsia="Arial" w:hAnsi="Arial" w:cs="Arial"/>
                <w:bCs/>
                <w:color w:val="000000"/>
              </w:rPr>
            </w:r>
            <w:r>
              <w:rPr>
                <w:rFonts w:ascii="Arial" w:eastAsia="Arial" w:hAnsi="Arial" w:cs="Arial"/>
                <w:bCs/>
                <w:color w:val="000000"/>
              </w:rPr>
              <w:fldChar w:fldCharType="separate"/>
            </w:r>
            <w:r w:rsidR="00A936CD">
              <w:rPr>
                <w:rFonts w:ascii="Arial" w:eastAsia="Arial" w:hAnsi="Arial" w:cs="Arial"/>
                <w:bCs/>
                <w:color w:val="000000"/>
              </w:rPr>
              <w:t>6.5</w:t>
            </w:r>
            <w:r>
              <w:rPr>
                <w:rFonts w:ascii="Arial" w:eastAsia="Arial" w:hAnsi="Arial" w:cs="Arial"/>
                <w:bCs/>
                <w:color w:val="000000"/>
              </w:rPr>
              <w:fldChar w:fldCharType="end"/>
            </w:r>
            <w:r>
              <w:rPr>
                <w:rFonts w:ascii="Arial" w:eastAsia="Arial" w:hAnsi="Arial" w:cs="Arial"/>
                <w:bCs/>
                <w:color w:val="000000"/>
              </w:rPr>
              <w:t>).</w:t>
            </w:r>
          </w:p>
          <w:p w14:paraId="6E77FE88" w14:textId="04CF94D3" w:rsidR="009F6F63" w:rsidRPr="00B167BD" w:rsidRDefault="009F6F63" w:rsidP="00190084">
            <w:pPr>
              <w:pStyle w:val="ListParagraph"/>
              <w:numPr>
                <w:ilvl w:val="0"/>
                <w:numId w:val="114"/>
              </w:numPr>
              <w:pBdr>
                <w:top w:val="nil"/>
                <w:left w:val="nil"/>
                <w:bottom w:val="nil"/>
                <w:right w:val="nil"/>
                <w:between w:val="nil"/>
              </w:pBdr>
              <w:tabs>
                <w:tab w:val="left" w:pos="567"/>
              </w:tabs>
              <w:ind w:left="567" w:hanging="207"/>
              <w:rPr>
                <w:rFonts w:ascii="Arial" w:eastAsia="Arial" w:hAnsi="Arial" w:cs="Arial"/>
                <w:bCs/>
                <w:color w:val="000000"/>
              </w:rPr>
            </w:pPr>
            <w:r>
              <w:rPr>
                <w:rFonts w:ascii="Arial" w:eastAsia="Arial" w:hAnsi="Arial" w:cs="Arial"/>
                <w:bCs/>
                <w:color w:val="000000"/>
              </w:rPr>
              <w:t xml:space="preserve">A review of the incremental impact on the financial forecasts of the preferred option, </w:t>
            </w:r>
            <w:r w:rsidR="00D12C60">
              <w:rPr>
                <w:rFonts w:ascii="Arial" w:eastAsia="Arial" w:hAnsi="Arial" w:cs="Arial"/>
                <w:bCs/>
                <w:color w:val="000000"/>
              </w:rPr>
              <w:t>compared to business as usual (S</w:t>
            </w:r>
            <w:r>
              <w:rPr>
                <w:rFonts w:ascii="Arial" w:eastAsia="Arial" w:hAnsi="Arial" w:cs="Arial"/>
                <w:bCs/>
                <w:color w:val="000000"/>
              </w:rPr>
              <w:t>ection 6.6)</w:t>
            </w:r>
          </w:p>
          <w:p w14:paraId="3A9A4A52" w14:textId="1AE55A91" w:rsidR="006E1B58" w:rsidRPr="006E1B58" w:rsidRDefault="006E1B58" w:rsidP="00190084">
            <w:pPr>
              <w:pStyle w:val="ListParagraph"/>
              <w:numPr>
                <w:ilvl w:val="0"/>
                <w:numId w:val="114"/>
              </w:numPr>
              <w:pBdr>
                <w:top w:val="nil"/>
                <w:left w:val="nil"/>
                <w:bottom w:val="nil"/>
                <w:right w:val="nil"/>
                <w:between w:val="nil"/>
              </w:pBdr>
              <w:tabs>
                <w:tab w:val="left" w:pos="567"/>
              </w:tabs>
              <w:ind w:left="567" w:hanging="207"/>
              <w:rPr>
                <w:rFonts w:ascii="Arial" w:eastAsia="Arial" w:hAnsi="Arial" w:cs="Arial"/>
                <w:bCs/>
                <w:color w:val="000000"/>
              </w:rPr>
            </w:pPr>
            <w:r>
              <w:rPr>
                <w:rFonts w:ascii="Arial" w:eastAsia="Arial" w:hAnsi="Arial" w:cs="Arial"/>
                <w:bCs/>
                <w:color w:val="000000"/>
              </w:rPr>
              <w:t>T</w:t>
            </w:r>
            <w:r w:rsidRPr="00B167BD">
              <w:rPr>
                <w:rFonts w:ascii="Arial" w:eastAsia="Arial" w:hAnsi="Arial" w:cs="Arial"/>
                <w:bCs/>
                <w:color w:val="000000"/>
              </w:rPr>
              <w:t>he overall conclusion of the chapter – that the preferred option is considered affordable</w:t>
            </w:r>
            <w:r w:rsidR="00D12C60">
              <w:rPr>
                <w:rFonts w:ascii="Arial" w:eastAsia="Arial" w:hAnsi="Arial" w:cs="Arial"/>
                <w:bCs/>
                <w:color w:val="000000"/>
              </w:rPr>
              <w:t xml:space="preserve"> (S</w:t>
            </w:r>
            <w:r>
              <w:rPr>
                <w:rFonts w:ascii="Arial" w:eastAsia="Arial" w:hAnsi="Arial" w:cs="Arial"/>
                <w:bCs/>
                <w:color w:val="000000"/>
              </w:rPr>
              <w:t xml:space="preserve">ection </w:t>
            </w:r>
            <w:r w:rsidR="009F6F63">
              <w:rPr>
                <w:rFonts w:ascii="Arial" w:eastAsia="Arial" w:hAnsi="Arial" w:cs="Arial"/>
                <w:bCs/>
                <w:color w:val="000000"/>
              </w:rPr>
              <w:t>6.7</w:t>
            </w:r>
            <w:r>
              <w:rPr>
                <w:rFonts w:ascii="Arial" w:eastAsia="Arial" w:hAnsi="Arial" w:cs="Arial"/>
                <w:bCs/>
                <w:color w:val="000000"/>
              </w:rPr>
              <w:t>).</w:t>
            </w:r>
          </w:p>
          <w:p w14:paraId="4AED1BE1" w14:textId="42FF1A42" w:rsidR="005E30EF" w:rsidRPr="009C09B9" w:rsidRDefault="009C09B9" w:rsidP="00B72F95">
            <w:pPr>
              <w:spacing w:line="264" w:lineRule="auto"/>
              <w:ind w:right="142"/>
              <w:rPr>
                <w:rFonts w:ascii="Arial" w:hAnsi="Arial" w:cs="Arial"/>
                <w:b/>
                <w:i/>
              </w:rPr>
            </w:pPr>
            <w:r w:rsidRPr="009C09B9">
              <w:rPr>
                <w:rFonts w:ascii="Arial" w:hAnsi="Arial" w:cs="Arial"/>
                <w:b/>
                <w:i/>
              </w:rPr>
              <w:t>Key supporting documents</w:t>
            </w:r>
          </w:p>
          <w:p w14:paraId="6E5D72F0" w14:textId="448EC296" w:rsidR="009C09B9" w:rsidRPr="009C09B9" w:rsidRDefault="00064AA9" w:rsidP="004F4B79">
            <w:pPr>
              <w:pStyle w:val="ListParagraph"/>
              <w:numPr>
                <w:ilvl w:val="0"/>
                <w:numId w:val="151"/>
              </w:numPr>
              <w:spacing w:line="264" w:lineRule="auto"/>
              <w:ind w:right="142"/>
              <w:rPr>
                <w:rFonts w:ascii="Arial" w:hAnsi="Arial" w:cs="Arial"/>
                <w:b/>
              </w:rPr>
            </w:pPr>
            <w:r>
              <w:rPr>
                <w:rFonts w:ascii="Arial" w:hAnsi="Arial" w:cs="Arial"/>
                <w:b/>
                <w:i/>
              </w:rPr>
              <w:t>Appendix 6A</w:t>
            </w:r>
            <w:r w:rsidR="004424A6">
              <w:rPr>
                <w:rFonts w:ascii="Arial" w:hAnsi="Arial" w:cs="Arial"/>
                <w:b/>
                <w:i/>
              </w:rPr>
              <w:t xml:space="preserve"> –</w:t>
            </w:r>
            <w:r w:rsidR="009C09B9" w:rsidRPr="009C09B9">
              <w:rPr>
                <w:rFonts w:ascii="Arial" w:hAnsi="Arial" w:cs="Arial"/>
                <w:b/>
                <w:i/>
              </w:rPr>
              <w:t xml:space="preserve"> Year on Year surplus bridge</w:t>
            </w:r>
          </w:p>
          <w:p w14:paraId="2D27A140" w14:textId="77777777" w:rsidR="009C09B9" w:rsidRPr="00880F3B" w:rsidRDefault="009C09B9" w:rsidP="004F4B79">
            <w:pPr>
              <w:pStyle w:val="ListParagraph"/>
              <w:numPr>
                <w:ilvl w:val="0"/>
                <w:numId w:val="151"/>
              </w:numPr>
              <w:spacing w:line="264" w:lineRule="auto"/>
              <w:ind w:right="142"/>
              <w:rPr>
                <w:rFonts w:ascii="Arial" w:hAnsi="Arial" w:cs="Arial"/>
                <w:b/>
              </w:rPr>
            </w:pPr>
            <w:r>
              <w:rPr>
                <w:rFonts w:ascii="Arial" w:hAnsi="Arial" w:cs="Arial"/>
                <w:b/>
                <w:i/>
              </w:rPr>
              <w:t>A</w:t>
            </w:r>
            <w:r w:rsidR="00064AA9">
              <w:rPr>
                <w:rFonts w:ascii="Arial" w:hAnsi="Arial" w:cs="Arial"/>
                <w:b/>
                <w:i/>
              </w:rPr>
              <w:t>ppendix 6B</w:t>
            </w:r>
            <w:r w:rsidR="004424A6">
              <w:rPr>
                <w:rFonts w:ascii="Arial" w:hAnsi="Arial" w:cs="Arial"/>
                <w:b/>
                <w:i/>
              </w:rPr>
              <w:t xml:space="preserve"> –</w:t>
            </w:r>
            <w:r>
              <w:rPr>
                <w:rFonts w:ascii="Arial" w:hAnsi="Arial" w:cs="Arial"/>
                <w:b/>
                <w:i/>
              </w:rPr>
              <w:t xml:space="preserve"> Fundraising strategy and governance</w:t>
            </w:r>
          </w:p>
          <w:p w14:paraId="05536C1F" w14:textId="0C1F9B7E" w:rsidR="00880F3B" w:rsidRPr="009C09B9" w:rsidRDefault="00880F3B" w:rsidP="004F4B79">
            <w:pPr>
              <w:pStyle w:val="ListParagraph"/>
              <w:numPr>
                <w:ilvl w:val="0"/>
                <w:numId w:val="151"/>
              </w:numPr>
              <w:spacing w:line="264" w:lineRule="auto"/>
              <w:ind w:right="142"/>
              <w:rPr>
                <w:rFonts w:ascii="Arial" w:hAnsi="Arial" w:cs="Arial"/>
                <w:b/>
              </w:rPr>
            </w:pPr>
            <w:r>
              <w:rPr>
                <w:rFonts w:ascii="Arial" w:hAnsi="Arial" w:cs="Arial"/>
                <w:b/>
                <w:i/>
              </w:rPr>
              <w:t>Appendix 6C – Long Term Financial Model</w:t>
            </w:r>
          </w:p>
        </w:tc>
      </w:tr>
    </w:tbl>
    <w:p w14:paraId="5B60583D" w14:textId="77777777" w:rsidR="005E30EF" w:rsidRPr="00ED1459" w:rsidRDefault="005E30EF" w:rsidP="00B72F95"/>
    <w:p w14:paraId="1A25FDCB" w14:textId="73795E69" w:rsidR="005E30EF" w:rsidRDefault="005E30EF" w:rsidP="005E0D57">
      <w:pPr>
        <w:pStyle w:val="Heading2"/>
        <w:numPr>
          <w:ilvl w:val="1"/>
          <w:numId w:val="1"/>
        </w:numPr>
        <w:rPr>
          <w:rFonts w:ascii="Arial" w:eastAsia="Arial" w:hAnsi="Arial" w:cs="Arial"/>
        </w:rPr>
      </w:pPr>
      <w:bookmarkStart w:id="280" w:name="_Ref30429671"/>
      <w:bookmarkStart w:id="281" w:name="_Toc32842730"/>
      <w:r>
        <w:rPr>
          <w:rFonts w:ascii="Arial" w:eastAsia="Arial" w:hAnsi="Arial" w:cs="Arial"/>
        </w:rPr>
        <w:t>Key principles</w:t>
      </w:r>
      <w:bookmarkEnd w:id="280"/>
      <w:bookmarkEnd w:id="281"/>
    </w:p>
    <w:p w14:paraId="3E02E059" w14:textId="77777777" w:rsidR="002F4789" w:rsidRPr="002F4789" w:rsidRDefault="002F4789" w:rsidP="006E1B58">
      <w:pPr>
        <w:spacing w:after="0"/>
      </w:pPr>
    </w:p>
    <w:p w14:paraId="3E862239" w14:textId="3B94A0A4" w:rsidR="005E30EF" w:rsidRDefault="005E30EF" w:rsidP="00B72F95">
      <w:pPr>
        <w:pBdr>
          <w:top w:val="nil"/>
          <w:left w:val="nil"/>
          <w:bottom w:val="nil"/>
          <w:right w:val="nil"/>
          <w:between w:val="nil"/>
        </w:pBdr>
        <w:tabs>
          <w:tab w:val="left" w:pos="567"/>
        </w:tabs>
        <w:rPr>
          <w:rFonts w:ascii="Arial" w:eastAsia="Arial" w:hAnsi="Arial" w:cs="Arial"/>
          <w:bCs/>
          <w:color w:val="000000"/>
        </w:rPr>
      </w:pPr>
      <w:r w:rsidRPr="00964E5A">
        <w:rPr>
          <w:rFonts w:ascii="Arial" w:eastAsia="Arial" w:hAnsi="Arial" w:cs="Arial"/>
          <w:bCs/>
          <w:color w:val="000000"/>
        </w:rPr>
        <w:t>The</w:t>
      </w:r>
      <w:r>
        <w:rPr>
          <w:rFonts w:ascii="Arial" w:eastAsia="Arial" w:hAnsi="Arial" w:cs="Arial"/>
          <w:bCs/>
          <w:color w:val="000000"/>
        </w:rPr>
        <w:t xml:space="preserve"> </w:t>
      </w:r>
      <w:r w:rsidR="006E1B58">
        <w:rPr>
          <w:rFonts w:ascii="Arial" w:eastAsia="Arial" w:hAnsi="Arial" w:cs="Arial"/>
          <w:bCs/>
          <w:color w:val="000000"/>
        </w:rPr>
        <w:t>t</w:t>
      </w:r>
      <w:r>
        <w:rPr>
          <w:rFonts w:ascii="Arial" w:eastAsia="Arial" w:hAnsi="Arial" w:cs="Arial"/>
          <w:bCs/>
          <w:color w:val="000000"/>
        </w:rPr>
        <w:t>rust has developed a Long Term Financial Model (LTFM) to assess the affordability of the preferred option as identified in the Economic Case.</w:t>
      </w:r>
    </w:p>
    <w:p w14:paraId="1A1B9EB1" w14:textId="6412EFDE" w:rsidR="005E30EF" w:rsidRDefault="005E30EF" w:rsidP="00B72F95">
      <w:p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lastRenderedPageBreak/>
        <w:t>The baseline of the LTFM is the 2019/20 Financ</w:t>
      </w:r>
      <w:r w:rsidR="00A9001E">
        <w:rPr>
          <w:rFonts w:ascii="Arial" w:eastAsia="Arial" w:hAnsi="Arial" w:cs="Arial"/>
          <w:bCs/>
          <w:color w:val="000000"/>
        </w:rPr>
        <w:t>ial Year (FY20).</w:t>
      </w:r>
      <w:r>
        <w:rPr>
          <w:rFonts w:ascii="Arial" w:eastAsia="Arial" w:hAnsi="Arial" w:cs="Arial"/>
          <w:bCs/>
          <w:color w:val="000000"/>
        </w:rPr>
        <w:t xml:space="preserve"> The LTFM</w:t>
      </w:r>
      <w:r w:rsidR="00A9001E">
        <w:rPr>
          <w:rFonts w:ascii="Arial" w:eastAsia="Arial" w:hAnsi="Arial" w:cs="Arial"/>
          <w:bCs/>
          <w:color w:val="000000"/>
        </w:rPr>
        <w:t xml:space="preserve"> forecast years are FY21 to FY29</w:t>
      </w:r>
      <w:r>
        <w:rPr>
          <w:rFonts w:ascii="Arial" w:eastAsia="Arial" w:hAnsi="Arial" w:cs="Arial"/>
          <w:bCs/>
          <w:color w:val="000000"/>
        </w:rPr>
        <w:t xml:space="preserve">, which covers </w:t>
      </w:r>
      <w:r w:rsidR="00A9001E">
        <w:rPr>
          <w:rFonts w:ascii="Arial" w:eastAsia="Arial" w:hAnsi="Arial" w:cs="Arial"/>
          <w:bCs/>
          <w:color w:val="000000"/>
        </w:rPr>
        <w:t>two</w:t>
      </w:r>
      <w:r>
        <w:rPr>
          <w:rFonts w:ascii="Arial" w:eastAsia="Arial" w:hAnsi="Arial" w:cs="Arial"/>
          <w:bCs/>
          <w:color w:val="000000"/>
        </w:rPr>
        <w:t xml:space="preserve"> full years after the opening of the new </w:t>
      </w:r>
      <w:r w:rsidR="006E1B58">
        <w:rPr>
          <w:rFonts w:ascii="Arial" w:eastAsia="Arial" w:hAnsi="Arial" w:cs="Arial"/>
          <w:bCs/>
          <w:color w:val="000000"/>
        </w:rPr>
        <w:t>centre</w:t>
      </w:r>
      <w:r>
        <w:rPr>
          <w:rFonts w:ascii="Arial" w:eastAsia="Arial" w:hAnsi="Arial" w:cs="Arial"/>
          <w:bCs/>
          <w:color w:val="000000"/>
        </w:rPr>
        <w:t>.</w:t>
      </w:r>
    </w:p>
    <w:p w14:paraId="30A3A313" w14:textId="1866139D" w:rsidR="005E30EF" w:rsidRDefault="005E30EF" w:rsidP="00B72F95">
      <w:p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 xml:space="preserve">Forecast financial information is presented in undiscounted nominal terms, to reflect the current forecast of how this information would be presented in the </w:t>
      </w:r>
      <w:r w:rsidR="006E1B58">
        <w:rPr>
          <w:rFonts w:ascii="Arial" w:eastAsia="Arial" w:hAnsi="Arial" w:cs="Arial"/>
          <w:bCs/>
          <w:color w:val="000000"/>
        </w:rPr>
        <w:t>t</w:t>
      </w:r>
      <w:r>
        <w:rPr>
          <w:rFonts w:ascii="Arial" w:eastAsia="Arial" w:hAnsi="Arial" w:cs="Arial"/>
          <w:bCs/>
          <w:color w:val="000000"/>
        </w:rPr>
        <w:t xml:space="preserve">rust’s financial statements in these years.  These are prepared on the basis of International Financial Reporting Standard (IFRS).  Note that IFRS 16 (which relates to the inclusion of operating leases in the Statement of Financial Position) is adopted by the NHS from FY21 and is therefore not reflected in the modelling at this stage.  This, along with any other known changes to accounting standards at the time, </w:t>
      </w:r>
      <w:r w:rsidR="006E1B58">
        <w:rPr>
          <w:rFonts w:ascii="Arial" w:eastAsia="Arial" w:hAnsi="Arial" w:cs="Arial"/>
          <w:bCs/>
          <w:color w:val="000000"/>
        </w:rPr>
        <w:t xml:space="preserve">will </w:t>
      </w:r>
      <w:r>
        <w:rPr>
          <w:rFonts w:ascii="Arial" w:eastAsia="Arial" w:hAnsi="Arial" w:cs="Arial"/>
          <w:bCs/>
          <w:color w:val="000000"/>
        </w:rPr>
        <w:t xml:space="preserve">be reflected in </w:t>
      </w:r>
      <w:r w:rsidR="006E1B58">
        <w:rPr>
          <w:rFonts w:ascii="Arial" w:eastAsia="Arial" w:hAnsi="Arial" w:cs="Arial"/>
          <w:bCs/>
          <w:color w:val="000000"/>
        </w:rPr>
        <w:t>the FBC</w:t>
      </w:r>
      <w:r>
        <w:rPr>
          <w:rFonts w:ascii="Arial" w:eastAsia="Arial" w:hAnsi="Arial" w:cs="Arial"/>
          <w:bCs/>
          <w:color w:val="000000"/>
        </w:rPr>
        <w:t xml:space="preserve">.  </w:t>
      </w:r>
    </w:p>
    <w:p w14:paraId="10B3E147" w14:textId="555A2375" w:rsidR="005E30EF" w:rsidRDefault="002174A9" w:rsidP="00B72F95">
      <w:pPr>
        <w:pBdr>
          <w:top w:val="nil"/>
          <w:left w:val="nil"/>
          <w:bottom w:val="nil"/>
          <w:right w:val="nil"/>
          <w:between w:val="nil"/>
        </w:pBdr>
        <w:tabs>
          <w:tab w:val="left" w:pos="567"/>
        </w:tabs>
        <w:rPr>
          <w:rFonts w:ascii="Arial" w:hAnsi="Arial" w:cs="Arial"/>
        </w:rPr>
      </w:pPr>
      <w:r>
        <w:rPr>
          <w:rFonts w:ascii="Arial" w:hAnsi="Arial" w:cs="Arial"/>
        </w:rPr>
        <w:t>T</w:t>
      </w:r>
      <w:r w:rsidR="005E30EF">
        <w:rPr>
          <w:rFonts w:ascii="Arial" w:hAnsi="Arial" w:cs="Arial"/>
        </w:rPr>
        <w:t xml:space="preserve">he presentation of the financial statements </w:t>
      </w:r>
      <w:r>
        <w:rPr>
          <w:rFonts w:ascii="Arial" w:hAnsi="Arial" w:cs="Arial"/>
        </w:rPr>
        <w:t>assumes no impact from the JDV.  A separate business case for the JDV will be submitted to the Trust Board and NHS Improvement/England during FY21 as part of the required NHS approval process.  Technical accounting advice will be required as part of this case.</w:t>
      </w:r>
    </w:p>
    <w:p w14:paraId="5FD61E4F" w14:textId="75FB029A" w:rsidR="005E30EF" w:rsidRDefault="005E30EF" w:rsidP="00B72F95">
      <w:pPr>
        <w:rPr>
          <w:rFonts w:ascii="Arial" w:hAnsi="Arial" w:cs="Arial"/>
        </w:rPr>
      </w:pPr>
      <w:r>
        <w:rPr>
          <w:rFonts w:ascii="Arial" w:hAnsi="Arial" w:cs="Arial"/>
        </w:rPr>
        <w:t xml:space="preserve">The </w:t>
      </w:r>
      <w:r w:rsidR="00236908">
        <w:rPr>
          <w:rFonts w:ascii="Arial" w:hAnsi="Arial" w:cs="Arial"/>
        </w:rPr>
        <w:t xml:space="preserve">Finance Case </w:t>
      </w:r>
      <w:r>
        <w:rPr>
          <w:rFonts w:ascii="Arial" w:hAnsi="Arial" w:cs="Arial"/>
        </w:rPr>
        <w:t>make the following assumptions</w:t>
      </w:r>
      <w:r w:rsidR="006E1B58">
        <w:rPr>
          <w:rFonts w:ascii="Arial" w:hAnsi="Arial" w:cs="Arial"/>
        </w:rPr>
        <w:t xml:space="preserve"> on </w:t>
      </w:r>
      <w:r w:rsidR="006E1B58" w:rsidRPr="006E1B58">
        <w:rPr>
          <w:rFonts w:ascii="Arial" w:hAnsi="Arial" w:cs="Arial"/>
          <w:b/>
          <w:bCs/>
        </w:rPr>
        <w:t>programme</w:t>
      </w:r>
      <w:r>
        <w:rPr>
          <w:rFonts w:ascii="Arial" w:hAnsi="Arial" w:cs="Arial"/>
        </w:rPr>
        <w:t>:</w:t>
      </w:r>
    </w:p>
    <w:p w14:paraId="34559B69" w14:textId="754A2D72" w:rsidR="005E30EF" w:rsidRPr="0040448F" w:rsidRDefault="005E30EF" w:rsidP="00190084">
      <w:pPr>
        <w:pStyle w:val="ListParagraph"/>
        <w:numPr>
          <w:ilvl w:val="0"/>
          <w:numId w:val="98"/>
        </w:numPr>
        <w:spacing w:after="160" w:line="259" w:lineRule="auto"/>
        <w:rPr>
          <w:rFonts w:ascii="Arial" w:hAnsi="Arial" w:cs="Arial"/>
        </w:rPr>
      </w:pPr>
      <w:r w:rsidRPr="0040448F">
        <w:rPr>
          <w:rFonts w:ascii="Arial" w:hAnsi="Arial" w:cs="Arial"/>
        </w:rPr>
        <w:t>Sale of City Road in FY22</w:t>
      </w:r>
      <w:r>
        <w:rPr>
          <w:rFonts w:ascii="Arial" w:hAnsi="Arial" w:cs="Arial"/>
        </w:rPr>
        <w:t xml:space="preserve"> (conditional on vacant possession)</w:t>
      </w:r>
      <w:r w:rsidR="006E1B58">
        <w:rPr>
          <w:rFonts w:ascii="Arial" w:hAnsi="Arial" w:cs="Arial"/>
        </w:rPr>
        <w:t>.</w:t>
      </w:r>
    </w:p>
    <w:p w14:paraId="5337D566" w14:textId="39BE5CA2" w:rsidR="005E30EF" w:rsidRPr="00CD3504" w:rsidRDefault="005E30EF" w:rsidP="00190084">
      <w:pPr>
        <w:pStyle w:val="ListParagraph"/>
        <w:numPr>
          <w:ilvl w:val="0"/>
          <w:numId w:val="98"/>
        </w:numPr>
        <w:spacing w:after="160" w:line="259" w:lineRule="auto"/>
        <w:rPr>
          <w:rFonts w:ascii="Arial" w:hAnsi="Arial" w:cs="Arial"/>
        </w:rPr>
      </w:pPr>
      <w:r>
        <w:rPr>
          <w:rFonts w:ascii="Arial" w:hAnsi="Arial" w:cs="Arial"/>
        </w:rPr>
        <w:t>Vacant possession of St Pancras attained and construction start in July 2022</w:t>
      </w:r>
      <w:r w:rsidR="006E1B58">
        <w:rPr>
          <w:rFonts w:ascii="Arial" w:hAnsi="Arial" w:cs="Arial"/>
        </w:rPr>
        <w:t>.</w:t>
      </w:r>
    </w:p>
    <w:p w14:paraId="2002841F" w14:textId="56F4942F" w:rsidR="005E30EF" w:rsidRDefault="005E30EF" w:rsidP="00190084">
      <w:pPr>
        <w:pStyle w:val="ListParagraph"/>
        <w:numPr>
          <w:ilvl w:val="0"/>
          <w:numId w:val="98"/>
        </w:numPr>
        <w:spacing w:after="160" w:line="259" w:lineRule="auto"/>
        <w:rPr>
          <w:rFonts w:ascii="Arial" w:hAnsi="Arial" w:cs="Arial"/>
        </w:rPr>
      </w:pPr>
      <w:r>
        <w:rPr>
          <w:rFonts w:ascii="Arial" w:hAnsi="Arial" w:cs="Arial"/>
        </w:rPr>
        <w:t>Practical completion and commissioning complete by April 2026</w:t>
      </w:r>
      <w:r w:rsidR="006E1B58">
        <w:rPr>
          <w:rFonts w:ascii="Arial" w:hAnsi="Arial" w:cs="Arial"/>
        </w:rPr>
        <w:t>.</w:t>
      </w:r>
    </w:p>
    <w:p w14:paraId="1B93597A" w14:textId="6695A0B0" w:rsidR="005E30EF" w:rsidRDefault="005E30EF" w:rsidP="00190084">
      <w:pPr>
        <w:pStyle w:val="ListParagraph"/>
        <w:numPr>
          <w:ilvl w:val="0"/>
          <w:numId w:val="98"/>
        </w:numPr>
        <w:spacing w:after="160" w:line="259" w:lineRule="auto"/>
        <w:rPr>
          <w:rFonts w:ascii="Arial" w:hAnsi="Arial" w:cs="Arial"/>
        </w:rPr>
      </w:pPr>
      <w:r>
        <w:rPr>
          <w:rFonts w:ascii="Arial" w:hAnsi="Arial" w:cs="Arial"/>
        </w:rPr>
        <w:t>Vacant possession of City Road in FY27</w:t>
      </w:r>
      <w:r w:rsidR="006E1B58">
        <w:rPr>
          <w:rFonts w:ascii="Arial" w:hAnsi="Arial" w:cs="Arial"/>
        </w:rPr>
        <w:t>.</w:t>
      </w:r>
    </w:p>
    <w:p w14:paraId="15426791" w14:textId="77777777" w:rsidR="006E1B58" w:rsidRPr="006E1B58" w:rsidRDefault="006E1B58" w:rsidP="006E1B58">
      <w:pPr>
        <w:spacing w:after="0" w:line="259" w:lineRule="auto"/>
        <w:rPr>
          <w:rFonts w:ascii="Arial" w:hAnsi="Arial" w:cs="Arial"/>
        </w:rPr>
      </w:pPr>
    </w:p>
    <w:p w14:paraId="14405814" w14:textId="7BC520B2" w:rsidR="005E30EF" w:rsidRDefault="005E30EF" w:rsidP="005E0D57">
      <w:pPr>
        <w:pStyle w:val="Heading2"/>
        <w:numPr>
          <w:ilvl w:val="1"/>
          <w:numId w:val="1"/>
        </w:numPr>
        <w:rPr>
          <w:rFonts w:ascii="Arial" w:eastAsia="Arial" w:hAnsi="Arial" w:cs="Arial"/>
        </w:rPr>
      </w:pPr>
      <w:bookmarkStart w:id="282" w:name="_Toc406444955"/>
      <w:bookmarkStart w:id="283" w:name="_Toc413331347"/>
      <w:bookmarkStart w:id="284" w:name="_Toc409771216"/>
      <w:bookmarkStart w:id="285" w:name="_Ref30429542"/>
      <w:bookmarkStart w:id="286" w:name="_Ref30429589"/>
      <w:bookmarkStart w:id="287" w:name="_Toc32842731"/>
      <w:r>
        <w:rPr>
          <w:rFonts w:ascii="Arial" w:eastAsia="Arial" w:hAnsi="Arial" w:cs="Arial"/>
        </w:rPr>
        <w:t>Current and historical</w:t>
      </w:r>
      <w:r w:rsidRPr="00587DF1">
        <w:rPr>
          <w:rFonts w:ascii="Arial" w:eastAsia="Arial" w:hAnsi="Arial" w:cs="Arial"/>
        </w:rPr>
        <w:t xml:space="preserve"> financial performance of the trust</w:t>
      </w:r>
      <w:bookmarkEnd w:id="282"/>
      <w:bookmarkEnd w:id="283"/>
      <w:bookmarkEnd w:id="284"/>
      <w:bookmarkEnd w:id="285"/>
      <w:bookmarkEnd w:id="286"/>
      <w:bookmarkEnd w:id="287"/>
    </w:p>
    <w:p w14:paraId="38E4EA3E" w14:textId="77777777" w:rsidR="002F4789" w:rsidRPr="002F4789" w:rsidRDefault="002F4789" w:rsidP="006E1B58">
      <w:pPr>
        <w:spacing w:after="0"/>
      </w:pPr>
    </w:p>
    <w:p w14:paraId="037FC5B8" w14:textId="32DE7FC0" w:rsidR="005E30EF" w:rsidRPr="009F763F" w:rsidRDefault="005E30EF" w:rsidP="00B72F95">
      <w:pPr>
        <w:rPr>
          <w:rFonts w:ascii="Arial" w:hAnsi="Arial" w:cs="Arial"/>
        </w:rPr>
      </w:pPr>
      <w:r w:rsidRPr="009F763F">
        <w:rPr>
          <w:rFonts w:ascii="Arial" w:hAnsi="Arial" w:cs="Arial"/>
        </w:rPr>
        <w:t>The last four years has been a period of significant strategic and operational progress for Moorfields. Against increasing demand for the services and financial pressures across the NHS</w:t>
      </w:r>
      <w:r w:rsidR="006E1B58">
        <w:rPr>
          <w:rFonts w:ascii="Arial" w:hAnsi="Arial" w:cs="Arial"/>
        </w:rPr>
        <w:t>,</w:t>
      </w:r>
      <w:r w:rsidRPr="009F763F">
        <w:rPr>
          <w:rFonts w:ascii="Arial" w:hAnsi="Arial" w:cs="Arial"/>
        </w:rPr>
        <w:t xml:space="preserve"> the </w:t>
      </w:r>
      <w:r w:rsidR="006E1B58">
        <w:rPr>
          <w:rFonts w:ascii="Arial" w:hAnsi="Arial" w:cs="Arial"/>
        </w:rPr>
        <w:t>t</w:t>
      </w:r>
      <w:r w:rsidRPr="009F763F">
        <w:rPr>
          <w:rFonts w:ascii="Arial" w:hAnsi="Arial" w:cs="Arial"/>
        </w:rPr>
        <w:t>rust has maintained a strong financia</w:t>
      </w:r>
      <w:r>
        <w:rPr>
          <w:rFonts w:ascii="Arial" w:hAnsi="Arial" w:cs="Arial"/>
        </w:rPr>
        <w:t xml:space="preserve">l position whilst delivering </w:t>
      </w:r>
      <w:r w:rsidRPr="009F763F">
        <w:rPr>
          <w:rFonts w:ascii="Arial" w:hAnsi="Arial" w:cs="Arial"/>
        </w:rPr>
        <w:t xml:space="preserve">excellent patient care. The </w:t>
      </w:r>
      <w:r w:rsidR="006E1B58">
        <w:rPr>
          <w:rFonts w:ascii="Arial" w:hAnsi="Arial" w:cs="Arial"/>
        </w:rPr>
        <w:t>t</w:t>
      </w:r>
      <w:r w:rsidRPr="009F763F">
        <w:rPr>
          <w:rFonts w:ascii="Arial" w:hAnsi="Arial" w:cs="Arial"/>
        </w:rPr>
        <w:t xml:space="preserve">rust has continued to invest in its search for innovative and ground-breaking discoveries to prevent and treat eye diseases, in its service quality and </w:t>
      </w:r>
      <w:r>
        <w:rPr>
          <w:rFonts w:ascii="Arial" w:hAnsi="Arial" w:cs="Arial"/>
        </w:rPr>
        <w:t xml:space="preserve">in </w:t>
      </w:r>
      <w:r w:rsidRPr="009F763F">
        <w:rPr>
          <w:rFonts w:ascii="Arial" w:hAnsi="Arial" w:cs="Arial"/>
        </w:rPr>
        <w:t xml:space="preserve">infrastructure improvement whilst developing Oriel, in partnership with </w:t>
      </w:r>
      <w:r w:rsidR="006E1B58">
        <w:rPr>
          <w:rFonts w:ascii="Arial" w:hAnsi="Arial" w:cs="Arial"/>
        </w:rPr>
        <w:t xml:space="preserve">UCL’s IoO </w:t>
      </w:r>
      <w:r w:rsidRPr="009F763F">
        <w:rPr>
          <w:rFonts w:ascii="Arial" w:hAnsi="Arial" w:cs="Arial"/>
        </w:rPr>
        <w:t xml:space="preserve">and </w:t>
      </w:r>
      <w:r w:rsidR="006E1B58">
        <w:rPr>
          <w:rFonts w:ascii="Arial" w:hAnsi="Arial" w:cs="Arial"/>
        </w:rPr>
        <w:t>MEC</w:t>
      </w:r>
      <w:r w:rsidRPr="009F763F">
        <w:rPr>
          <w:rFonts w:ascii="Arial" w:hAnsi="Arial" w:cs="Arial"/>
        </w:rPr>
        <w:t xml:space="preserve">. </w:t>
      </w:r>
    </w:p>
    <w:p w14:paraId="75F15912" w14:textId="35196F25" w:rsidR="0091093B" w:rsidRDefault="0058157E">
      <w:pPr>
        <w:rPr>
          <w:rFonts w:ascii="Arial" w:eastAsia="Times New Roman" w:hAnsi="Arial" w:cs="Arial"/>
          <w:b/>
          <w:bCs/>
          <w:i/>
          <w:iCs/>
          <w:sz w:val="20"/>
          <w:szCs w:val="20"/>
          <w:lang w:val="en-US" w:eastAsia="en-US"/>
        </w:rPr>
      </w:pPr>
      <w:bookmarkStart w:id="288" w:name="_Ref30429889"/>
      <w:r w:rsidRPr="009940CE">
        <w:rPr>
          <w:rFonts w:ascii="Arial" w:hAnsi="Arial" w:cs="Arial"/>
        </w:rPr>
        <w:t>The trust’s Statement of Comprehensive Income (SoCI) statement for the period FY17 to FY20 is shown in Table 23. Income from patient activity has increased by £27.</w:t>
      </w:r>
      <w:r>
        <w:rPr>
          <w:rFonts w:ascii="Arial" w:hAnsi="Arial" w:cs="Arial"/>
        </w:rPr>
        <w:t>8</w:t>
      </w:r>
      <w:r w:rsidRPr="009940CE">
        <w:rPr>
          <w:rFonts w:ascii="Arial" w:hAnsi="Arial" w:cs="Arial"/>
        </w:rPr>
        <w:t>m, an average growth of 4.</w:t>
      </w:r>
      <w:r>
        <w:rPr>
          <w:rFonts w:ascii="Arial" w:hAnsi="Arial" w:cs="Arial"/>
        </w:rPr>
        <w:t>7</w:t>
      </w:r>
      <w:r w:rsidRPr="009940CE">
        <w:rPr>
          <w:rFonts w:ascii="Arial" w:hAnsi="Arial" w:cs="Arial"/>
        </w:rPr>
        <w:t>% per year. The trust’s operating expenditure has increased by £3</w:t>
      </w:r>
      <w:r>
        <w:rPr>
          <w:rFonts w:ascii="Arial" w:hAnsi="Arial" w:cs="Arial"/>
        </w:rPr>
        <w:t>3</w:t>
      </w:r>
      <w:r w:rsidRPr="009940CE">
        <w:rPr>
          <w:rFonts w:ascii="Arial" w:hAnsi="Arial" w:cs="Arial"/>
        </w:rPr>
        <w:t>.</w:t>
      </w:r>
      <w:r>
        <w:rPr>
          <w:rFonts w:ascii="Arial" w:hAnsi="Arial" w:cs="Arial"/>
        </w:rPr>
        <w:t>5</w:t>
      </w:r>
      <w:r w:rsidRPr="009940CE">
        <w:rPr>
          <w:rFonts w:ascii="Arial" w:hAnsi="Arial" w:cs="Arial"/>
        </w:rPr>
        <w:t>m at 5.</w:t>
      </w:r>
      <w:r>
        <w:rPr>
          <w:rFonts w:ascii="Arial" w:hAnsi="Arial" w:cs="Arial"/>
        </w:rPr>
        <w:t>3</w:t>
      </w:r>
      <w:r w:rsidRPr="009940CE">
        <w:rPr>
          <w:rFonts w:ascii="Arial" w:hAnsi="Arial" w:cs="Arial"/>
        </w:rPr>
        <w:t>% average growth per year. In addition, the trust has delivered £25.9m of efficiency savings over the last four years. The underlying surplus has decreased from £6.</w:t>
      </w:r>
      <w:r>
        <w:rPr>
          <w:rFonts w:ascii="Arial" w:hAnsi="Arial" w:cs="Arial"/>
        </w:rPr>
        <w:t>3</w:t>
      </w:r>
      <w:r w:rsidRPr="009940CE">
        <w:rPr>
          <w:rFonts w:ascii="Arial" w:hAnsi="Arial" w:cs="Arial"/>
        </w:rPr>
        <w:t>m in FY17 to £2.</w:t>
      </w:r>
      <w:r>
        <w:rPr>
          <w:rFonts w:ascii="Arial" w:hAnsi="Arial" w:cs="Arial"/>
        </w:rPr>
        <w:t>4</w:t>
      </w:r>
      <w:r w:rsidRPr="009940CE">
        <w:rPr>
          <w:rFonts w:ascii="Arial" w:hAnsi="Arial" w:cs="Arial"/>
        </w:rPr>
        <w:t>m in FY20 forecast</w:t>
      </w:r>
      <w:r w:rsidR="0091093B">
        <w:br w:type="page"/>
      </w:r>
    </w:p>
    <w:p w14:paraId="345261A9" w14:textId="2C0098A8" w:rsidR="006E1B58" w:rsidRPr="006E1B58" w:rsidRDefault="006E1B58" w:rsidP="006E1B58">
      <w:pPr>
        <w:pStyle w:val="Caption"/>
        <w:rPr>
          <w:b w:val="0"/>
          <w:bCs w:val="0"/>
        </w:rPr>
      </w:pPr>
      <w:r>
        <w:lastRenderedPageBreak/>
        <w:t xml:space="preserve">Table </w:t>
      </w:r>
      <w:r>
        <w:fldChar w:fldCharType="begin"/>
      </w:r>
      <w:r>
        <w:instrText xml:space="preserve"> SEQ Table \* ARABIC </w:instrText>
      </w:r>
      <w:r>
        <w:fldChar w:fldCharType="separate"/>
      </w:r>
      <w:r w:rsidR="00A936CD">
        <w:rPr>
          <w:noProof/>
        </w:rPr>
        <w:t>23</w:t>
      </w:r>
      <w:r>
        <w:fldChar w:fldCharType="end"/>
      </w:r>
      <w:bookmarkEnd w:id="288"/>
      <w:r>
        <w:t xml:space="preserve">: </w:t>
      </w:r>
      <w:r w:rsidRPr="006E1B58">
        <w:rPr>
          <w:b w:val="0"/>
          <w:bCs w:val="0"/>
        </w:rPr>
        <w:t>Statement of Comprehensive Income FY17 - FY20</w:t>
      </w:r>
    </w:p>
    <w:tbl>
      <w:tblPr>
        <w:tblW w:w="93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5"/>
        <w:gridCol w:w="982"/>
        <w:gridCol w:w="1321"/>
        <w:gridCol w:w="1321"/>
        <w:gridCol w:w="1322"/>
        <w:gridCol w:w="999"/>
      </w:tblGrid>
      <w:tr w:rsidR="0058157E" w:rsidRPr="008C3102" w14:paraId="64C87241" w14:textId="77777777" w:rsidTr="003F5081">
        <w:trPr>
          <w:trHeight w:val="241"/>
        </w:trPr>
        <w:tc>
          <w:tcPr>
            <w:tcW w:w="3395" w:type="dxa"/>
            <w:vMerge w:val="restart"/>
            <w:shd w:val="clear" w:color="auto" w:fill="4F81BD"/>
            <w:vAlign w:val="center"/>
            <w:hideMark/>
          </w:tcPr>
          <w:p w14:paraId="74B599E2" w14:textId="77777777" w:rsidR="0058157E" w:rsidRPr="008C3102" w:rsidRDefault="0058157E" w:rsidP="003F5081">
            <w:pPr>
              <w:spacing w:after="0" w:line="240" w:lineRule="auto"/>
              <w:rPr>
                <w:rFonts w:ascii="Arial" w:eastAsia="Times New Roman" w:hAnsi="Arial" w:cs="Arial"/>
                <w:b/>
                <w:bCs/>
                <w:i/>
                <w:iCs/>
                <w:color w:val="FFFFFF"/>
              </w:rPr>
            </w:pPr>
            <w:r>
              <w:rPr>
                <w:rFonts w:ascii="Arial" w:eastAsia="Times New Roman" w:hAnsi="Arial" w:cs="Arial"/>
                <w:b/>
                <w:bCs/>
                <w:i/>
                <w:iCs/>
                <w:color w:val="FFFFFF"/>
              </w:rPr>
              <w:t>Statement of Comprehensive Income</w:t>
            </w:r>
            <w:r w:rsidRPr="008C3102">
              <w:rPr>
                <w:rFonts w:ascii="Arial" w:eastAsia="Times New Roman" w:hAnsi="Arial" w:cs="Arial"/>
                <w:b/>
                <w:bCs/>
                <w:i/>
                <w:iCs/>
                <w:color w:val="FFFFFF"/>
              </w:rPr>
              <w:t xml:space="preserve"> £m</w:t>
            </w:r>
          </w:p>
        </w:tc>
        <w:tc>
          <w:tcPr>
            <w:tcW w:w="4946" w:type="dxa"/>
            <w:gridSpan w:val="4"/>
            <w:shd w:val="clear" w:color="auto" w:fill="4F81BD"/>
            <w:vAlign w:val="center"/>
            <w:hideMark/>
          </w:tcPr>
          <w:p w14:paraId="75DD59E6" w14:textId="77777777" w:rsidR="0058157E" w:rsidRPr="00CD22C9" w:rsidRDefault="0058157E" w:rsidP="003F5081">
            <w:pPr>
              <w:spacing w:after="0" w:line="240" w:lineRule="auto"/>
              <w:rPr>
                <w:rFonts w:ascii="Arial" w:eastAsia="Times New Roman" w:hAnsi="Arial" w:cs="Arial"/>
                <w:b/>
                <w:bCs/>
                <w:color w:val="FFFFFF"/>
                <w:sz w:val="18"/>
                <w:szCs w:val="18"/>
              </w:rPr>
            </w:pPr>
            <w:r w:rsidRPr="00CD22C9">
              <w:rPr>
                <w:rFonts w:ascii="Arial" w:eastAsia="Times New Roman" w:hAnsi="Arial" w:cs="Arial"/>
                <w:b/>
                <w:bCs/>
                <w:color w:val="FFFFFF"/>
                <w:sz w:val="18"/>
                <w:szCs w:val="18"/>
              </w:rPr>
              <w:t> </w:t>
            </w:r>
          </w:p>
        </w:tc>
        <w:tc>
          <w:tcPr>
            <w:tcW w:w="999" w:type="dxa"/>
            <w:vMerge w:val="restart"/>
            <w:shd w:val="clear" w:color="auto" w:fill="4F81BD"/>
            <w:vAlign w:val="center"/>
            <w:hideMark/>
          </w:tcPr>
          <w:p w14:paraId="47CED4D9" w14:textId="77777777" w:rsidR="0058157E" w:rsidRPr="00CD22C9" w:rsidRDefault="0058157E" w:rsidP="003F5081">
            <w:pPr>
              <w:spacing w:after="0" w:line="240" w:lineRule="auto"/>
              <w:rPr>
                <w:rFonts w:ascii="Arial" w:eastAsia="Times New Roman" w:hAnsi="Arial" w:cs="Arial"/>
                <w:b/>
                <w:bCs/>
                <w:color w:val="FFFFFF"/>
                <w:sz w:val="18"/>
                <w:szCs w:val="18"/>
              </w:rPr>
            </w:pPr>
            <w:r w:rsidRPr="00CD22C9">
              <w:rPr>
                <w:rFonts w:ascii="Arial" w:eastAsia="Times New Roman" w:hAnsi="Arial" w:cs="Arial"/>
                <w:b/>
                <w:bCs/>
                <w:color w:val="FFFFFF"/>
                <w:sz w:val="18"/>
                <w:szCs w:val="18"/>
              </w:rPr>
              <w:t>Average growth %</w:t>
            </w:r>
          </w:p>
        </w:tc>
      </w:tr>
      <w:tr w:rsidR="0058157E" w:rsidRPr="008C3102" w14:paraId="4BC36AFC" w14:textId="77777777" w:rsidTr="003F5081">
        <w:trPr>
          <w:trHeight w:val="433"/>
        </w:trPr>
        <w:tc>
          <w:tcPr>
            <w:tcW w:w="3395" w:type="dxa"/>
            <w:vMerge/>
            <w:shd w:val="clear" w:color="auto" w:fill="4F81BD"/>
            <w:vAlign w:val="center"/>
            <w:hideMark/>
          </w:tcPr>
          <w:p w14:paraId="78D41741" w14:textId="77777777" w:rsidR="0058157E" w:rsidRPr="008C3102" w:rsidRDefault="0058157E" w:rsidP="003F5081">
            <w:pPr>
              <w:spacing w:after="0" w:line="240" w:lineRule="auto"/>
              <w:rPr>
                <w:rFonts w:ascii="Arial" w:eastAsia="Times New Roman" w:hAnsi="Arial" w:cs="Arial"/>
                <w:b/>
                <w:bCs/>
                <w:i/>
                <w:iCs/>
                <w:color w:val="FFFFFF"/>
              </w:rPr>
            </w:pPr>
          </w:p>
        </w:tc>
        <w:tc>
          <w:tcPr>
            <w:tcW w:w="982" w:type="dxa"/>
            <w:shd w:val="clear" w:color="auto" w:fill="4F81BD"/>
            <w:vAlign w:val="center"/>
            <w:hideMark/>
          </w:tcPr>
          <w:p w14:paraId="7B8D0B2D" w14:textId="77777777" w:rsidR="0058157E" w:rsidRPr="00CD22C9" w:rsidRDefault="0058157E" w:rsidP="003F5081">
            <w:pPr>
              <w:spacing w:after="0" w:line="240" w:lineRule="auto"/>
              <w:rPr>
                <w:rFonts w:ascii="Arial" w:eastAsia="Times New Roman" w:hAnsi="Arial" w:cs="Arial"/>
                <w:b/>
                <w:bCs/>
                <w:color w:val="FFFFFF"/>
                <w:sz w:val="18"/>
                <w:szCs w:val="18"/>
              </w:rPr>
            </w:pPr>
            <w:r>
              <w:rPr>
                <w:rFonts w:ascii="Arial" w:eastAsia="Times New Roman" w:hAnsi="Arial" w:cs="Arial"/>
                <w:b/>
                <w:bCs/>
                <w:color w:val="FFFFFF"/>
                <w:sz w:val="18"/>
                <w:szCs w:val="18"/>
              </w:rPr>
              <w:t>FY</w:t>
            </w:r>
            <w:r w:rsidRPr="00CD22C9">
              <w:rPr>
                <w:rFonts w:ascii="Arial" w:eastAsia="Times New Roman" w:hAnsi="Arial" w:cs="Arial"/>
                <w:b/>
                <w:bCs/>
                <w:color w:val="FFFFFF"/>
                <w:sz w:val="18"/>
                <w:szCs w:val="18"/>
              </w:rPr>
              <w:t>17</w:t>
            </w:r>
          </w:p>
        </w:tc>
        <w:tc>
          <w:tcPr>
            <w:tcW w:w="1321" w:type="dxa"/>
            <w:shd w:val="clear" w:color="auto" w:fill="4F81BD"/>
            <w:vAlign w:val="center"/>
            <w:hideMark/>
          </w:tcPr>
          <w:p w14:paraId="6CF2B335" w14:textId="77777777" w:rsidR="0058157E" w:rsidRPr="00CD22C9" w:rsidRDefault="0058157E" w:rsidP="003F5081">
            <w:pPr>
              <w:spacing w:after="0" w:line="240" w:lineRule="auto"/>
              <w:rPr>
                <w:rFonts w:ascii="Arial" w:eastAsia="Times New Roman" w:hAnsi="Arial" w:cs="Arial"/>
                <w:b/>
                <w:bCs/>
                <w:color w:val="FFFFFF"/>
                <w:sz w:val="18"/>
                <w:szCs w:val="18"/>
              </w:rPr>
            </w:pPr>
            <w:r>
              <w:rPr>
                <w:rFonts w:ascii="Arial" w:eastAsia="Times New Roman" w:hAnsi="Arial" w:cs="Arial"/>
                <w:b/>
                <w:bCs/>
                <w:color w:val="FFFFFF"/>
                <w:sz w:val="18"/>
                <w:szCs w:val="18"/>
              </w:rPr>
              <w:t>FY</w:t>
            </w:r>
            <w:r w:rsidRPr="00CD22C9">
              <w:rPr>
                <w:rFonts w:ascii="Arial" w:eastAsia="Times New Roman" w:hAnsi="Arial" w:cs="Arial"/>
                <w:b/>
                <w:bCs/>
                <w:color w:val="FFFFFF"/>
                <w:sz w:val="18"/>
                <w:szCs w:val="18"/>
              </w:rPr>
              <w:t>18</w:t>
            </w:r>
          </w:p>
        </w:tc>
        <w:tc>
          <w:tcPr>
            <w:tcW w:w="1321" w:type="dxa"/>
            <w:shd w:val="clear" w:color="auto" w:fill="4F81BD"/>
            <w:vAlign w:val="center"/>
            <w:hideMark/>
          </w:tcPr>
          <w:p w14:paraId="35D1EDD1" w14:textId="77777777" w:rsidR="0058157E" w:rsidRPr="00CD22C9" w:rsidRDefault="0058157E" w:rsidP="003F5081">
            <w:pPr>
              <w:spacing w:after="0" w:line="240" w:lineRule="auto"/>
              <w:rPr>
                <w:rFonts w:ascii="Arial" w:eastAsia="Times New Roman" w:hAnsi="Arial" w:cs="Arial"/>
                <w:b/>
                <w:bCs/>
                <w:color w:val="FFFFFF"/>
                <w:sz w:val="18"/>
                <w:szCs w:val="18"/>
              </w:rPr>
            </w:pPr>
            <w:r>
              <w:rPr>
                <w:rFonts w:ascii="Arial" w:eastAsia="Times New Roman" w:hAnsi="Arial" w:cs="Arial"/>
                <w:b/>
                <w:bCs/>
                <w:color w:val="FFFFFF"/>
                <w:sz w:val="18"/>
                <w:szCs w:val="18"/>
              </w:rPr>
              <w:t>FY</w:t>
            </w:r>
            <w:r w:rsidRPr="00CD22C9">
              <w:rPr>
                <w:rFonts w:ascii="Arial" w:eastAsia="Times New Roman" w:hAnsi="Arial" w:cs="Arial"/>
                <w:b/>
                <w:bCs/>
                <w:color w:val="FFFFFF"/>
                <w:sz w:val="18"/>
                <w:szCs w:val="18"/>
              </w:rPr>
              <w:t xml:space="preserve">19 </w:t>
            </w:r>
          </w:p>
        </w:tc>
        <w:tc>
          <w:tcPr>
            <w:tcW w:w="1322" w:type="dxa"/>
            <w:shd w:val="clear" w:color="auto" w:fill="4F81BD"/>
            <w:vAlign w:val="center"/>
            <w:hideMark/>
          </w:tcPr>
          <w:p w14:paraId="519D449D" w14:textId="77777777" w:rsidR="0058157E" w:rsidRPr="00CD22C9" w:rsidRDefault="0058157E" w:rsidP="003F5081">
            <w:pPr>
              <w:spacing w:after="0" w:line="240" w:lineRule="auto"/>
              <w:rPr>
                <w:rFonts w:ascii="Arial" w:eastAsia="Times New Roman" w:hAnsi="Arial" w:cs="Arial"/>
                <w:b/>
                <w:bCs/>
                <w:color w:val="FFFFFF"/>
                <w:sz w:val="18"/>
                <w:szCs w:val="18"/>
              </w:rPr>
            </w:pPr>
            <w:r>
              <w:rPr>
                <w:rFonts w:ascii="Arial" w:eastAsia="Times New Roman" w:hAnsi="Arial" w:cs="Arial"/>
                <w:b/>
                <w:bCs/>
                <w:color w:val="FFFFFF"/>
                <w:sz w:val="18"/>
                <w:szCs w:val="18"/>
              </w:rPr>
              <w:t>FY</w:t>
            </w:r>
            <w:r w:rsidRPr="00CD22C9">
              <w:rPr>
                <w:rFonts w:ascii="Arial" w:eastAsia="Times New Roman" w:hAnsi="Arial" w:cs="Arial"/>
                <w:b/>
                <w:bCs/>
                <w:color w:val="FFFFFF"/>
                <w:sz w:val="18"/>
                <w:szCs w:val="18"/>
              </w:rPr>
              <w:t xml:space="preserve">20 forecast </w:t>
            </w:r>
          </w:p>
        </w:tc>
        <w:tc>
          <w:tcPr>
            <w:tcW w:w="999" w:type="dxa"/>
            <w:vMerge/>
            <w:shd w:val="clear" w:color="auto" w:fill="4F81BD"/>
            <w:vAlign w:val="center"/>
            <w:hideMark/>
          </w:tcPr>
          <w:p w14:paraId="195E2523" w14:textId="77777777" w:rsidR="0058157E" w:rsidRPr="00CD22C9" w:rsidRDefault="0058157E" w:rsidP="003F5081">
            <w:pPr>
              <w:spacing w:after="0" w:line="240" w:lineRule="auto"/>
              <w:rPr>
                <w:rFonts w:ascii="Arial" w:eastAsia="Times New Roman" w:hAnsi="Arial" w:cs="Arial"/>
                <w:b/>
                <w:bCs/>
                <w:color w:val="FFFFFF"/>
                <w:sz w:val="18"/>
                <w:szCs w:val="18"/>
              </w:rPr>
            </w:pPr>
          </w:p>
        </w:tc>
      </w:tr>
      <w:tr w:rsidR="0058157E" w:rsidRPr="008C3102" w14:paraId="4C71AF6D" w14:textId="77777777" w:rsidTr="003F5081">
        <w:trPr>
          <w:trHeight w:val="241"/>
        </w:trPr>
        <w:tc>
          <w:tcPr>
            <w:tcW w:w="3395" w:type="dxa"/>
            <w:shd w:val="clear" w:color="000000" w:fill="FFFFFF"/>
            <w:noWrap/>
            <w:vAlign w:val="center"/>
            <w:hideMark/>
          </w:tcPr>
          <w:p w14:paraId="22EC1306" w14:textId="77777777" w:rsidR="0058157E" w:rsidRPr="0026252D" w:rsidRDefault="0058157E" w:rsidP="003F5081">
            <w:pPr>
              <w:spacing w:after="0" w:line="240" w:lineRule="auto"/>
              <w:rPr>
                <w:rFonts w:ascii="Arial" w:eastAsia="Times New Roman" w:hAnsi="Arial" w:cs="Arial"/>
                <w:i/>
                <w:iCs/>
                <w:color w:val="000000"/>
                <w:sz w:val="18"/>
                <w:szCs w:val="18"/>
              </w:rPr>
            </w:pPr>
            <w:r w:rsidRPr="0026252D">
              <w:rPr>
                <w:rFonts w:ascii="Arial" w:eastAsia="Times New Roman" w:hAnsi="Arial" w:cs="Arial"/>
                <w:i/>
                <w:iCs/>
                <w:color w:val="000000"/>
                <w:sz w:val="18"/>
                <w:szCs w:val="18"/>
              </w:rPr>
              <w:t>Income from activities</w:t>
            </w:r>
          </w:p>
        </w:tc>
        <w:tc>
          <w:tcPr>
            <w:tcW w:w="982" w:type="dxa"/>
            <w:shd w:val="clear" w:color="000000" w:fill="FFFFFF"/>
            <w:noWrap/>
            <w:vAlign w:val="center"/>
            <w:hideMark/>
          </w:tcPr>
          <w:p w14:paraId="55A29FF9" w14:textId="77777777" w:rsidR="0058157E" w:rsidRPr="008C3102" w:rsidRDefault="0058157E" w:rsidP="003F5081">
            <w:pPr>
              <w:spacing w:after="0" w:line="240" w:lineRule="auto"/>
              <w:rPr>
                <w:rFonts w:ascii="Arial" w:eastAsia="Times New Roman" w:hAnsi="Arial" w:cs="Arial"/>
                <w:color w:val="000000"/>
                <w:sz w:val="20"/>
                <w:szCs w:val="20"/>
              </w:rPr>
            </w:pPr>
            <w:r w:rsidRPr="008C3102">
              <w:rPr>
                <w:rFonts w:ascii="Arial" w:eastAsia="Times New Roman" w:hAnsi="Arial" w:cs="Arial"/>
                <w:color w:val="000000"/>
                <w:sz w:val="20"/>
                <w:szCs w:val="20"/>
              </w:rPr>
              <w:t> </w:t>
            </w:r>
          </w:p>
        </w:tc>
        <w:tc>
          <w:tcPr>
            <w:tcW w:w="1321" w:type="dxa"/>
            <w:shd w:val="clear" w:color="000000" w:fill="FFFFFF"/>
            <w:vAlign w:val="center"/>
            <w:hideMark/>
          </w:tcPr>
          <w:p w14:paraId="5AE008A5" w14:textId="77777777" w:rsidR="0058157E" w:rsidRPr="008C3102" w:rsidRDefault="0058157E" w:rsidP="003F5081">
            <w:pPr>
              <w:spacing w:after="0" w:line="240" w:lineRule="auto"/>
              <w:rPr>
                <w:rFonts w:ascii="Arial" w:eastAsia="Times New Roman" w:hAnsi="Arial" w:cs="Arial"/>
                <w:color w:val="000000"/>
                <w:sz w:val="20"/>
                <w:szCs w:val="20"/>
              </w:rPr>
            </w:pPr>
            <w:r w:rsidRPr="008C3102">
              <w:rPr>
                <w:rFonts w:ascii="Arial" w:eastAsia="Times New Roman" w:hAnsi="Arial" w:cs="Arial"/>
                <w:color w:val="000000"/>
                <w:sz w:val="20"/>
                <w:szCs w:val="20"/>
              </w:rPr>
              <w:t> </w:t>
            </w:r>
          </w:p>
        </w:tc>
        <w:tc>
          <w:tcPr>
            <w:tcW w:w="1321" w:type="dxa"/>
            <w:shd w:val="clear" w:color="000000" w:fill="FFFFFF"/>
            <w:vAlign w:val="center"/>
            <w:hideMark/>
          </w:tcPr>
          <w:p w14:paraId="5FB87F13" w14:textId="77777777" w:rsidR="0058157E" w:rsidRPr="008C3102" w:rsidRDefault="0058157E" w:rsidP="003F5081">
            <w:pPr>
              <w:spacing w:after="0" w:line="240" w:lineRule="auto"/>
              <w:rPr>
                <w:rFonts w:ascii="Arial" w:eastAsia="Times New Roman" w:hAnsi="Arial" w:cs="Arial"/>
                <w:color w:val="000000"/>
                <w:sz w:val="20"/>
                <w:szCs w:val="20"/>
              </w:rPr>
            </w:pPr>
            <w:r w:rsidRPr="008C3102">
              <w:rPr>
                <w:rFonts w:ascii="Arial" w:eastAsia="Times New Roman" w:hAnsi="Arial" w:cs="Arial"/>
                <w:color w:val="000000"/>
                <w:sz w:val="20"/>
                <w:szCs w:val="20"/>
              </w:rPr>
              <w:t> </w:t>
            </w:r>
          </w:p>
        </w:tc>
        <w:tc>
          <w:tcPr>
            <w:tcW w:w="1322" w:type="dxa"/>
            <w:shd w:val="clear" w:color="000000" w:fill="FFFFFF"/>
            <w:vAlign w:val="center"/>
            <w:hideMark/>
          </w:tcPr>
          <w:p w14:paraId="43EFF3A3" w14:textId="77777777" w:rsidR="0058157E" w:rsidRPr="008C3102" w:rsidRDefault="0058157E" w:rsidP="003F5081">
            <w:pPr>
              <w:spacing w:after="0" w:line="240" w:lineRule="auto"/>
              <w:rPr>
                <w:rFonts w:ascii="Arial" w:eastAsia="Times New Roman" w:hAnsi="Arial" w:cs="Arial"/>
                <w:color w:val="000000"/>
                <w:sz w:val="20"/>
                <w:szCs w:val="20"/>
              </w:rPr>
            </w:pPr>
            <w:r w:rsidRPr="008C3102">
              <w:rPr>
                <w:rFonts w:ascii="Arial" w:eastAsia="Times New Roman" w:hAnsi="Arial" w:cs="Arial"/>
                <w:color w:val="000000"/>
                <w:sz w:val="20"/>
                <w:szCs w:val="20"/>
              </w:rPr>
              <w:t> </w:t>
            </w:r>
          </w:p>
        </w:tc>
        <w:tc>
          <w:tcPr>
            <w:tcW w:w="999" w:type="dxa"/>
            <w:shd w:val="clear" w:color="000000" w:fill="FFFFFF"/>
            <w:vAlign w:val="center"/>
            <w:hideMark/>
          </w:tcPr>
          <w:p w14:paraId="67629818" w14:textId="77777777" w:rsidR="0058157E" w:rsidRPr="008C3102" w:rsidRDefault="0058157E" w:rsidP="003F5081">
            <w:pPr>
              <w:spacing w:after="0" w:line="240" w:lineRule="auto"/>
              <w:rPr>
                <w:rFonts w:ascii="Arial" w:eastAsia="Times New Roman" w:hAnsi="Arial" w:cs="Arial"/>
                <w:i/>
                <w:iCs/>
                <w:color w:val="000000"/>
                <w:sz w:val="20"/>
                <w:szCs w:val="20"/>
              </w:rPr>
            </w:pPr>
            <w:r w:rsidRPr="008C3102">
              <w:rPr>
                <w:rFonts w:ascii="Arial" w:eastAsia="Times New Roman" w:hAnsi="Arial" w:cs="Arial"/>
                <w:i/>
                <w:iCs/>
                <w:color w:val="000000"/>
                <w:sz w:val="20"/>
                <w:szCs w:val="20"/>
              </w:rPr>
              <w:t> </w:t>
            </w:r>
          </w:p>
        </w:tc>
      </w:tr>
      <w:tr w:rsidR="0058157E" w:rsidRPr="008C3102" w14:paraId="70631402" w14:textId="77777777" w:rsidTr="003F5081">
        <w:trPr>
          <w:trHeight w:val="241"/>
        </w:trPr>
        <w:tc>
          <w:tcPr>
            <w:tcW w:w="3395" w:type="dxa"/>
            <w:shd w:val="clear" w:color="000000" w:fill="FFFFFF"/>
            <w:noWrap/>
            <w:vAlign w:val="center"/>
            <w:hideMark/>
          </w:tcPr>
          <w:p w14:paraId="4063D937" w14:textId="77777777" w:rsidR="0058157E" w:rsidRPr="0026252D" w:rsidRDefault="0058157E" w:rsidP="003F5081">
            <w:pPr>
              <w:spacing w:after="0" w:line="240" w:lineRule="auto"/>
              <w:ind w:firstLineChars="200" w:firstLine="360"/>
              <w:rPr>
                <w:rFonts w:ascii="Arial" w:eastAsia="Times New Roman" w:hAnsi="Arial" w:cs="Arial"/>
                <w:color w:val="000000"/>
                <w:sz w:val="18"/>
                <w:szCs w:val="18"/>
              </w:rPr>
            </w:pPr>
            <w:r w:rsidRPr="0026252D">
              <w:rPr>
                <w:rFonts w:ascii="Arial" w:eastAsia="Times New Roman" w:hAnsi="Arial" w:cs="Arial"/>
                <w:color w:val="000000"/>
                <w:sz w:val="18"/>
                <w:szCs w:val="18"/>
              </w:rPr>
              <w:t>NHS income</w:t>
            </w:r>
          </w:p>
        </w:tc>
        <w:tc>
          <w:tcPr>
            <w:tcW w:w="982" w:type="dxa"/>
            <w:shd w:val="clear" w:color="000000" w:fill="FFFFFF"/>
            <w:noWrap/>
            <w:hideMark/>
          </w:tcPr>
          <w:p w14:paraId="5190ED0B" w14:textId="77777777" w:rsidR="0058157E" w:rsidRPr="00CD22C9" w:rsidRDefault="0058157E" w:rsidP="003F5081">
            <w:pPr>
              <w:spacing w:after="0" w:line="240" w:lineRule="auto"/>
              <w:rPr>
                <w:rFonts w:ascii="Arial" w:eastAsia="Times New Roman" w:hAnsi="Arial" w:cs="Arial"/>
                <w:sz w:val="18"/>
                <w:szCs w:val="18"/>
              </w:rPr>
            </w:pPr>
            <w:r w:rsidRPr="009D6776">
              <w:rPr>
                <w:rFonts w:ascii="Arial" w:eastAsia="Times New Roman" w:hAnsi="Arial" w:cs="Arial"/>
                <w:sz w:val="18"/>
                <w:szCs w:val="18"/>
              </w:rPr>
              <w:t>163.4</w:t>
            </w:r>
          </w:p>
        </w:tc>
        <w:tc>
          <w:tcPr>
            <w:tcW w:w="1321" w:type="dxa"/>
            <w:shd w:val="clear" w:color="000000" w:fill="FFFFFF"/>
            <w:noWrap/>
            <w:vAlign w:val="center"/>
            <w:hideMark/>
          </w:tcPr>
          <w:p w14:paraId="3FE2A593"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sz w:val="18"/>
                <w:szCs w:val="18"/>
              </w:rPr>
              <w:t>164.9</w:t>
            </w:r>
          </w:p>
        </w:tc>
        <w:tc>
          <w:tcPr>
            <w:tcW w:w="1321" w:type="dxa"/>
            <w:shd w:val="clear" w:color="000000" w:fill="FFFFFF"/>
            <w:noWrap/>
            <w:vAlign w:val="center"/>
            <w:hideMark/>
          </w:tcPr>
          <w:p w14:paraId="74F6C56D"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sz w:val="18"/>
                <w:szCs w:val="18"/>
              </w:rPr>
              <w:t>174.1</w:t>
            </w:r>
          </w:p>
        </w:tc>
        <w:tc>
          <w:tcPr>
            <w:tcW w:w="1322" w:type="dxa"/>
            <w:shd w:val="clear" w:color="000000" w:fill="FFFFFF"/>
            <w:noWrap/>
            <w:vAlign w:val="center"/>
            <w:hideMark/>
          </w:tcPr>
          <w:p w14:paraId="3A00DC50"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sz w:val="18"/>
                <w:szCs w:val="18"/>
              </w:rPr>
              <w:t>187.1</w:t>
            </w:r>
          </w:p>
        </w:tc>
        <w:tc>
          <w:tcPr>
            <w:tcW w:w="999" w:type="dxa"/>
            <w:shd w:val="clear" w:color="000000" w:fill="FFFFFF"/>
            <w:vAlign w:val="center"/>
            <w:hideMark/>
          </w:tcPr>
          <w:p w14:paraId="4E10AA53" w14:textId="77777777" w:rsidR="0058157E" w:rsidRPr="002408B0" w:rsidRDefault="0058157E" w:rsidP="003F5081">
            <w:pPr>
              <w:spacing w:after="0" w:line="240" w:lineRule="auto"/>
              <w:rPr>
                <w:rFonts w:ascii="Arial" w:eastAsia="Times New Roman" w:hAnsi="Arial" w:cs="Arial"/>
                <w:i/>
                <w:iCs/>
                <w:color w:val="000000"/>
                <w:sz w:val="18"/>
                <w:szCs w:val="18"/>
              </w:rPr>
            </w:pPr>
            <w:r>
              <w:rPr>
                <w:rFonts w:ascii="Arial" w:hAnsi="Arial" w:cs="Arial"/>
                <w:i/>
                <w:iCs/>
                <w:color w:val="000000"/>
                <w:sz w:val="18"/>
                <w:szCs w:val="18"/>
              </w:rPr>
              <w:t>4.6%</w:t>
            </w:r>
          </w:p>
        </w:tc>
      </w:tr>
      <w:tr w:rsidR="0058157E" w:rsidRPr="008C3102" w14:paraId="77B714EB" w14:textId="77777777" w:rsidTr="003F5081">
        <w:trPr>
          <w:trHeight w:val="241"/>
        </w:trPr>
        <w:tc>
          <w:tcPr>
            <w:tcW w:w="3395" w:type="dxa"/>
            <w:shd w:val="clear" w:color="000000" w:fill="FFFFFF"/>
            <w:noWrap/>
            <w:vAlign w:val="center"/>
            <w:hideMark/>
          </w:tcPr>
          <w:p w14:paraId="2403731C" w14:textId="77777777" w:rsidR="0058157E" w:rsidRPr="0026252D" w:rsidRDefault="0058157E" w:rsidP="003F5081">
            <w:pPr>
              <w:spacing w:after="0" w:line="240" w:lineRule="auto"/>
              <w:ind w:firstLineChars="200" w:firstLine="360"/>
              <w:rPr>
                <w:rFonts w:ascii="Arial" w:eastAsia="Times New Roman" w:hAnsi="Arial" w:cs="Arial"/>
                <w:color w:val="000000"/>
                <w:sz w:val="18"/>
                <w:szCs w:val="18"/>
              </w:rPr>
            </w:pPr>
            <w:r w:rsidRPr="0026252D">
              <w:rPr>
                <w:rFonts w:ascii="Arial" w:eastAsia="Times New Roman" w:hAnsi="Arial" w:cs="Arial"/>
                <w:color w:val="000000"/>
                <w:sz w:val="18"/>
                <w:szCs w:val="18"/>
              </w:rPr>
              <w:t>Private patient income</w:t>
            </w:r>
          </w:p>
        </w:tc>
        <w:tc>
          <w:tcPr>
            <w:tcW w:w="982" w:type="dxa"/>
            <w:shd w:val="clear" w:color="000000" w:fill="FFFFFF"/>
            <w:noWrap/>
            <w:hideMark/>
          </w:tcPr>
          <w:p w14:paraId="3363BFAE" w14:textId="77777777" w:rsidR="0058157E" w:rsidRPr="00CD22C9" w:rsidRDefault="0058157E" w:rsidP="003F5081">
            <w:pPr>
              <w:spacing w:after="0" w:line="240" w:lineRule="auto"/>
              <w:rPr>
                <w:rFonts w:ascii="Arial" w:eastAsia="Times New Roman" w:hAnsi="Arial" w:cs="Arial"/>
                <w:sz w:val="18"/>
                <w:szCs w:val="18"/>
              </w:rPr>
            </w:pPr>
            <w:r w:rsidRPr="009D6776">
              <w:rPr>
                <w:rFonts w:ascii="Arial" w:eastAsia="Times New Roman" w:hAnsi="Arial" w:cs="Arial"/>
                <w:sz w:val="18"/>
                <w:szCs w:val="18"/>
              </w:rPr>
              <w:t>26.8</w:t>
            </w:r>
          </w:p>
        </w:tc>
        <w:tc>
          <w:tcPr>
            <w:tcW w:w="1321" w:type="dxa"/>
            <w:shd w:val="clear" w:color="000000" w:fill="FFFFFF"/>
            <w:noWrap/>
            <w:vAlign w:val="center"/>
            <w:hideMark/>
          </w:tcPr>
          <w:p w14:paraId="14BD4D21"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sz w:val="18"/>
                <w:szCs w:val="18"/>
              </w:rPr>
              <w:t>27.2</w:t>
            </w:r>
          </w:p>
        </w:tc>
        <w:tc>
          <w:tcPr>
            <w:tcW w:w="1321" w:type="dxa"/>
            <w:shd w:val="clear" w:color="000000" w:fill="FFFFFF"/>
            <w:noWrap/>
            <w:vAlign w:val="center"/>
            <w:hideMark/>
          </w:tcPr>
          <w:p w14:paraId="3D44B970"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sz w:val="18"/>
                <w:szCs w:val="18"/>
              </w:rPr>
              <w:t>28.9</w:t>
            </w:r>
          </w:p>
        </w:tc>
        <w:tc>
          <w:tcPr>
            <w:tcW w:w="1322" w:type="dxa"/>
            <w:shd w:val="clear" w:color="000000" w:fill="FFFFFF"/>
            <w:noWrap/>
            <w:vAlign w:val="center"/>
            <w:hideMark/>
          </w:tcPr>
          <w:p w14:paraId="108ADE59"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sz w:val="18"/>
                <w:szCs w:val="18"/>
              </w:rPr>
              <w:t>30.8</w:t>
            </w:r>
          </w:p>
        </w:tc>
        <w:tc>
          <w:tcPr>
            <w:tcW w:w="999" w:type="dxa"/>
            <w:shd w:val="clear" w:color="000000" w:fill="FFFFFF"/>
            <w:vAlign w:val="center"/>
            <w:hideMark/>
          </w:tcPr>
          <w:p w14:paraId="3A80BBF2" w14:textId="77777777" w:rsidR="0058157E" w:rsidRPr="002408B0" w:rsidRDefault="0058157E" w:rsidP="003F5081">
            <w:pPr>
              <w:spacing w:after="0" w:line="240" w:lineRule="auto"/>
              <w:rPr>
                <w:rFonts w:ascii="Arial" w:eastAsia="Times New Roman" w:hAnsi="Arial" w:cs="Arial"/>
                <w:i/>
                <w:iCs/>
                <w:color w:val="000000"/>
                <w:sz w:val="18"/>
                <w:szCs w:val="18"/>
              </w:rPr>
            </w:pPr>
            <w:r>
              <w:rPr>
                <w:rFonts w:ascii="Arial" w:hAnsi="Arial" w:cs="Arial"/>
                <w:i/>
                <w:iCs/>
                <w:color w:val="000000"/>
                <w:sz w:val="18"/>
                <w:szCs w:val="18"/>
              </w:rPr>
              <w:t>4.8%</w:t>
            </w:r>
          </w:p>
        </w:tc>
      </w:tr>
      <w:tr w:rsidR="0058157E" w:rsidRPr="008C3102" w14:paraId="3076ABC4" w14:textId="77777777" w:rsidTr="003F5081">
        <w:trPr>
          <w:trHeight w:val="241"/>
        </w:trPr>
        <w:tc>
          <w:tcPr>
            <w:tcW w:w="3395" w:type="dxa"/>
            <w:shd w:val="clear" w:color="000000" w:fill="FFFFFF"/>
            <w:noWrap/>
            <w:vAlign w:val="center"/>
            <w:hideMark/>
          </w:tcPr>
          <w:p w14:paraId="45AA6BB0" w14:textId="77777777" w:rsidR="0058157E" w:rsidRPr="0026252D" w:rsidRDefault="0058157E" w:rsidP="003F5081">
            <w:pPr>
              <w:spacing w:after="0" w:line="240" w:lineRule="auto"/>
              <w:rPr>
                <w:rFonts w:ascii="Arial" w:eastAsia="Times New Roman" w:hAnsi="Arial" w:cs="Arial"/>
                <w:b/>
                <w:bCs/>
                <w:i/>
                <w:iCs/>
                <w:color w:val="000000"/>
                <w:sz w:val="18"/>
                <w:szCs w:val="18"/>
              </w:rPr>
            </w:pPr>
            <w:r w:rsidRPr="0026252D">
              <w:rPr>
                <w:rFonts w:ascii="Arial" w:eastAsia="Times New Roman" w:hAnsi="Arial" w:cs="Arial"/>
                <w:b/>
                <w:bCs/>
                <w:i/>
                <w:iCs/>
                <w:color w:val="000000"/>
                <w:sz w:val="18"/>
                <w:szCs w:val="18"/>
              </w:rPr>
              <w:t>Total income from activities</w:t>
            </w:r>
          </w:p>
        </w:tc>
        <w:tc>
          <w:tcPr>
            <w:tcW w:w="982" w:type="dxa"/>
            <w:shd w:val="clear" w:color="000000" w:fill="FFFFFF"/>
            <w:noWrap/>
            <w:hideMark/>
          </w:tcPr>
          <w:p w14:paraId="35F22391" w14:textId="77777777" w:rsidR="0058157E" w:rsidRPr="009D6776" w:rsidRDefault="0058157E" w:rsidP="003F5081">
            <w:pPr>
              <w:spacing w:after="0" w:line="240" w:lineRule="auto"/>
              <w:rPr>
                <w:rFonts w:ascii="Arial" w:eastAsia="Times New Roman" w:hAnsi="Arial" w:cs="Arial"/>
                <w:b/>
                <w:sz w:val="18"/>
                <w:szCs w:val="18"/>
              </w:rPr>
            </w:pPr>
            <w:r w:rsidRPr="009D6776">
              <w:rPr>
                <w:rFonts w:ascii="Arial" w:eastAsia="Times New Roman" w:hAnsi="Arial" w:cs="Arial"/>
                <w:b/>
                <w:sz w:val="18"/>
                <w:szCs w:val="18"/>
              </w:rPr>
              <w:t>190.2</w:t>
            </w:r>
          </w:p>
        </w:tc>
        <w:tc>
          <w:tcPr>
            <w:tcW w:w="1321" w:type="dxa"/>
            <w:shd w:val="clear" w:color="000000" w:fill="FFFFFF"/>
            <w:noWrap/>
            <w:vAlign w:val="center"/>
            <w:hideMark/>
          </w:tcPr>
          <w:p w14:paraId="254B4958" w14:textId="77777777" w:rsidR="0058157E" w:rsidRPr="00CD22C9" w:rsidRDefault="0058157E" w:rsidP="003F5081">
            <w:pPr>
              <w:spacing w:after="0" w:line="240" w:lineRule="auto"/>
              <w:rPr>
                <w:rFonts w:ascii="Arial" w:eastAsia="Times New Roman" w:hAnsi="Arial" w:cs="Arial"/>
                <w:b/>
                <w:bCs/>
                <w:sz w:val="18"/>
                <w:szCs w:val="18"/>
              </w:rPr>
            </w:pPr>
            <w:r>
              <w:rPr>
                <w:rFonts w:ascii="Arial" w:hAnsi="Arial" w:cs="Arial"/>
                <w:b/>
                <w:bCs/>
                <w:sz w:val="18"/>
                <w:szCs w:val="18"/>
              </w:rPr>
              <w:t>192.1</w:t>
            </w:r>
          </w:p>
        </w:tc>
        <w:tc>
          <w:tcPr>
            <w:tcW w:w="1321" w:type="dxa"/>
            <w:shd w:val="clear" w:color="000000" w:fill="FFFFFF"/>
            <w:noWrap/>
            <w:vAlign w:val="center"/>
            <w:hideMark/>
          </w:tcPr>
          <w:p w14:paraId="54497C60" w14:textId="77777777" w:rsidR="0058157E" w:rsidRPr="00CD22C9" w:rsidRDefault="0058157E" w:rsidP="003F5081">
            <w:pPr>
              <w:spacing w:after="0" w:line="240" w:lineRule="auto"/>
              <w:rPr>
                <w:rFonts w:ascii="Arial" w:eastAsia="Times New Roman" w:hAnsi="Arial" w:cs="Arial"/>
                <w:b/>
                <w:bCs/>
                <w:sz w:val="18"/>
                <w:szCs w:val="18"/>
              </w:rPr>
            </w:pPr>
            <w:r>
              <w:rPr>
                <w:rFonts w:ascii="Arial" w:hAnsi="Arial" w:cs="Arial"/>
                <w:b/>
                <w:bCs/>
                <w:sz w:val="18"/>
                <w:szCs w:val="18"/>
              </w:rPr>
              <w:t>202.9</w:t>
            </w:r>
          </w:p>
        </w:tc>
        <w:tc>
          <w:tcPr>
            <w:tcW w:w="1322" w:type="dxa"/>
            <w:shd w:val="clear" w:color="000000" w:fill="FFFFFF"/>
            <w:noWrap/>
            <w:vAlign w:val="center"/>
            <w:hideMark/>
          </w:tcPr>
          <w:p w14:paraId="22354CB0" w14:textId="77777777" w:rsidR="0058157E" w:rsidRPr="008F6D0F" w:rsidRDefault="0058157E" w:rsidP="003F5081">
            <w:pPr>
              <w:spacing w:after="0" w:line="240" w:lineRule="auto"/>
              <w:rPr>
                <w:rFonts w:ascii="Arial" w:eastAsia="Times New Roman" w:hAnsi="Arial" w:cs="Arial"/>
                <w:b/>
                <w:sz w:val="18"/>
                <w:szCs w:val="18"/>
              </w:rPr>
            </w:pPr>
            <w:r>
              <w:rPr>
                <w:rFonts w:ascii="Arial" w:hAnsi="Arial" w:cs="Arial"/>
                <w:b/>
                <w:bCs/>
                <w:sz w:val="18"/>
                <w:szCs w:val="18"/>
              </w:rPr>
              <w:t>217.9</w:t>
            </w:r>
          </w:p>
        </w:tc>
        <w:tc>
          <w:tcPr>
            <w:tcW w:w="999" w:type="dxa"/>
            <w:shd w:val="clear" w:color="000000" w:fill="FFFFFF"/>
            <w:vAlign w:val="center"/>
            <w:hideMark/>
          </w:tcPr>
          <w:p w14:paraId="71CBBF4C" w14:textId="77777777" w:rsidR="0058157E" w:rsidRPr="002408B0" w:rsidRDefault="0058157E" w:rsidP="003F5081">
            <w:pPr>
              <w:spacing w:after="0" w:line="240" w:lineRule="auto"/>
              <w:rPr>
                <w:rFonts w:ascii="Arial" w:eastAsia="Times New Roman" w:hAnsi="Arial" w:cs="Arial"/>
                <w:i/>
                <w:iCs/>
                <w:color w:val="000000"/>
                <w:sz w:val="18"/>
                <w:szCs w:val="18"/>
              </w:rPr>
            </w:pPr>
            <w:r>
              <w:rPr>
                <w:rFonts w:ascii="Arial" w:hAnsi="Arial" w:cs="Arial"/>
                <w:i/>
                <w:iCs/>
                <w:color w:val="000000"/>
                <w:sz w:val="18"/>
                <w:szCs w:val="18"/>
              </w:rPr>
              <w:t>4.7%</w:t>
            </w:r>
          </w:p>
        </w:tc>
      </w:tr>
      <w:tr w:rsidR="0058157E" w:rsidRPr="008C3102" w14:paraId="5363A3BD" w14:textId="77777777" w:rsidTr="003F5081">
        <w:trPr>
          <w:trHeight w:val="241"/>
        </w:trPr>
        <w:tc>
          <w:tcPr>
            <w:tcW w:w="3395" w:type="dxa"/>
            <w:shd w:val="clear" w:color="000000" w:fill="FFFFFF"/>
            <w:noWrap/>
            <w:vAlign w:val="center"/>
            <w:hideMark/>
          </w:tcPr>
          <w:p w14:paraId="53A83A12" w14:textId="77777777" w:rsidR="0058157E" w:rsidRPr="0026252D" w:rsidRDefault="0058157E" w:rsidP="003F5081">
            <w:pPr>
              <w:spacing w:after="0" w:line="240" w:lineRule="auto"/>
              <w:ind w:firstLineChars="200" w:firstLine="360"/>
              <w:rPr>
                <w:rFonts w:ascii="Arial" w:eastAsia="Times New Roman" w:hAnsi="Arial" w:cs="Arial"/>
                <w:color w:val="000000"/>
                <w:sz w:val="18"/>
                <w:szCs w:val="18"/>
              </w:rPr>
            </w:pPr>
            <w:r w:rsidRPr="0026252D">
              <w:rPr>
                <w:rFonts w:ascii="Arial" w:eastAsia="Times New Roman" w:hAnsi="Arial" w:cs="Arial"/>
                <w:color w:val="000000"/>
                <w:sz w:val="18"/>
                <w:szCs w:val="18"/>
              </w:rPr>
              <w:t>NHS Provider Sustainability Fund</w:t>
            </w:r>
          </w:p>
        </w:tc>
        <w:tc>
          <w:tcPr>
            <w:tcW w:w="982" w:type="dxa"/>
            <w:shd w:val="clear" w:color="000000" w:fill="FFFFFF"/>
            <w:noWrap/>
            <w:hideMark/>
          </w:tcPr>
          <w:p w14:paraId="77C8A365" w14:textId="77777777" w:rsidR="0058157E" w:rsidRPr="00CD22C9" w:rsidRDefault="0058157E" w:rsidP="003F5081">
            <w:pPr>
              <w:spacing w:after="0" w:line="240" w:lineRule="auto"/>
              <w:rPr>
                <w:rFonts w:ascii="Arial" w:eastAsia="Times New Roman" w:hAnsi="Arial" w:cs="Arial"/>
                <w:sz w:val="18"/>
                <w:szCs w:val="18"/>
              </w:rPr>
            </w:pPr>
            <w:r w:rsidRPr="009D6776">
              <w:rPr>
                <w:rFonts w:ascii="Arial" w:eastAsia="Times New Roman" w:hAnsi="Arial" w:cs="Arial"/>
                <w:sz w:val="18"/>
                <w:szCs w:val="18"/>
              </w:rPr>
              <w:t>6.7</w:t>
            </w:r>
          </w:p>
        </w:tc>
        <w:tc>
          <w:tcPr>
            <w:tcW w:w="1321" w:type="dxa"/>
            <w:shd w:val="clear" w:color="000000" w:fill="FFFFFF"/>
            <w:noWrap/>
            <w:vAlign w:val="center"/>
            <w:hideMark/>
          </w:tcPr>
          <w:p w14:paraId="6731583E"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sz w:val="18"/>
                <w:szCs w:val="18"/>
              </w:rPr>
              <w:t>6.4</w:t>
            </w:r>
          </w:p>
        </w:tc>
        <w:tc>
          <w:tcPr>
            <w:tcW w:w="1321" w:type="dxa"/>
            <w:shd w:val="clear" w:color="000000" w:fill="FFFFFF"/>
            <w:noWrap/>
            <w:vAlign w:val="center"/>
            <w:hideMark/>
          </w:tcPr>
          <w:p w14:paraId="6B133AC8"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sz w:val="18"/>
                <w:szCs w:val="18"/>
              </w:rPr>
              <w:t>8.0</w:t>
            </w:r>
          </w:p>
        </w:tc>
        <w:tc>
          <w:tcPr>
            <w:tcW w:w="1322" w:type="dxa"/>
            <w:shd w:val="clear" w:color="000000" w:fill="FFFFFF"/>
            <w:noWrap/>
            <w:vAlign w:val="center"/>
            <w:hideMark/>
          </w:tcPr>
          <w:p w14:paraId="5BC2F8F3" w14:textId="77777777" w:rsidR="0058157E" w:rsidRPr="002408B0" w:rsidRDefault="0058157E" w:rsidP="003F5081">
            <w:pPr>
              <w:spacing w:after="0" w:line="240" w:lineRule="auto"/>
              <w:rPr>
                <w:rFonts w:ascii="Arial" w:eastAsia="Times New Roman" w:hAnsi="Arial" w:cs="Arial"/>
                <w:sz w:val="18"/>
                <w:szCs w:val="18"/>
              </w:rPr>
            </w:pPr>
            <w:r>
              <w:rPr>
                <w:rFonts w:ascii="Arial" w:hAnsi="Arial" w:cs="Arial"/>
                <w:sz w:val="18"/>
                <w:szCs w:val="18"/>
              </w:rPr>
              <w:t>2.1</w:t>
            </w:r>
          </w:p>
        </w:tc>
        <w:tc>
          <w:tcPr>
            <w:tcW w:w="999" w:type="dxa"/>
            <w:shd w:val="clear" w:color="000000" w:fill="FFFFFF"/>
            <w:vAlign w:val="center"/>
            <w:hideMark/>
          </w:tcPr>
          <w:p w14:paraId="61D56A80" w14:textId="77777777" w:rsidR="0058157E" w:rsidRPr="002408B0" w:rsidRDefault="0058157E" w:rsidP="003F5081">
            <w:pPr>
              <w:spacing w:after="0" w:line="240" w:lineRule="auto"/>
              <w:rPr>
                <w:rFonts w:ascii="Arial" w:eastAsia="Times New Roman" w:hAnsi="Arial" w:cs="Arial"/>
                <w:i/>
                <w:iCs/>
                <w:color w:val="000000"/>
                <w:sz w:val="18"/>
                <w:szCs w:val="18"/>
              </w:rPr>
            </w:pPr>
            <w:r>
              <w:rPr>
                <w:rFonts w:ascii="Arial" w:hAnsi="Arial" w:cs="Arial"/>
                <w:i/>
                <w:iCs/>
                <w:color w:val="000000"/>
                <w:sz w:val="18"/>
                <w:szCs w:val="18"/>
              </w:rPr>
              <w:t>-32.2%</w:t>
            </w:r>
          </w:p>
        </w:tc>
      </w:tr>
      <w:tr w:rsidR="0058157E" w:rsidRPr="008C3102" w14:paraId="690D5C79" w14:textId="77777777" w:rsidTr="003F5081">
        <w:trPr>
          <w:trHeight w:val="241"/>
        </w:trPr>
        <w:tc>
          <w:tcPr>
            <w:tcW w:w="3395" w:type="dxa"/>
            <w:shd w:val="clear" w:color="000000" w:fill="FFFFFF"/>
            <w:noWrap/>
            <w:vAlign w:val="center"/>
            <w:hideMark/>
          </w:tcPr>
          <w:p w14:paraId="308D7170" w14:textId="77777777" w:rsidR="0058157E" w:rsidRPr="0026252D" w:rsidRDefault="0058157E" w:rsidP="003F5081">
            <w:pPr>
              <w:spacing w:after="0" w:line="240" w:lineRule="auto"/>
              <w:ind w:firstLineChars="200" w:firstLine="360"/>
              <w:rPr>
                <w:rFonts w:ascii="Arial" w:eastAsia="Times New Roman" w:hAnsi="Arial" w:cs="Arial"/>
                <w:color w:val="000000"/>
                <w:sz w:val="18"/>
                <w:szCs w:val="18"/>
              </w:rPr>
            </w:pPr>
            <w:r w:rsidRPr="0026252D">
              <w:rPr>
                <w:rFonts w:ascii="Arial" w:eastAsia="Times New Roman" w:hAnsi="Arial" w:cs="Arial"/>
                <w:color w:val="000000"/>
                <w:sz w:val="18"/>
                <w:szCs w:val="18"/>
              </w:rPr>
              <w:t>Other operating income</w:t>
            </w:r>
          </w:p>
        </w:tc>
        <w:tc>
          <w:tcPr>
            <w:tcW w:w="982" w:type="dxa"/>
            <w:shd w:val="clear" w:color="000000" w:fill="FFFFFF"/>
            <w:noWrap/>
            <w:hideMark/>
          </w:tcPr>
          <w:p w14:paraId="3D459F1E" w14:textId="77777777" w:rsidR="0058157E" w:rsidRPr="00CD22C9" w:rsidRDefault="0058157E" w:rsidP="003F5081">
            <w:pPr>
              <w:spacing w:after="0" w:line="240" w:lineRule="auto"/>
              <w:rPr>
                <w:rFonts w:ascii="Arial" w:eastAsia="Times New Roman" w:hAnsi="Arial" w:cs="Arial"/>
                <w:sz w:val="18"/>
                <w:szCs w:val="18"/>
              </w:rPr>
            </w:pPr>
            <w:r w:rsidRPr="009D6776">
              <w:rPr>
                <w:rFonts w:ascii="Arial" w:eastAsia="Times New Roman" w:hAnsi="Arial" w:cs="Arial"/>
                <w:sz w:val="18"/>
                <w:szCs w:val="18"/>
              </w:rPr>
              <w:t>27.0</w:t>
            </w:r>
          </w:p>
        </w:tc>
        <w:tc>
          <w:tcPr>
            <w:tcW w:w="1321" w:type="dxa"/>
            <w:shd w:val="clear" w:color="000000" w:fill="FFFFFF"/>
            <w:noWrap/>
            <w:vAlign w:val="center"/>
            <w:hideMark/>
          </w:tcPr>
          <w:p w14:paraId="32F61C0A"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sz w:val="18"/>
                <w:szCs w:val="18"/>
              </w:rPr>
              <w:t>23.4</w:t>
            </w:r>
          </w:p>
        </w:tc>
        <w:tc>
          <w:tcPr>
            <w:tcW w:w="1321" w:type="dxa"/>
            <w:shd w:val="clear" w:color="000000" w:fill="FFFFFF"/>
            <w:noWrap/>
            <w:vAlign w:val="center"/>
            <w:hideMark/>
          </w:tcPr>
          <w:p w14:paraId="269E72D1"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sz w:val="18"/>
                <w:szCs w:val="18"/>
              </w:rPr>
              <w:t>24.4</w:t>
            </w:r>
          </w:p>
        </w:tc>
        <w:tc>
          <w:tcPr>
            <w:tcW w:w="1322" w:type="dxa"/>
            <w:shd w:val="clear" w:color="000000" w:fill="FFFFFF"/>
            <w:noWrap/>
            <w:vAlign w:val="center"/>
            <w:hideMark/>
          </w:tcPr>
          <w:p w14:paraId="27A784D5" w14:textId="77777777" w:rsidR="0058157E" w:rsidRPr="002408B0" w:rsidRDefault="0058157E" w:rsidP="003F5081">
            <w:pPr>
              <w:spacing w:after="0" w:line="240" w:lineRule="auto"/>
              <w:rPr>
                <w:rFonts w:ascii="Arial" w:eastAsia="Times New Roman" w:hAnsi="Arial" w:cs="Arial"/>
                <w:sz w:val="18"/>
                <w:szCs w:val="18"/>
              </w:rPr>
            </w:pPr>
            <w:r>
              <w:rPr>
                <w:rFonts w:ascii="Arial" w:hAnsi="Arial" w:cs="Arial"/>
                <w:sz w:val="18"/>
                <w:szCs w:val="18"/>
              </w:rPr>
              <w:t>23.1</w:t>
            </w:r>
          </w:p>
        </w:tc>
        <w:tc>
          <w:tcPr>
            <w:tcW w:w="999" w:type="dxa"/>
            <w:shd w:val="clear" w:color="000000" w:fill="FFFFFF"/>
            <w:vAlign w:val="center"/>
            <w:hideMark/>
          </w:tcPr>
          <w:p w14:paraId="609FAF1A" w14:textId="77777777" w:rsidR="0058157E" w:rsidRPr="002408B0" w:rsidRDefault="0058157E" w:rsidP="003F5081">
            <w:pPr>
              <w:spacing w:after="0" w:line="240" w:lineRule="auto"/>
              <w:rPr>
                <w:rFonts w:ascii="Arial" w:eastAsia="Times New Roman" w:hAnsi="Arial" w:cs="Arial"/>
                <w:i/>
                <w:iCs/>
                <w:color w:val="000000"/>
                <w:sz w:val="18"/>
                <w:szCs w:val="18"/>
              </w:rPr>
            </w:pPr>
            <w:r>
              <w:rPr>
                <w:rFonts w:ascii="Arial" w:hAnsi="Arial" w:cs="Arial"/>
                <w:i/>
                <w:iCs/>
                <w:color w:val="000000"/>
                <w:sz w:val="18"/>
                <w:szCs w:val="18"/>
              </w:rPr>
              <w:t>-5.0%</w:t>
            </w:r>
          </w:p>
        </w:tc>
      </w:tr>
      <w:tr w:rsidR="0058157E" w:rsidRPr="008C3102" w14:paraId="4A4051F0" w14:textId="77777777" w:rsidTr="003F5081">
        <w:trPr>
          <w:trHeight w:val="241"/>
        </w:trPr>
        <w:tc>
          <w:tcPr>
            <w:tcW w:w="3395" w:type="dxa"/>
            <w:shd w:val="clear" w:color="000000" w:fill="FFFFFF"/>
            <w:noWrap/>
            <w:vAlign w:val="center"/>
            <w:hideMark/>
          </w:tcPr>
          <w:p w14:paraId="40A17A9A" w14:textId="77777777" w:rsidR="0058157E" w:rsidRPr="0026252D" w:rsidRDefault="0058157E" w:rsidP="003F5081">
            <w:pPr>
              <w:spacing w:after="0" w:line="240" w:lineRule="auto"/>
              <w:rPr>
                <w:rFonts w:ascii="Arial" w:eastAsia="Times New Roman" w:hAnsi="Arial" w:cs="Arial"/>
                <w:b/>
                <w:bCs/>
                <w:color w:val="000000"/>
                <w:sz w:val="18"/>
                <w:szCs w:val="18"/>
              </w:rPr>
            </w:pPr>
            <w:r w:rsidRPr="0026252D">
              <w:rPr>
                <w:rFonts w:ascii="Arial" w:eastAsia="Times New Roman" w:hAnsi="Arial" w:cs="Arial"/>
                <w:b/>
                <w:bCs/>
                <w:color w:val="000000"/>
                <w:sz w:val="18"/>
                <w:szCs w:val="18"/>
              </w:rPr>
              <w:t>Total income</w:t>
            </w:r>
          </w:p>
        </w:tc>
        <w:tc>
          <w:tcPr>
            <w:tcW w:w="982" w:type="dxa"/>
            <w:shd w:val="clear" w:color="000000" w:fill="FFFFFF"/>
            <w:noWrap/>
            <w:hideMark/>
          </w:tcPr>
          <w:p w14:paraId="0DE94E53" w14:textId="77777777" w:rsidR="0058157E" w:rsidRPr="009D6776" w:rsidRDefault="0058157E" w:rsidP="003F5081">
            <w:pPr>
              <w:spacing w:after="0" w:line="240" w:lineRule="auto"/>
              <w:rPr>
                <w:rFonts w:ascii="Arial" w:eastAsia="Times New Roman" w:hAnsi="Arial" w:cs="Arial"/>
                <w:b/>
                <w:sz w:val="18"/>
                <w:szCs w:val="18"/>
              </w:rPr>
            </w:pPr>
            <w:r w:rsidRPr="009D6776">
              <w:rPr>
                <w:rFonts w:ascii="Arial" w:eastAsia="Times New Roman" w:hAnsi="Arial" w:cs="Arial"/>
                <w:b/>
                <w:sz w:val="18"/>
                <w:szCs w:val="18"/>
              </w:rPr>
              <w:t>223.9</w:t>
            </w:r>
          </w:p>
        </w:tc>
        <w:tc>
          <w:tcPr>
            <w:tcW w:w="1321" w:type="dxa"/>
            <w:shd w:val="clear" w:color="000000" w:fill="FFFFFF"/>
            <w:noWrap/>
            <w:vAlign w:val="center"/>
            <w:hideMark/>
          </w:tcPr>
          <w:p w14:paraId="4A6E7A9A" w14:textId="77777777" w:rsidR="0058157E" w:rsidRPr="00CD22C9" w:rsidRDefault="0058157E" w:rsidP="003F5081">
            <w:pPr>
              <w:spacing w:after="0" w:line="240" w:lineRule="auto"/>
              <w:rPr>
                <w:rFonts w:ascii="Arial" w:eastAsia="Times New Roman" w:hAnsi="Arial" w:cs="Arial"/>
                <w:b/>
                <w:bCs/>
                <w:sz w:val="18"/>
                <w:szCs w:val="18"/>
              </w:rPr>
            </w:pPr>
            <w:r>
              <w:rPr>
                <w:rFonts w:ascii="Arial" w:hAnsi="Arial" w:cs="Arial"/>
                <w:b/>
                <w:bCs/>
                <w:sz w:val="18"/>
                <w:szCs w:val="18"/>
              </w:rPr>
              <w:t>221.8</w:t>
            </w:r>
          </w:p>
        </w:tc>
        <w:tc>
          <w:tcPr>
            <w:tcW w:w="1321" w:type="dxa"/>
            <w:shd w:val="clear" w:color="000000" w:fill="FFFFFF"/>
            <w:noWrap/>
            <w:vAlign w:val="center"/>
            <w:hideMark/>
          </w:tcPr>
          <w:p w14:paraId="0B62457B" w14:textId="77777777" w:rsidR="0058157E" w:rsidRPr="00CD22C9" w:rsidRDefault="0058157E" w:rsidP="003F5081">
            <w:pPr>
              <w:spacing w:after="0" w:line="240" w:lineRule="auto"/>
              <w:rPr>
                <w:rFonts w:ascii="Arial" w:eastAsia="Times New Roman" w:hAnsi="Arial" w:cs="Arial"/>
                <w:b/>
                <w:bCs/>
                <w:sz w:val="18"/>
                <w:szCs w:val="18"/>
              </w:rPr>
            </w:pPr>
            <w:r>
              <w:rPr>
                <w:rFonts w:ascii="Arial" w:hAnsi="Arial" w:cs="Arial"/>
                <w:b/>
                <w:bCs/>
                <w:sz w:val="18"/>
                <w:szCs w:val="18"/>
              </w:rPr>
              <w:t>235.3</w:t>
            </w:r>
          </w:p>
        </w:tc>
        <w:tc>
          <w:tcPr>
            <w:tcW w:w="1322" w:type="dxa"/>
            <w:shd w:val="clear" w:color="000000" w:fill="FFFFFF"/>
            <w:noWrap/>
            <w:vAlign w:val="center"/>
            <w:hideMark/>
          </w:tcPr>
          <w:p w14:paraId="541049DD" w14:textId="77777777" w:rsidR="0058157E" w:rsidRPr="002408B0" w:rsidRDefault="0058157E" w:rsidP="003F5081">
            <w:pPr>
              <w:spacing w:after="0" w:line="240" w:lineRule="auto"/>
              <w:rPr>
                <w:rFonts w:ascii="Arial" w:eastAsia="Times New Roman" w:hAnsi="Arial" w:cs="Arial"/>
                <w:b/>
                <w:bCs/>
                <w:sz w:val="18"/>
                <w:szCs w:val="18"/>
              </w:rPr>
            </w:pPr>
            <w:r>
              <w:rPr>
                <w:rFonts w:ascii="Arial" w:hAnsi="Arial" w:cs="Arial"/>
                <w:b/>
                <w:bCs/>
                <w:sz w:val="18"/>
                <w:szCs w:val="18"/>
              </w:rPr>
              <w:t>243.2</w:t>
            </w:r>
          </w:p>
        </w:tc>
        <w:tc>
          <w:tcPr>
            <w:tcW w:w="999" w:type="dxa"/>
            <w:shd w:val="clear" w:color="000000" w:fill="FFFFFF"/>
            <w:vAlign w:val="center"/>
            <w:hideMark/>
          </w:tcPr>
          <w:p w14:paraId="0FEE7662" w14:textId="77777777" w:rsidR="0058157E" w:rsidRPr="002408B0" w:rsidRDefault="0058157E" w:rsidP="003F5081">
            <w:pPr>
              <w:spacing w:after="0" w:line="240" w:lineRule="auto"/>
              <w:rPr>
                <w:rFonts w:ascii="Arial" w:eastAsia="Times New Roman" w:hAnsi="Arial" w:cs="Arial"/>
                <w:i/>
                <w:iCs/>
                <w:color w:val="000000"/>
                <w:sz w:val="18"/>
                <w:szCs w:val="18"/>
              </w:rPr>
            </w:pPr>
            <w:r>
              <w:rPr>
                <w:rFonts w:ascii="Arial" w:hAnsi="Arial" w:cs="Arial"/>
                <w:i/>
                <w:iCs/>
                <w:color w:val="000000"/>
                <w:sz w:val="18"/>
                <w:szCs w:val="18"/>
              </w:rPr>
              <w:t>2.8%</w:t>
            </w:r>
          </w:p>
        </w:tc>
      </w:tr>
      <w:tr w:rsidR="0058157E" w:rsidRPr="008C3102" w14:paraId="6DA745B5" w14:textId="77777777" w:rsidTr="003F5081">
        <w:trPr>
          <w:trHeight w:val="241"/>
        </w:trPr>
        <w:tc>
          <w:tcPr>
            <w:tcW w:w="3395" w:type="dxa"/>
            <w:shd w:val="clear" w:color="000000" w:fill="FFFFFF"/>
            <w:noWrap/>
            <w:vAlign w:val="center"/>
            <w:hideMark/>
          </w:tcPr>
          <w:p w14:paraId="209430D7" w14:textId="77777777" w:rsidR="0058157E" w:rsidRPr="0026252D" w:rsidRDefault="0058157E" w:rsidP="003F5081">
            <w:pPr>
              <w:spacing w:after="0" w:line="240" w:lineRule="auto"/>
              <w:rPr>
                <w:rFonts w:ascii="Arial" w:eastAsia="Times New Roman" w:hAnsi="Arial" w:cs="Arial"/>
                <w:i/>
                <w:iCs/>
                <w:color w:val="000000"/>
                <w:sz w:val="18"/>
                <w:szCs w:val="18"/>
              </w:rPr>
            </w:pPr>
            <w:r w:rsidRPr="0026252D">
              <w:rPr>
                <w:rFonts w:ascii="Arial" w:eastAsia="Times New Roman" w:hAnsi="Arial" w:cs="Arial"/>
                <w:i/>
                <w:iCs/>
                <w:color w:val="000000"/>
                <w:sz w:val="18"/>
                <w:szCs w:val="18"/>
              </w:rPr>
              <w:t>Expenses</w:t>
            </w:r>
          </w:p>
        </w:tc>
        <w:tc>
          <w:tcPr>
            <w:tcW w:w="982" w:type="dxa"/>
            <w:shd w:val="clear" w:color="auto" w:fill="auto"/>
            <w:noWrap/>
            <w:hideMark/>
          </w:tcPr>
          <w:p w14:paraId="70227AF9" w14:textId="77777777" w:rsidR="0058157E" w:rsidRPr="00CD22C9" w:rsidRDefault="0058157E" w:rsidP="003F5081">
            <w:pPr>
              <w:spacing w:after="0" w:line="240" w:lineRule="auto"/>
              <w:rPr>
                <w:rFonts w:ascii="Arial" w:eastAsia="Times New Roman" w:hAnsi="Arial" w:cs="Arial"/>
                <w:sz w:val="18"/>
                <w:szCs w:val="18"/>
              </w:rPr>
            </w:pPr>
          </w:p>
        </w:tc>
        <w:tc>
          <w:tcPr>
            <w:tcW w:w="1321" w:type="dxa"/>
            <w:shd w:val="clear" w:color="auto" w:fill="auto"/>
            <w:noWrap/>
            <w:vAlign w:val="center"/>
            <w:hideMark/>
          </w:tcPr>
          <w:p w14:paraId="75D49E9C"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sz w:val="18"/>
                <w:szCs w:val="18"/>
              </w:rPr>
              <w:t xml:space="preserve"> -</w:t>
            </w:r>
          </w:p>
        </w:tc>
        <w:tc>
          <w:tcPr>
            <w:tcW w:w="1321" w:type="dxa"/>
            <w:shd w:val="clear" w:color="auto" w:fill="auto"/>
            <w:noWrap/>
            <w:vAlign w:val="center"/>
            <w:hideMark/>
          </w:tcPr>
          <w:p w14:paraId="78D5C61F"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sz w:val="18"/>
                <w:szCs w:val="18"/>
              </w:rPr>
              <w:t> </w:t>
            </w:r>
          </w:p>
        </w:tc>
        <w:tc>
          <w:tcPr>
            <w:tcW w:w="1322" w:type="dxa"/>
            <w:shd w:val="clear" w:color="auto" w:fill="auto"/>
            <w:noWrap/>
            <w:vAlign w:val="center"/>
            <w:hideMark/>
          </w:tcPr>
          <w:p w14:paraId="3C1E926A"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sz w:val="18"/>
                <w:szCs w:val="18"/>
              </w:rPr>
              <w:t> </w:t>
            </w:r>
          </w:p>
        </w:tc>
        <w:tc>
          <w:tcPr>
            <w:tcW w:w="999" w:type="dxa"/>
            <w:shd w:val="clear" w:color="000000" w:fill="FFFFFF"/>
            <w:vAlign w:val="center"/>
            <w:hideMark/>
          </w:tcPr>
          <w:p w14:paraId="7BE3CFC9" w14:textId="77777777" w:rsidR="0058157E" w:rsidRPr="002408B0" w:rsidRDefault="0058157E" w:rsidP="003F5081">
            <w:pPr>
              <w:spacing w:after="0" w:line="240" w:lineRule="auto"/>
              <w:rPr>
                <w:rFonts w:ascii="Arial" w:eastAsia="Times New Roman" w:hAnsi="Arial" w:cs="Arial"/>
                <w:i/>
                <w:iCs/>
                <w:color w:val="000000"/>
                <w:sz w:val="18"/>
                <w:szCs w:val="18"/>
              </w:rPr>
            </w:pPr>
            <w:r>
              <w:rPr>
                <w:rFonts w:ascii="Arial" w:hAnsi="Arial" w:cs="Arial"/>
                <w:i/>
                <w:iCs/>
                <w:color w:val="000000"/>
                <w:sz w:val="18"/>
                <w:szCs w:val="18"/>
              </w:rPr>
              <w:t> </w:t>
            </w:r>
          </w:p>
        </w:tc>
      </w:tr>
      <w:tr w:rsidR="0058157E" w:rsidRPr="008C3102" w14:paraId="7E95021F" w14:textId="77777777" w:rsidTr="003F5081">
        <w:trPr>
          <w:trHeight w:val="241"/>
        </w:trPr>
        <w:tc>
          <w:tcPr>
            <w:tcW w:w="3395" w:type="dxa"/>
            <w:shd w:val="clear" w:color="000000" w:fill="FFFFFF"/>
            <w:noWrap/>
            <w:vAlign w:val="center"/>
            <w:hideMark/>
          </w:tcPr>
          <w:p w14:paraId="452A1BFA" w14:textId="77777777" w:rsidR="0058157E" w:rsidRPr="0026252D" w:rsidRDefault="0058157E" w:rsidP="003F5081">
            <w:pPr>
              <w:spacing w:after="0" w:line="240" w:lineRule="auto"/>
              <w:ind w:firstLineChars="200" w:firstLine="360"/>
              <w:rPr>
                <w:rFonts w:ascii="Arial" w:eastAsia="Times New Roman" w:hAnsi="Arial" w:cs="Arial"/>
                <w:color w:val="000000"/>
                <w:sz w:val="18"/>
                <w:szCs w:val="18"/>
              </w:rPr>
            </w:pPr>
            <w:r w:rsidRPr="0026252D">
              <w:rPr>
                <w:rFonts w:ascii="Arial" w:eastAsia="Times New Roman" w:hAnsi="Arial" w:cs="Arial"/>
                <w:color w:val="000000"/>
                <w:sz w:val="18"/>
                <w:szCs w:val="18"/>
              </w:rPr>
              <w:t>Pay costs</w:t>
            </w:r>
          </w:p>
        </w:tc>
        <w:tc>
          <w:tcPr>
            <w:tcW w:w="982" w:type="dxa"/>
            <w:shd w:val="clear" w:color="000000" w:fill="FFFFFF"/>
            <w:noWrap/>
            <w:hideMark/>
          </w:tcPr>
          <w:p w14:paraId="7B801CF5" w14:textId="77777777" w:rsidR="0058157E" w:rsidRPr="009D6776" w:rsidRDefault="0058157E" w:rsidP="003F5081">
            <w:pPr>
              <w:spacing w:after="0" w:line="240" w:lineRule="auto"/>
              <w:rPr>
                <w:rFonts w:ascii="Arial" w:eastAsia="Times New Roman" w:hAnsi="Arial" w:cs="Arial"/>
                <w:color w:val="FF0000"/>
                <w:sz w:val="18"/>
                <w:szCs w:val="18"/>
              </w:rPr>
            </w:pPr>
            <w:r w:rsidRPr="009D6776">
              <w:rPr>
                <w:rFonts w:ascii="Arial" w:eastAsia="Times New Roman" w:hAnsi="Arial" w:cs="Arial"/>
                <w:color w:val="FF0000"/>
                <w:sz w:val="18"/>
                <w:szCs w:val="18"/>
              </w:rPr>
              <w:t>(113.7)</w:t>
            </w:r>
          </w:p>
        </w:tc>
        <w:tc>
          <w:tcPr>
            <w:tcW w:w="1321" w:type="dxa"/>
            <w:shd w:val="clear" w:color="000000" w:fill="FFFFFF"/>
            <w:noWrap/>
            <w:vAlign w:val="center"/>
            <w:hideMark/>
          </w:tcPr>
          <w:p w14:paraId="7CE3ECB8"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color w:val="FF0000"/>
                <w:sz w:val="18"/>
                <w:szCs w:val="18"/>
              </w:rPr>
              <w:t>(118.2)</w:t>
            </w:r>
          </w:p>
        </w:tc>
        <w:tc>
          <w:tcPr>
            <w:tcW w:w="1321" w:type="dxa"/>
            <w:shd w:val="clear" w:color="000000" w:fill="FFFFFF"/>
            <w:noWrap/>
            <w:vAlign w:val="center"/>
            <w:hideMark/>
          </w:tcPr>
          <w:p w14:paraId="4EFD49A7"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color w:val="FF0000"/>
                <w:sz w:val="18"/>
                <w:szCs w:val="18"/>
              </w:rPr>
              <w:t>(125.7)</w:t>
            </w:r>
          </w:p>
        </w:tc>
        <w:tc>
          <w:tcPr>
            <w:tcW w:w="1322" w:type="dxa"/>
            <w:shd w:val="clear" w:color="000000" w:fill="FFFFFF"/>
            <w:noWrap/>
            <w:vAlign w:val="center"/>
            <w:hideMark/>
          </w:tcPr>
          <w:p w14:paraId="65FF5A6A"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color w:val="FF0000"/>
                <w:sz w:val="18"/>
                <w:szCs w:val="18"/>
              </w:rPr>
              <w:t>(130.6)</w:t>
            </w:r>
          </w:p>
        </w:tc>
        <w:tc>
          <w:tcPr>
            <w:tcW w:w="999" w:type="dxa"/>
            <w:shd w:val="clear" w:color="000000" w:fill="FFFFFF"/>
            <w:vAlign w:val="center"/>
            <w:hideMark/>
          </w:tcPr>
          <w:p w14:paraId="103C910B" w14:textId="77777777" w:rsidR="0058157E" w:rsidRPr="002408B0" w:rsidRDefault="0058157E" w:rsidP="003F5081">
            <w:pPr>
              <w:spacing w:after="0" w:line="240" w:lineRule="auto"/>
              <w:rPr>
                <w:rFonts w:ascii="Arial" w:eastAsia="Times New Roman" w:hAnsi="Arial" w:cs="Arial"/>
                <w:i/>
                <w:iCs/>
                <w:color w:val="000000"/>
                <w:sz w:val="18"/>
                <w:szCs w:val="18"/>
              </w:rPr>
            </w:pPr>
            <w:r>
              <w:rPr>
                <w:rFonts w:ascii="Arial" w:hAnsi="Arial" w:cs="Arial"/>
                <w:i/>
                <w:iCs/>
                <w:color w:val="000000"/>
                <w:sz w:val="18"/>
                <w:szCs w:val="18"/>
              </w:rPr>
              <w:t>4.7%</w:t>
            </w:r>
          </w:p>
        </w:tc>
      </w:tr>
      <w:tr w:rsidR="0058157E" w:rsidRPr="008C3102" w14:paraId="49FAE916" w14:textId="77777777" w:rsidTr="003F5081">
        <w:trPr>
          <w:trHeight w:val="241"/>
        </w:trPr>
        <w:tc>
          <w:tcPr>
            <w:tcW w:w="3395" w:type="dxa"/>
            <w:shd w:val="clear" w:color="000000" w:fill="FFFFFF"/>
            <w:noWrap/>
            <w:vAlign w:val="center"/>
            <w:hideMark/>
          </w:tcPr>
          <w:p w14:paraId="357F6921" w14:textId="77777777" w:rsidR="0058157E" w:rsidRPr="0026252D" w:rsidRDefault="0058157E" w:rsidP="003F5081">
            <w:pPr>
              <w:spacing w:after="0" w:line="240" w:lineRule="auto"/>
              <w:ind w:firstLineChars="200" w:firstLine="360"/>
              <w:rPr>
                <w:rFonts w:ascii="Arial" w:eastAsia="Times New Roman" w:hAnsi="Arial" w:cs="Arial"/>
                <w:color w:val="000000"/>
                <w:sz w:val="18"/>
                <w:szCs w:val="18"/>
              </w:rPr>
            </w:pPr>
            <w:r w:rsidRPr="0026252D">
              <w:rPr>
                <w:rFonts w:ascii="Arial" w:eastAsia="Times New Roman" w:hAnsi="Arial" w:cs="Arial"/>
                <w:color w:val="000000"/>
                <w:sz w:val="18"/>
                <w:szCs w:val="18"/>
              </w:rPr>
              <w:t>Non-pay costs</w:t>
            </w:r>
          </w:p>
        </w:tc>
        <w:tc>
          <w:tcPr>
            <w:tcW w:w="982" w:type="dxa"/>
            <w:shd w:val="clear" w:color="000000" w:fill="FFFFFF"/>
            <w:noWrap/>
            <w:hideMark/>
          </w:tcPr>
          <w:p w14:paraId="73F0F937" w14:textId="77777777" w:rsidR="0058157E" w:rsidRPr="009D6776" w:rsidRDefault="0058157E" w:rsidP="003F5081">
            <w:pPr>
              <w:spacing w:after="0" w:line="240" w:lineRule="auto"/>
              <w:rPr>
                <w:rFonts w:ascii="Arial" w:eastAsia="Times New Roman" w:hAnsi="Arial" w:cs="Arial"/>
                <w:color w:val="FF0000"/>
                <w:sz w:val="18"/>
                <w:szCs w:val="18"/>
              </w:rPr>
            </w:pPr>
            <w:r w:rsidRPr="009D6776">
              <w:rPr>
                <w:rFonts w:ascii="Arial" w:eastAsia="Times New Roman" w:hAnsi="Arial" w:cs="Arial"/>
                <w:color w:val="FF0000"/>
                <w:sz w:val="18"/>
                <w:szCs w:val="18"/>
              </w:rPr>
              <w:t>(86.4)</w:t>
            </w:r>
          </w:p>
        </w:tc>
        <w:tc>
          <w:tcPr>
            <w:tcW w:w="1321" w:type="dxa"/>
            <w:shd w:val="clear" w:color="000000" w:fill="FFFFFF"/>
            <w:noWrap/>
            <w:vAlign w:val="center"/>
            <w:hideMark/>
          </w:tcPr>
          <w:p w14:paraId="7E95B833"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color w:val="FF0000"/>
                <w:sz w:val="18"/>
                <w:szCs w:val="18"/>
              </w:rPr>
              <w:t>(84.9)</w:t>
            </w:r>
          </w:p>
        </w:tc>
        <w:tc>
          <w:tcPr>
            <w:tcW w:w="1321" w:type="dxa"/>
            <w:shd w:val="clear" w:color="000000" w:fill="FFFFFF"/>
            <w:noWrap/>
            <w:vAlign w:val="center"/>
            <w:hideMark/>
          </w:tcPr>
          <w:p w14:paraId="50C87B3B"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color w:val="FF0000"/>
                <w:sz w:val="18"/>
                <w:szCs w:val="18"/>
              </w:rPr>
              <w:t>(92.0)</w:t>
            </w:r>
          </w:p>
        </w:tc>
        <w:tc>
          <w:tcPr>
            <w:tcW w:w="1322" w:type="dxa"/>
            <w:shd w:val="clear" w:color="000000" w:fill="FFFFFF"/>
            <w:noWrap/>
            <w:vAlign w:val="center"/>
            <w:hideMark/>
          </w:tcPr>
          <w:p w14:paraId="362C6645" w14:textId="77777777" w:rsidR="0058157E" w:rsidRPr="002408B0" w:rsidRDefault="0058157E" w:rsidP="003F5081">
            <w:pPr>
              <w:spacing w:after="0" w:line="240" w:lineRule="auto"/>
              <w:rPr>
                <w:rFonts w:ascii="Arial" w:eastAsia="Times New Roman" w:hAnsi="Arial" w:cs="Arial"/>
                <w:color w:val="FF0000"/>
                <w:sz w:val="18"/>
                <w:szCs w:val="18"/>
              </w:rPr>
            </w:pPr>
            <w:r>
              <w:rPr>
                <w:rFonts w:ascii="Arial" w:hAnsi="Arial" w:cs="Arial"/>
                <w:color w:val="FF0000"/>
                <w:sz w:val="18"/>
                <w:szCs w:val="18"/>
              </w:rPr>
              <w:t>(103.0)</w:t>
            </w:r>
          </w:p>
        </w:tc>
        <w:tc>
          <w:tcPr>
            <w:tcW w:w="999" w:type="dxa"/>
            <w:shd w:val="clear" w:color="000000" w:fill="FFFFFF"/>
            <w:vAlign w:val="center"/>
            <w:hideMark/>
          </w:tcPr>
          <w:p w14:paraId="605C24C1" w14:textId="77777777" w:rsidR="0058157E" w:rsidRPr="00CD22C9" w:rsidRDefault="0058157E" w:rsidP="003F5081">
            <w:pPr>
              <w:spacing w:after="0" w:line="240" w:lineRule="auto"/>
              <w:rPr>
                <w:rFonts w:ascii="Arial" w:eastAsia="Times New Roman" w:hAnsi="Arial" w:cs="Arial"/>
                <w:i/>
                <w:iCs/>
                <w:color w:val="000000"/>
                <w:sz w:val="18"/>
                <w:szCs w:val="18"/>
              </w:rPr>
            </w:pPr>
            <w:r>
              <w:rPr>
                <w:rFonts w:ascii="Arial" w:hAnsi="Arial" w:cs="Arial"/>
                <w:i/>
                <w:iCs/>
                <w:color w:val="000000"/>
                <w:sz w:val="18"/>
                <w:szCs w:val="18"/>
              </w:rPr>
              <w:t>6.0%</w:t>
            </w:r>
          </w:p>
        </w:tc>
      </w:tr>
      <w:tr w:rsidR="0058157E" w:rsidRPr="008C3102" w14:paraId="5B95C952" w14:textId="77777777" w:rsidTr="003F5081">
        <w:trPr>
          <w:trHeight w:val="241"/>
        </w:trPr>
        <w:tc>
          <w:tcPr>
            <w:tcW w:w="3395" w:type="dxa"/>
            <w:shd w:val="clear" w:color="000000" w:fill="FFFFFF"/>
            <w:noWrap/>
            <w:vAlign w:val="center"/>
            <w:hideMark/>
          </w:tcPr>
          <w:p w14:paraId="39CCDD30" w14:textId="77777777" w:rsidR="0058157E" w:rsidRPr="0026252D" w:rsidRDefault="0058157E" w:rsidP="003F5081">
            <w:pPr>
              <w:spacing w:after="0" w:line="240" w:lineRule="auto"/>
              <w:rPr>
                <w:rFonts w:ascii="Arial" w:eastAsia="Times New Roman" w:hAnsi="Arial" w:cs="Arial"/>
                <w:b/>
                <w:bCs/>
                <w:color w:val="000000"/>
                <w:sz w:val="18"/>
                <w:szCs w:val="18"/>
              </w:rPr>
            </w:pPr>
            <w:r w:rsidRPr="0026252D">
              <w:rPr>
                <w:rFonts w:ascii="Arial" w:eastAsia="Times New Roman" w:hAnsi="Arial" w:cs="Arial"/>
                <w:b/>
                <w:bCs/>
                <w:color w:val="000000"/>
                <w:sz w:val="18"/>
                <w:szCs w:val="18"/>
              </w:rPr>
              <w:t>Total operating expenses</w:t>
            </w:r>
          </w:p>
        </w:tc>
        <w:tc>
          <w:tcPr>
            <w:tcW w:w="982" w:type="dxa"/>
            <w:shd w:val="clear" w:color="000000" w:fill="FFFFFF"/>
            <w:noWrap/>
            <w:hideMark/>
          </w:tcPr>
          <w:p w14:paraId="034E5F5F" w14:textId="77777777" w:rsidR="0058157E" w:rsidRPr="009D6776" w:rsidRDefault="0058157E" w:rsidP="003F5081">
            <w:pPr>
              <w:spacing w:after="0" w:line="240" w:lineRule="auto"/>
              <w:rPr>
                <w:rFonts w:ascii="Arial" w:eastAsia="Times New Roman" w:hAnsi="Arial" w:cs="Arial"/>
                <w:b/>
                <w:color w:val="FF0000"/>
                <w:sz w:val="18"/>
                <w:szCs w:val="18"/>
              </w:rPr>
            </w:pPr>
            <w:r w:rsidRPr="009D6776">
              <w:rPr>
                <w:rFonts w:ascii="Arial" w:eastAsia="Times New Roman" w:hAnsi="Arial" w:cs="Arial"/>
                <w:b/>
                <w:color w:val="FF0000"/>
                <w:sz w:val="18"/>
                <w:szCs w:val="18"/>
              </w:rPr>
              <w:t>(200.1)</w:t>
            </w:r>
          </w:p>
        </w:tc>
        <w:tc>
          <w:tcPr>
            <w:tcW w:w="1321" w:type="dxa"/>
            <w:shd w:val="clear" w:color="000000" w:fill="FFFFFF"/>
            <w:noWrap/>
            <w:vAlign w:val="center"/>
            <w:hideMark/>
          </w:tcPr>
          <w:p w14:paraId="70AD6652" w14:textId="77777777" w:rsidR="0058157E" w:rsidRPr="00CD22C9" w:rsidRDefault="0058157E" w:rsidP="003F5081">
            <w:pPr>
              <w:spacing w:after="0" w:line="240" w:lineRule="auto"/>
              <w:rPr>
                <w:rFonts w:ascii="Arial" w:eastAsia="Times New Roman" w:hAnsi="Arial" w:cs="Arial"/>
                <w:b/>
                <w:bCs/>
                <w:sz w:val="18"/>
                <w:szCs w:val="18"/>
              </w:rPr>
            </w:pPr>
            <w:r>
              <w:rPr>
                <w:rFonts w:ascii="Arial" w:hAnsi="Arial" w:cs="Arial"/>
                <w:b/>
                <w:bCs/>
                <w:color w:val="FF0000"/>
                <w:sz w:val="18"/>
                <w:szCs w:val="18"/>
              </w:rPr>
              <w:t>(203.1)</w:t>
            </w:r>
          </w:p>
        </w:tc>
        <w:tc>
          <w:tcPr>
            <w:tcW w:w="1321" w:type="dxa"/>
            <w:shd w:val="clear" w:color="000000" w:fill="FFFFFF"/>
            <w:noWrap/>
            <w:vAlign w:val="center"/>
            <w:hideMark/>
          </w:tcPr>
          <w:p w14:paraId="473B5B71" w14:textId="77777777" w:rsidR="0058157E" w:rsidRPr="00CD22C9" w:rsidRDefault="0058157E" w:rsidP="003F5081">
            <w:pPr>
              <w:spacing w:after="0" w:line="240" w:lineRule="auto"/>
              <w:rPr>
                <w:rFonts w:ascii="Arial" w:eastAsia="Times New Roman" w:hAnsi="Arial" w:cs="Arial"/>
                <w:b/>
                <w:bCs/>
                <w:sz w:val="18"/>
                <w:szCs w:val="18"/>
              </w:rPr>
            </w:pPr>
            <w:r>
              <w:rPr>
                <w:rFonts w:ascii="Arial" w:hAnsi="Arial" w:cs="Arial"/>
                <w:b/>
                <w:bCs/>
                <w:color w:val="FF0000"/>
                <w:sz w:val="18"/>
                <w:szCs w:val="18"/>
              </w:rPr>
              <w:t>(217.7)</w:t>
            </w:r>
          </w:p>
        </w:tc>
        <w:tc>
          <w:tcPr>
            <w:tcW w:w="1322" w:type="dxa"/>
            <w:shd w:val="clear" w:color="000000" w:fill="FFFFFF"/>
            <w:noWrap/>
            <w:vAlign w:val="center"/>
            <w:hideMark/>
          </w:tcPr>
          <w:p w14:paraId="4B2FCE00" w14:textId="77777777" w:rsidR="0058157E" w:rsidRPr="002408B0" w:rsidRDefault="0058157E" w:rsidP="003F5081">
            <w:pPr>
              <w:spacing w:after="0" w:line="240" w:lineRule="auto"/>
              <w:rPr>
                <w:rFonts w:ascii="Arial" w:eastAsia="Times New Roman" w:hAnsi="Arial" w:cs="Arial"/>
                <w:b/>
                <w:color w:val="FF0000"/>
                <w:sz w:val="18"/>
                <w:szCs w:val="18"/>
              </w:rPr>
            </w:pPr>
            <w:r>
              <w:rPr>
                <w:rFonts w:ascii="Arial" w:hAnsi="Arial" w:cs="Arial"/>
                <w:b/>
                <w:bCs/>
                <w:color w:val="FF0000"/>
                <w:sz w:val="18"/>
                <w:szCs w:val="18"/>
              </w:rPr>
              <w:t>(233.6)</w:t>
            </w:r>
          </w:p>
        </w:tc>
        <w:tc>
          <w:tcPr>
            <w:tcW w:w="999" w:type="dxa"/>
            <w:shd w:val="clear" w:color="000000" w:fill="FFFFFF"/>
            <w:vAlign w:val="center"/>
            <w:hideMark/>
          </w:tcPr>
          <w:p w14:paraId="03FEA893" w14:textId="77777777" w:rsidR="0058157E" w:rsidRPr="00CD22C9" w:rsidRDefault="0058157E" w:rsidP="003F5081">
            <w:pPr>
              <w:spacing w:after="0" w:line="240" w:lineRule="auto"/>
              <w:rPr>
                <w:rFonts w:ascii="Arial" w:eastAsia="Times New Roman" w:hAnsi="Arial" w:cs="Arial"/>
                <w:i/>
                <w:iCs/>
                <w:color w:val="000000"/>
                <w:sz w:val="18"/>
                <w:szCs w:val="18"/>
              </w:rPr>
            </w:pPr>
            <w:r>
              <w:rPr>
                <w:rFonts w:ascii="Arial" w:hAnsi="Arial" w:cs="Arial"/>
                <w:i/>
                <w:iCs/>
                <w:color w:val="000000"/>
                <w:sz w:val="18"/>
                <w:szCs w:val="18"/>
              </w:rPr>
              <w:t>5.3%</w:t>
            </w:r>
          </w:p>
        </w:tc>
      </w:tr>
      <w:tr w:rsidR="0058157E" w:rsidRPr="008C3102" w14:paraId="4520B040" w14:textId="77777777" w:rsidTr="003F5081">
        <w:trPr>
          <w:trHeight w:val="241"/>
        </w:trPr>
        <w:tc>
          <w:tcPr>
            <w:tcW w:w="3395" w:type="dxa"/>
            <w:shd w:val="clear" w:color="000000" w:fill="FFFFFF"/>
            <w:noWrap/>
            <w:vAlign w:val="center"/>
            <w:hideMark/>
          </w:tcPr>
          <w:p w14:paraId="1C59384A" w14:textId="77777777" w:rsidR="0058157E" w:rsidRPr="0026252D" w:rsidRDefault="0058157E" w:rsidP="003F5081">
            <w:pPr>
              <w:spacing w:after="0" w:line="240" w:lineRule="auto"/>
              <w:rPr>
                <w:rFonts w:ascii="Arial" w:eastAsia="Times New Roman" w:hAnsi="Arial" w:cs="Arial"/>
                <w:color w:val="000000"/>
                <w:sz w:val="18"/>
                <w:szCs w:val="18"/>
              </w:rPr>
            </w:pPr>
            <w:r w:rsidRPr="0026252D">
              <w:rPr>
                <w:rFonts w:ascii="Arial" w:eastAsia="Times New Roman" w:hAnsi="Arial" w:cs="Arial"/>
                <w:color w:val="000000"/>
                <w:sz w:val="18"/>
                <w:szCs w:val="18"/>
              </w:rPr>
              <w:t> </w:t>
            </w:r>
          </w:p>
        </w:tc>
        <w:tc>
          <w:tcPr>
            <w:tcW w:w="982" w:type="dxa"/>
            <w:shd w:val="clear" w:color="auto" w:fill="auto"/>
            <w:noWrap/>
            <w:hideMark/>
          </w:tcPr>
          <w:p w14:paraId="25D13F22" w14:textId="77777777" w:rsidR="0058157E" w:rsidRPr="00CD22C9" w:rsidRDefault="0058157E" w:rsidP="003F5081">
            <w:pPr>
              <w:spacing w:after="0" w:line="240" w:lineRule="auto"/>
              <w:rPr>
                <w:rFonts w:ascii="Arial" w:eastAsia="Times New Roman" w:hAnsi="Arial" w:cs="Arial"/>
                <w:sz w:val="18"/>
                <w:szCs w:val="18"/>
              </w:rPr>
            </w:pPr>
          </w:p>
        </w:tc>
        <w:tc>
          <w:tcPr>
            <w:tcW w:w="1321" w:type="dxa"/>
            <w:shd w:val="clear" w:color="auto" w:fill="auto"/>
            <w:noWrap/>
            <w:vAlign w:val="center"/>
            <w:hideMark/>
          </w:tcPr>
          <w:p w14:paraId="676FC36E"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sz w:val="18"/>
                <w:szCs w:val="18"/>
              </w:rPr>
              <w:t> </w:t>
            </w:r>
          </w:p>
        </w:tc>
        <w:tc>
          <w:tcPr>
            <w:tcW w:w="1321" w:type="dxa"/>
            <w:shd w:val="clear" w:color="auto" w:fill="auto"/>
            <w:noWrap/>
            <w:vAlign w:val="center"/>
            <w:hideMark/>
          </w:tcPr>
          <w:p w14:paraId="45A9491F"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sz w:val="18"/>
                <w:szCs w:val="18"/>
              </w:rPr>
              <w:t> </w:t>
            </w:r>
          </w:p>
        </w:tc>
        <w:tc>
          <w:tcPr>
            <w:tcW w:w="1322" w:type="dxa"/>
            <w:shd w:val="clear" w:color="auto" w:fill="auto"/>
            <w:noWrap/>
            <w:vAlign w:val="center"/>
            <w:hideMark/>
          </w:tcPr>
          <w:p w14:paraId="0A671543"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sz w:val="18"/>
                <w:szCs w:val="18"/>
              </w:rPr>
              <w:t> </w:t>
            </w:r>
          </w:p>
        </w:tc>
        <w:tc>
          <w:tcPr>
            <w:tcW w:w="999" w:type="dxa"/>
            <w:shd w:val="clear" w:color="000000" w:fill="FFFFFF"/>
            <w:vAlign w:val="center"/>
            <w:hideMark/>
          </w:tcPr>
          <w:p w14:paraId="2FA76D81" w14:textId="77777777" w:rsidR="0058157E" w:rsidRPr="00CD22C9" w:rsidRDefault="0058157E" w:rsidP="003F5081">
            <w:pPr>
              <w:spacing w:after="0" w:line="240" w:lineRule="auto"/>
              <w:rPr>
                <w:rFonts w:ascii="Arial" w:eastAsia="Times New Roman" w:hAnsi="Arial" w:cs="Arial"/>
                <w:i/>
                <w:iCs/>
                <w:color w:val="000000"/>
                <w:sz w:val="18"/>
                <w:szCs w:val="18"/>
              </w:rPr>
            </w:pPr>
            <w:r>
              <w:rPr>
                <w:rFonts w:ascii="Arial" w:hAnsi="Arial" w:cs="Arial"/>
                <w:i/>
                <w:iCs/>
                <w:color w:val="000000"/>
                <w:sz w:val="18"/>
                <w:szCs w:val="18"/>
              </w:rPr>
              <w:t> </w:t>
            </w:r>
          </w:p>
        </w:tc>
      </w:tr>
      <w:tr w:rsidR="0058157E" w:rsidRPr="008C3102" w14:paraId="0E62FE72" w14:textId="77777777" w:rsidTr="003F5081">
        <w:trPr>
          <w:trHeight w:val="241"/>
        </w:trPr>
        <w:tc>
          <w:tcPr>
            <w:tcW w:w="3395" w:type="dxa"/>
            <w:shd w:val="clear" w:color="000000" w:fill="FFFFFF"/>
            <w:noWrap/>
            <w:vAlign w:val="center"/>
            <w:hideMark/>
          </w:tcPr>
          <w:p w14:paraId="12165E8B" w14:textId="77777777" w:rsidR="0058157E" w:rsidRPr="0026252D" w:rsidRDefault="0058157E" w:rsidP="003F5081">
            <w:pPr>
              <w:spacing w:after="0" w:line="240" w:lineRule="auto"/>
              <w:rPr>
                <w:rFonts w:ascii="Arial" w:eastAsia="Times New Roman" w:hAnsi="Arial" w:cs="Arial"/>
                <w:b/>
                <w:bCs/>
                <w:color w:val="000000"/>
                <w:sz w:val="18"/>
                <w:szCs w:val="18"/>
              </w:rPr>
            </w:pPr>
            <w:r w:rsidRPr="0026252D">
              <w:rPr>
                <w:rFonts w:ascii="Arial" w:eastAsia="Times New Roman" w:hAnsi="Arial" w:cs="Arial"/>
                <w:b/>
                <w:bCs/>
                <w:color w:val="000000"/>
                <w:sz w:val="18"/>
                <w:szCs w:val="18"/>
              </w:rPr>
              <w:t>EBITDA</w:t>
            </w:r>
          </w:p>
        </w:tc>
        <w:tc>
          <w:tcPr>
            <w:tcW w:w="982" w:type="dxa"/>
            <w:shd w:val="clear" w:color="000000" w:fill="FFFFFF"/>
            <w:noWrap/>
            <w:hideMark/>
          </w:tcPr>
          <w:p w14:paraId="7F35C56C" w14:textId="77777777" w:rsidR="0058157E" w:rsidRPr="009D6776" w:rsidRDefault="0058157E" w:rsidP="003F5081">
            <w:pPr>
              <w:spacing w:after="0" w:line="240" w:lineRule="auto"/>
              <w:rPr>
                <w:rFonts w:ascii="Arial" w:eastAsia="Times New Roman" w:hAnsi="Arial" w:cs="Arial"/>
                <w:b/>
                <w:sz w:val="18"/>
                <w:szCs w:val="18"/>
              </w:rPr>
            </w:pPr>
            <w:r w:rsidRPr="009D6776">
              <w:rPr>
                <w:rFonts w:ascii="Arial" w:eastAsia="Times New Roman" w:hAnsi="Arial" w:cs="Arial"/>
                <w:b/>
                <w:sz w:val="18"/>
                <w:szCs w:val="18"/>
              </w:rPr>
              <w:t>23.7</w:t>
            </w:r>
          </w:p>
        </w:tc>
        <w:tc>
          <w:tcPr>
            <w:tcW w:w="1321" w:type="dxa"/>
            <w:shd w:val="clear" w:color="000000" w:fill="FFFFFF"/>
            <w:noWrap/>
            <w:vAlign w:val="center"/>
            <w:hideMark/>
          </w:tcPr>
          <w:p w14:paraId="4CE3B2A6" w14:textId="77777777" w:rsidR="0058157E" w:rsidRPr="00CD22C9" w:rsidRDefault="0058157E" w:rsidP="003F5081">
            <w:pPr>
              <w:spacing w:after="0" w:line="240" w:lineRule="auto"/>
              <w:rPr>
                <w:rFonts w:ascii="Arial" w:eastAsia="Times New Roman" w:hAnsi="Arial" w:cs="Arial"/>
                <w:b/>
                <w:bCs/>
                <w:sz w:val="18"/>
                <w:szCs w:val="18"/>
              </w:rPr>
            </w:pPr>
            <w:r>
              <w:rPr>
                <w:rFonts w:ascii="Arial" w:hAnsi="Arial" w:cs="Arial"/>
                <w:b/>
                <w:bCs/>
                <w:sz w:val="18"/>
                <w:szCs w:val="18"/>
              </w:rPr>
              <w:t>18.8</w:t>
            </w:r>
          </w:p>
        </w:tc>
        <w:tc>
          <w:tcPr>
            <w:tcW w:w="1321" w:type="dxa"/>
            <w:shd w:val="clear" w:color="000000" w:fill="FFFFFF"/>
            <w:noWrap/>
            <w:vAlign w:val="center"/>
            <w:hideMark/>
          </w:tcPr>
          <w:p w14:paraId="5649723B" w14:textId="77777777" w:rsidR="0058157E" w:rsidRPr="00CD22C9" w:rsidRDefault="0058157E" w:rsidP="003F5081">
            <w:pPr>
              <w:spacing w:after="0" w:line="240" w:lineRule="auto"/>
              <w:rPr>
                <w:rFonts w:ascii="Arial" w:eastAsia="Times New Roman" w:hAnsi="Arial" w:cs="Arial"/>
                <w:b/>
                <w:bCs/>
                <w:sz w:val="18"/>
                <w:szCs w:val="18"/>
              </w:rPr>
            </w:pPr>
            <w:r>
              <w:rPr>
                <w:rFonts w:ascii="Arial" w:hAnsi="Arial" w:cs="Arial"/>
                <w:b/>
                <w:bCs/>
                <w:sz w:val="18"/>
                <w:szCs w:val="18"/>
              </w:rPr>
              <w:t>17.6</w:t>
            </w:r>
          </w:p>
        </w:tc>
        <w:tc>
          <w:tcPr>
            <w:tcW w:w="1322" w:type="dxa"/>
            <w:shd w:val="clear" w:color="000000" w:fill="FFFFFF"/>
            <w:noWrap/>
            <w:vAlign w:val="center"/>
            <w:hideMark/>
          </w:tcPr>
          <w:p w14:paraId="5AB018CC" w14:textId="77777777" w:rsidR="0058157E" w:rsidRPr="002408B0" w:rsidRDefault="0058157E" w:rsidP="003F5081">
            <w:pPr>
              <w:spacing w:after="0" w:line="240" w:lineRule="auto"/>
              <w:rPr>
                <w:rFonts w:ascii="Arial" w:eastAsia="Times New Roman" w:hAnsi="Arial" w:cs="Arial"/>
                <w:b/>
                <w:bCs/>
                <w:sz w:val="18"/>
                <w:szCs w:val="18"/>
              </w:rPr>
            </w:pPr>
            <w:r>
              <w:rPr>
                <w:rFonts w:ascii="Arial" w:hAnsi="Arial" w:cs="Arial"/>
                <w:b/>
                <w:bCs/>
                <w:sz w:val="18"/>
                <w:szCs w:val="18"/>
              </w:rPr>
              <w:t>9.5</w:t>
            </w:r>
          </w:p>
        </w:tc>
        <w:tc>
          <w:tcPr>
            <w:tcW w:w="999" w:type="dxa"/>
            <w:shd w:val="clear" w:color="000000" w:fill="FFFFFF"/>
            <w:vAlign w:val="center"/>
            <w:hideMark/>
          </w:tcPr>
          <w:p w14:paraId="30B4425F" w14:textId="77777777" w:rsidR="0058157E" w:rsidRPr="00CD22C9" w:rsidRDefault="0058157E" w:rsidP="003F5081">
            <w:pPr>
              <w:spacing w:after="0" w:line="240" w:lineRule="auto"/>
              <w:rPr>
                <w:rFonts w:ascii="Arial" w:eastAsia="Times New Roman" w:hAnsi="Arial" w:cs="Arial"/>
                <w:i/>
                <w:iCs/>
                <w:color w:val="000000"/>
                <w:sz w:val="18"/>
                <w:szCs w:val="18"/>
              </w:rPr>
            </w:pPr>
            <w:r>
              <w:rPr>
                <w:rFonts w:ascii="Arial" w:hAnsi="Arial" w:cs="Arial"/>
                <w:i/>
                <w:iCs/>
                <w:color w:val="000000"/>
                <w:sz w:val="18"/>
                <w:szCs w:val="18"/>
              </w:rPr>
              <w:t>-26.2%</w:t>
            </w:r>
          </w:p>
        </w:tc>
      </w:tr>
      <w:tr w:rsidR="0058157E" w:rsidRPr="008C3102" w14:paraId="1D79DA2B" w14:textId="77777777" w:rsidTr="003F5081">
        <w:trPr>
          <w:trHeight w:val="241"/>
        </w:trPr>
        <w:tc>
          <w:tcPr>
            <w:tcW w:w="3395" w:type="dxa"/>
            <w:shd w:val="clear" w:color="000000" w:fill="FFFFFF"/>
            <w:noWrap/>
            <w:vAlign w:val="center"/>
            <w:hideMark/>
          </w:tcPr>
          <w:p w14:paraId="06C81D48" w14:textId="77777777" w:rsidR="0058157E" w:rsidRPr="0026252D" w:rsidRDefault="0058157E" w:rsidP="003F5081">
            <w:pPr>
              <w:spacing w:after="0" w:line="240" w:lineRule="auto"/>
              <w:rPr>
                <w:rFonts w:ascii="Arial" w:eastAsia="Times New Roman" w:hAnsi="Arial" w:cs="Arial"/>
                <w:i/>
                <w:iCs/>
                <w:color w:val="000000"/>
                <w:sz w:val="18"/>
                <w:szCs w:val="18"/>
              </w:rPr>
            </w:pPr>
            <w:r w:rsidRPr="0026252D">
              <w:rPr>
                <w:rFonts w:ascii="Arial" w:eastAsia="Times New Roman" w:hAnsi="Arial" w:cs="Arial"/>
                <w:i/>
                <w:iCs/>
                <w:color w:val="000000"/>
                <w:sz w:val="18"/>
                <w:szCs w:val="18"/>
              </w:rPr>
              <w:t>EBITDA %</w:t>
            </w:r>
          </w:p>
        </w:tc>
        <w:tc>
          <w:tcPr>
            <w:tcW w:w="982" w:type="dxa"/>
            <w:shd w:val="clear" w:color="auto" w:fill="auto"/>
            <w:noWrap/>
            <w:hideMark/>
          </w:tcPr>
          <w:p w14:paraId="4617F9AB" w14:textId="77777777" w:rsidR="0058157E" w:rsidRPr="009D6776" w:rsidRDefault="0058157E" w:rsidP="003F5081">
            <w:pPr>
              <w:spacing w:after="0" w:line="240" w:lineRule="auto"/>
              <w:rPr>
                <w:rFonts w:ascii="Arial" w:eastAsia="Times New Roman" w:hAnsi="Arial" w:cs="Arial"/>
                <w:i/>
                <w:sz w:val="18"/>
                <w:szCs w:val="18"/>
              </w:rPr>
            </w:pPr>
            <w:r w:rsidRPr="009D6776">
              <w:rPr>
                <w:rFonts w:ascii="Arial" w:eastAsia="Times New Roman" w:hAnsi="Arial" w:cs="Arial"/>
                <w:i/>
                <w:sz w:val="18"/>
                <w:szCs w:val="18"/>
              </w:rPr>
              <w:t>10.6%</w:t>
            </w:r>
          </w:p>
        </w:tc>
        <w:tc>
          <w:tcPr>
            <w:tcW w:w="1321" w:type="dxa"/>
            <w:shd w:val="clear" w:color="auto" w:fill="auto"/>
            <w:noWrap/>
            <w:vAlign w:val="center"/>
            <w:hideMark/>
          </w:tcPr>
          <w:p w14:paraId="20D1FCE6" w14:textId="77777777" w:rsidR="0058157E" w:rsidRPr="00CD22C9" w:rsidRDefault="0058157E" w:rsidP="003F5081">
            <w:pPr>
              <w:spacing w:after="0" w:line="240" w:lineRule="auto"/>
              <w:rPr>
                <w:rFonts w:ascii="Arial" w:eastAsia="Times New Roman" w:hAnsi="Arial" w:cs="Arial"/>
                <w:i/>
                <w:iCs/>
                <w:sz w:val="18"/>
                <w:szCs w:val="18"/>
              </w:rPr>
            </w:pPr>
            <w:r>
              <w:rPr>
                <w:rFonts w:ascii="Arial" w:hAnsi="Arial" w:cs="Arial"/>
                <w:i/>
                <w:iCs/>
                <w:sz w:val="18"/>
                <w:szCs w:val="18"/>
              </w:rPr>
              <w:t>8.5%</w:t>
            </w:r>
          </w:p>
        </w:tc>
        <w:tc>
          <w:tcPr>
            <w:tcW w:w="1321" w:type="dxa"/>
            <w:shd w:val="clear" w:color="auto" w:fill="auto"/>
            <w:noWrap/>
            <w:vAlign w:val="center"/>
            <w:hideMark/>
          </w:tcPr>
          <w:p w14:paraId="32DFCCFC" w14:textId="77777777" w:rsidR="0058157E" w:rsidRPr="00CD22C9" w:rsidRDefault="0058157E" w:rsidP="003F5081">
            <w:pPr>
              <w:spacing w:after="0" w:line="240" w:lineRule="auto"/>
              <w:rPr>
                <w:rFonts w:ascii="Arial" w:eastAsia="Times New Roman" w:hAnsi="Arial" w:cs="Arial"/>
                <w:i/>
                <w:iCs/>
                <w:sz w:val="18"/>
                <w:szCs w:val="18"/>
              </w:rPr>
            </w:pPr>
            <w:r>
              <w:rPr>
                <w:rFonts w:ascii="Arial" w:hAnsi="Arial" w:cs="Arial"/>
                <w:i/>
                <w:iCs/>
                <w:sz w:val="18"/>
                <w:szCs w:val="18"/>
              </w:rPr>
              <w:t>7.5%</w:t>
            </w:r>
          </w:p>
        </w:tc>
        <w:tc>
          <w:tcPr>
            <w:tcW w:w="1322" w:type="dxa"/>
            <w:shd w:val="clear" w:color="auto" w:fill="auto"/>
            <w:noWrap/>
            <w:vAlign w:val="center"/>
            <w:hideMark/>
          </w:tcPr>
          <w:p w14:paraId="4EC7B9AF" w14:textId="77777777" w:rsidR="0058157E" w:rsidRPr="002408B0" w:rsidRDefault="0058157E" w:rsidP="003F5081">
            <w:pPr>
              <w:spacing w:after="0" w:line="240" w:lineRule="auto"/>
              <w:rPr>
                <w:rFonts w:ascii="Arial" w:eastAsia="Times New Roman" w:hAnsi="Arial" w:cs="Arial"/>
                <w:i/>
                <w:iCs/>
                <w:sz w:val="18"/>
                <w:szCs w:val="18"/>
              </w:rPr>
            </w:pPr>
            <w:r>
              <w:rPr>
                <w:rFonts w:ascii="Arial" w:hAnsi="Arial" w:cs="Arial"/>
                <w:i/>
                <w:iCs/>
                <w:sz w:val="18"/>
                <w:szCs w:val="18"/>
              </w:rPr>
              <w:t>3.9%</w:t>
            </w:r>
          </w:p>
        </w:tc>
        <w:tc>
          <w:tcPr>
            <w:tcW w:w="999" w:type="dxa"/>
            <w:shd w:val="clear" w:color="000000" w:fill="FFFFFF"/>
            <w:vAlign w:val="center"/>
            <w:hideMark/>
          </w:tcPr>
          <w:p w14:paraId="5F2B5C1E" w14:textId="77777777" w:rsidR="0058157E" w:rsidRPr="00633D1C" w:rsidRDefault="0058157E" w:rsidP="003F5081">
            <w:pPr>
              <w:spacing w:after="0" w:line="240" w:lineRule="auto"/>
              <w:rPr>
                <w:rFonts w:ascii="Arial" w:eastAsia="Times New Roman" w:hAnsi="Arial" w:cs="Arial"/>
                <w:i/>
                <w:iCs/>
                <w:color w:val="000000"/>
                <w:sz w:val="18"/>
                <w:szCs w:val="18"/>
              </w:rPr>
            </w:pPr>
            <w:r>
              <w:rPr>
                <w:rFonts w:ascii="Arial" w:hAnsi="Arial" w:cs="Arial"/>
                <w:b/>
                <w:bCs/>
                <w:i/>
                <w:iCs/>
                <w:color w:val="000000"/>
                <w:sz w:val="18"/>
                <w:szCs w:val="18"/>
              </w:rPr>
              <w:t> </w:t>
            </w:r>
          </w:p>
        </w:tc>
      </w:tr>
      <w:tr w:rsidR="0058157E" w:rsidRPr="008C3102" w14:paraId="57A6D3EB" w14:textId="77777777" w:rsidTr="003F5081">
        <w:trPr>
          <w:trHeight w:val="241"/>
        </w:trPr>
        <w:tc>
          <w:tcPr>
            <w:tcW w:w="3395" w:type="dxa"/>
            <w:shd w:val="clear" w:color="000000" w:fill="FFFFFF"/>
            <w:noWrap/>
            <w:vAlign w:val="center"/>
            <w:hideMark/>
          </w:tcPr>
          <w:p w14:paraId="66B37358" w14:textId="77777777" w:rsidR="0058157E" w:rsidRPr="0026252D" w:rsidRDefault="0058157E" w:rsidP="003F5081">
            <w:pPr>
              <w:spacing w:after="0" w:line="240" w:lineRule="auto"/>
              <w:ind w:firstLineChars="200" w:firstLine="360"/>
              <w:rPr>
                <w:rFonts w:ascii="Arial" w:eastAsia="Times New Roman" w:hAnsi="Arial" w:cs="Arial"/>
                <w:color w:val="000000"/>
                <w:sz w:val="18"/>
                <w:szCs w:val="18"/>
              </w:rPr>
            </w:pPr>
            <w:r w:rsidRPr="0026252D">
              <w:rPr>
                <w:rFonts w:ascii="Arial" w:eastAsia="Times New Roman" w:hAnsi="Arial" w:cs="Arial"/>
                <w:color w:val="000000"/>
                <w:sz w:val="18"/>
                <w:szCs w:val="18"/>
              </w:rPr>
              <w:t>Depreciation and amortisation</w:t>
            </w:r>
          </w:p>
        </w:tc>
        <w:tc>
          <w:tcPr>
            <w:tcW w:w="982" w:type="dxa"/>
            <w:shd w:val="clear" w:color="000000" w:fill="FFFFFF"/>
            <w:noWrap/>
            <w:hideMark/>
          </w:tcPr>
          <w:p w14:paraId="0D5CDB00" w14:textId="77777777" w:rsidR="0058157E" w:rsidRPr="009D6776" w:rsidRDefault="0058157E" w:rsidP="003F5081">
            <w:pPr>
              <w:spacing w:after="0" w:line="240" w:lineRule="auto"/>
              <w:rPr>
                <w:rFonts w:ascii="Arial" w:eastAsia="Times New Roman" w:hAnsi="Arial" w:cs="Arial"/>
                <w:color w:val="FF0000"/>
                <w:sz w:val="18"/>
                <w:szCs w:val="18"/>
              </w:rPr>
            </w:pPr>
            <w:r w:rsidRPr="009D6776">
              <w:rPr>
                <w:rFonts w:ascii="Arial" w:eastAsia="Times New Roman" w:hAnsi="Arial" w:cs="Arial"/>
                <w:color w:val="FF0000"/>
                <w:sz w:val="18"/>
                <w:szCs w:val="18"/>
              </w:rPr>
              <w:t>(8.1)</w:t>
            </w:r>
          </w:p>
        </w:tc>
        <w:tc>
          <w:tcPr>
            <w:tcW w:w="1321" w:type="dxa"/>
            <w:shd w:val="clear" w:color="000000" w:fill="FFFFFF"/>
            <w:noWrap/>
            <w:vAlign w:val="center"/>
            <w:hideMark/>
          </w:tcPr>
          <w:p w14:paraId="3E4A5548"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color w:val="FF0000"/>
                <w:sz w:val="18"/>
                <w:szCs w:val="18"/>
              </w:rPr>
              <w:t>(8.9)</w:t>
            </w:r>
          </w:p>
        </w:tc>
        <w:tc>
          <w:tcPr>
            <w:tcW w:w="1321" w:type="dxa"/>
            <w:shd w:val="clear" w:color="000000" w:fill="FFFFFF"/>
            <w:noWrap/>
            <w:vAlign w:val="center"/>
            <w:hideMark/>
          </w:tcPr>
          <w:p w14:paraId="44B69388"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color w:val="FF0000"/>
                <w:sz w:val="18"/>
                <w:szCs w:val="18"/>
              </w:rPr>
              <w:t>(7.3)</w:t>
            </w:r>
          </w:p>
        </w:tc>
        <w:tc>
          <w:tcPr>
            <w:tcW w:w="1322" w:type="dxa"/>
            <w:shd w:val="clear" w:color="000000" w:fill="FFFFFF"/>
            <w:noWrap/>
            <w:vAlign w:val="center"/>
            <w:hideMark/>
          </w:tcPr>
          <w:p w14:paraId="2B46A339" w14:textId="77777777" w:rsidR="0058157E" w:rsidRPr="002408B0" w:rsidRDefault="0058157E" w:rsidP="003F5081">
            <w:pPr>
              <w:spacing w:after="0" w:line="240" w:lineRule="auto"/>
              <w:rPr>
                <w:rFonts w:ascii="Arial" w:eastAsia="Times New Roman" w:hAnsi="Arial" w:cs="Arial"/>
                <w:color w:val="FF0000"/>
                <w:sz w:val="18"/>
                <w:szCs w:val="18"/>
              </w:rPr>
            </w:pPr>
            <w:r>
              <w:rPr>
                <w:rFonts w:ascii="Arial" w:hAnsi="Arial" w:cs="Arial"/>
                <w:color w:val="FF0000"/>
                <w:sz w:val="18"/>
                <w:szCs w:val="18"/>
              </w:rPr>
              <w:t>(6.5)</w:t>
            </w:r>
          </w:p>
        </w:tc>
        <w:tc>
          <w:tcPr>
            <w:tcW w:w="999" w:type="dxa"/>
            <w:shd w:val="clear" w:color="000000" w:fill="FFFFFF"/>
            <w:vAlign w:val="center"/>
            <w:hideMark/>
          </w:tcPr>
          <w:p w14:paraId="4FF07AE0" w14:textId="77777777" w:rsidR="0058157E" w:rsidRPr="00633D1C" w:rsidRDefault="0058157E" w:rsidP="003F5081">
            <w:pPr>
              <w:spacing w:after="0" w:line="240" w:lineRule="auto"/>
              <w:rPr>
                <w:rFonts w:ascii="Arial" w:eastAsia="Times New Roman" w:hAnsi="Arial" w:cs="Arial"/>
                <w:i/>
                <w:iCs/>
                <w:color w:val="000000"/>
                <w:sz w:val="18"/>
                <w:szCs w:val="18"/>
              </w:rPr>
            </w:pPr>
            <w:r>
              <w:rPr>
                <w:rFonts w:ascii="Arial" w:hAnsi="Arial" w:cs="Arial"/>
                <w:i/>
                <w:iCs/>
                <w:color w:val="000000"/>
                <w:sz w:val="18"/>
                <w:szCs w:val="18"/>
              </w:rPr>
              <w:t>-7.0%</w:t>
            </w:r>
          </w:p>
        </w:tc>
      </w:tr>
      <w:tr w:rsidR="0058157E" w:rsidRPr="008C3102" w14:paraId="410F579E" w14:textId="77777777" w:rsidTr="003F5081">
        <w:trPr>
          <w:trHeight w:val="241"/>
        </w:trPr>
        <w:tc>
          <w:tcPr>
            <w:tcW w:w="3395" w:type="dxa"/>
            <w:shd w:val="clear" w:color="000000" w:fill="FFFFFF"/>
            <w:noWrap/>
            <w:vAlign w:val="center"/>
            <w:hideMark/>
          </w:tcPr>
          <w:p w14:paraId="361CB178" w14:textId="77777777" w:rsidR="0058157E" w:rsidRPr="0026252D" w:rsidRDefault="0058157E" w:rsidP="003F5081">
            <w:pPr>
              <w:spacing w:after="0" w:line="240" w:lineRule="auto"/>
              <w:ind w:firstLineChars="200" w:firstLine="360"/>
              <w:rPr>
                <w:rFonts w:ascii="Arial" w:eastAsia="Times New Roman" w:hAnsi="Arial" w:cs="Arial"/>
                <w:color w:val="000000"/>
                <w:sz w:val="18"/>
                <w:szCs w:val="18"/>
              </w:rPr>
            </w:pPr>
            <w:r w:rsidRPr="0026252D">
              <w:rPr>
                <w:rFonts w:ascii="Arial" w:eastAsia="Times New Roman" w:hAnsi="Arial" w:cs="Arial"/>
                <w:color w:val="000000"/>
                <w:sz w:val="18"/>
                <w:szCs w:val="18"/>
              </w:rPr>
              <w:t>Interest and dividends</w:t>
            </w:r>
          </w:p>
        </w:tc>
        <w:tc>
          <w:tcPr>
            <w:tcW w:w="982" w:type="dxa"/>
            <w:shd w:val="clear" w:color="000000" w:fill="FFFFFF"/>
            <w:noWrap/>
            <w:hideMark/>
          </w:tcPr>
          <w:p w14:paraId="05D10CEF" w14:textId="77777777" w:rsidR="0058157E" w:rsidRPr="009D6776" w:rsidRDefault="0058157E" w:rsidP="003F5081">
            <w:pPr>
              <w:spacing w:after="0" w:line="240" w:lineRule="auto"/>
              <w:rPr>
                <w:rFonts w:ascii="Arial" w:eastAsia="Times New Roman" w:hAnsi="Arial" w:cs="Arial"/>
                <w:color w:val="FF0000"/>
                <w:sz w:val="18"/>
                <w:szCs w:val="18"/>
              </w:rPr>
            </w:pPr>
            <w:r w:rsidRPr="009D6776">
              <w:rPr>
                <w:rFonts w:ascii="Arial" w:eastAsia="Times New Roman" w:hAnsi="Arial" w:cs="Arial"/>
                <w:color w:val="FF0000"/>
                <w:sz w:val="18"/>
                <w:szCs w:val="18"/>
              </w:rPr>
              <w:t>(2.0)</w:t>
            </w:r>
          </w:p>
        </w:tc>
        <w:tc>
          <w:tcPr>
            <w:tcW w:w="1321" w:type="dxa"/>
            <w:shd w:val="clear" w:color="000000" w:fill="FFFFFF"/>
            <w:noWrap/>
            <w:vAlign w:val="center"/>
            <w:hideMark/>
          </w:tcPr>
          <w:p w14:paraId="3FE9D31D"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color w:val="FF0000"/>
                <w:sz w:val="18"/>
                <w:szCs w:val="18"/>
              </w:rPr>
              <w:t>(1.5)</w:t>
            </w:r>
          </w:p>
        </w:tc>
        <w:tc>
          <w:tcPr>
            <w:tcW w:w="1321" w:type="dxa"/>
            <w:shd w:val="clear" w:color="000000" w:fill="FFFFFF"/>
            <w:noWrap/>
            <w:vAlign w:val="center"/>
            <w:hideMark/>
          </w:tcPr>
          <w:p w14:paraId="0854D269"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color w:val="FF0000"/>
                <w:sz w:val="18"/>
                <w:szCs w:val="18"/>
              </w:rPr>
              <w:t>(1.4)</w:t>
            </w:r>
          </w:p>
        </w:tc>
        <w:tc>
          <w:tcPr>
            <w:tcW w:w="1322" w:type="dxa"/>
            <w:shd w:val="clear" w:color="000000" w:fill="FFFFFF"/>
            <w:noWrap/>
            <w:vAlign w:val="center"/>
            <w:hideMark/>
          </w:tcPr>
          <w:p w14:paraId="3918B593" w14:textId="77777777" w:rsidR="0058157E" w:rsidRPr="002408B0" w:rsidRDefault="0058157E" w:rsidP="003F5081">
            <w:pPr>
              <w:spacing w:after="0" w:line="240" w:lineRule="auto"/>
              <w:rPr>
                <w:rFonts w:ascii="Arial" w:eastAsia="Times New Roman" w:hAnsi="Arial" w:cs="Arial"/>
                <w:color w:val="FF0000"/>
                <w:sz w:val="18"/>
                <w:szCs w:val="18"/>
              </w:rPr>
            </w:pPr>
            <w:r>
              <w:rPr>
                <w:rFonts w:ascii="Arial" w:hAnsi="Arial" w:cs="Arial"/>
                <w:color w:val="FF0000"/>
                <w:sz w:val="18"/>
                <w:szCs w:val="18"/>
              </w:rPr>
              <w:t>(1.8)</w:t>
            </w:r>
          </w:p>
        </w:tc>
        <w:tc>
          <w:tcPr>
            <w:tcW w:w="999" w:type="dxa"/>
            <w:shd w:val="clear" w:color="000000" w:fill="FFFFFF"/>
            <w:vAlign w:val="center"/>
            <w:hideMark/>
          </w:tcPr>
          <w:p w14:paraId="03FAA16C" w14:textId="77777777" w:rsidR="0058157E" w:rsidRPr="00633D1C" w:rsidRDefault="0058157E" w:rsidP="003F5081">
            <w:pPr>
              <w:spacing w:after="0" w:line="240" w:lineRule="auto"/>
              <w:rPr>
                <w:rFonts w:ascii="Arial" w:eastAsia="Times New Roman" w:hAnsi="Arial" w:cs="Arial"/>
                <w:i/>
                <w:iCs/>
                <w:color w:val="000000"/>
                <w:sz w:val="18"/>
                <w:szCs w:val="18"/>
              </w:rPr>
            </w:pPr>
            <w:r>
              <w:rPr>
                <w:rFonts w:ascii="Arial" w:hAnsi="Arial" w:cs="Arial"/>
                <w:i/>
                <w:iCs/>
                <w:color w:val="000000"/>
                <w:sz w:val="18"/>
                <w:szCs w:val="18"/>
              </w:rPr>
              <w:t>-2.9%</w:t>
            </w:r>
          </w:p>
        </w:tc>
      </w:tr>
      <w:tr w:rsidR="0058157E" w:rsidRPr="008C3102" w14:paraId="451F54A5" w14:textId="77777777" w:rsidTr="003F5081">
        <w:trPr>
          <w:trHeight w:val="314"/>
        </w:trPr>
        <w:tc>
          <w:tcPr>
            <w:tcW w:w="3395" w:type="dxa"/>
            <w:shd w:val="clear" w:color="000000" w:fill="FFFFFF"/>
            <w:vAlign w:val="center"/>
            <w:hideMark/>
          </w:tcPr>
          <w:p w14:paraId="04A128C3" w14:textId="77777777" w:rsidR="0058157E" w:rsidRPr="0026252D" w:rsidRDefault="0058157E" w:rsidP="003F5081">
            <w:pPr>
              <w:spacing w:after="0" w:line="240" w:lineRule="auto"/>
              <w:ind w:firstLineChars="200" w:firstLine="360"/>
              <w:rPr>
                <w:rFonts w:ascii="Arial" w:eastAsia="Times New Roman" w:hAnsi="Arial" w:cs="Arial"/>
                <w:color w:val="000000"/>
                <w:sz w:val="18"/>
                <w:szCs w:val="18"/>
              </w:rPr>
            </w:pPr>
            <w:r w:rsidRPr="0026252D">
              <w:rPr>
                <w:rFonts w:ascii="Arial" w:eastAsia="Times New Roman" w:hAnsi="Arial" w:cs="Arial"/>
                <w:color w:val="000000"/>
                <w:sz w:val="18"/>
                <w:szCs w:val="18"/>
              </w:rPr>
              <w:t xml:space="preserve">Other one-off gains </w:t>
            </w:r>
          </w:p>
        </w:tc>
        <w:tc>
          <w:tcPr>
            <w:tcW w:w="982" w:type="dxa"/>
            <w:shd w:val="clear" w:color="000000" w:fill="FFFFFF"/>
            <w:noWrap/>
            <w:hideMark/>
          </w:tcPr>
          <w:p w14:paraId="35A56495" w14:textId="77777777" w:rsidR="0058157E" w:rsidRPr="009D6776" w:rsidRDefault="0058157E" w:rsidP="003F5081">
            <w:pPr>
              <w:spacing w:after="0" w:line="240" w:lineRule="auto"/>
              <w:rPr>
                <w:rFonts w:ascii="Arial" w:eastAsia="Times New Roman" w:hAnsi="Arial" w:cs="Arial"/>
                <w:color w:val="FF0000"/>
                <w:sz w:val="18"/>
                <w:szCs w:val="18"/>
              </w:rPr>
            </w:pPr>
            <w:r w:rsidRPr="009D6776">
              <w:rPr>
                <w:rFonts w:ascii="Arial" w:eastAsia="Times New Roman" w:hAnsi="Arial" w:cs="Arial"/>
                <w:color w:val="FF0000"/>
                <w:sz w:val="18"/>
                <w:szCs w:val="18"/>
              </w:rPr>
              <w:t>(0.9)</w:t>
            </w:r>
          </w:p>
        </w:tc>
        <w:tc>
          <w:tcPr>
            <w:tcW w:w="1321" w:type="dxa"/>
            <w:shd w:val="clear" w:color="000000" w:fill="FFFFFF"/>
            <w:noWrap/>
            <w:vAlign w:val="center"/>
            <w:hideMark/>
          </w:tcPr>
          <w:p w14:paraId="25107442"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color w:val="FF0000"/>
                <w:sz w:val="18"/>
                <w:szCs w:val="18"/>
              </w:rPr>
              <w:t>(0.2)</w:t>
            </w:r>
          </w:p>
        </w:tc>
        <w:tc>
          <w:tcPr>
            <w:tcW w:w="1321" w:type="dxa"/>
            <w:shd w:val="clear" w:color="000000" w:fill="FFFFFF"/>
            <w:noWrap/>
            <w:vAlign w:val="center"/>
            <w:hideMark/>
          </w:tcPr>
          <w:p w14:paraId="0348D070"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sz w:val="18"/>
                <w:szCs w:val="18"/>
              </w:rPr>
              <w:t>2.3</w:t>
            </w:r>
          </w:p>
        </w:tc>
        <w:tc>
          <w:tcPr>
            <w:tcW w:w="1322" w:type="dxa"/>
            <w:shd w:val="clear" w:color="000000" w:fill="FFFFFF"/>
            <w:noWrap/>
            <w:vAlign w:val="center"/>
            <w:hideMark/>
          </w:tcPr>
          <w:p w14:paraId="1B70FE9B" w14:textId="77777777" w:rsidR="0058157E" w:rsidRPr="002408B0" w:rsidRDefault="0058157E" w:rsidP="003F5081">
            <w:pPr>
              <w:spacing w:after="0" w:line="240" w:lineRule="auto"/>
              <w:rPr>
                <w:rFonts w:ascii="Arial" w:eastAsia="Times New Roman" w:hAnsi="Arial" w:cs="Arial"/>
                <w:sz w:val="18"/>
                <w:szCs w:val="18"/>
              </w:rPr>
            </w:pPr>
            <w:r>
              <w:rPr>
                <w:rFonts w:ascii="Arial" w:hAnsi="Arial" w:cs="Arial"/>
                <w:color w:val="FF0000"/>
                <w:sz w:val="18"/>
                <w:szCs w:val="18"/>
              </w:rPr>
              <w:t>(0.1)</w:t>
            </w:r>
          </w:p>
        </w:tc>
        <w:tc>
          <w:tcPr>
            <w:tcW w:w="999" w:type="dxa"/>
            <w:shd w:val="clear" w:color="000000" w:fill="FFFFFF"/>
            <w:vAlign w:val="center"/>
            <w:hideMark/>
          </w:tcPr>
          <w:p w14:paraId="58E43057" w14:textId="77777777" w:rsidR="0058157E" w:rsidRPr="00633D1C" w:rsidRDefault="0058157E" w:rsidP="003F5081">
            <w:pPr>
              <w:spacing w:after="0" w:line="240" w:lineRule="auto"/>
              <w:rPr>
                <w:rFonts w:ascii="Arial" w:eastAsia="Times New Roman" w:hAnsi="Arial" w:cs="Arial"/>
                <w:i/>
                <w:iCs/>
                <w:color w:val="000000"/>
                <w:sz w:val="18"/>
                <w:szCs w:val="18"/>
              </w:rPr>
            </w:pPr>
            <w:r w:rsidRPr="00633D1C">
              <w:rPr>
                <w:rFonts w:ascii="Arial" w:eastAsia="Times New Roman" w:hAnsi="Arial" w:cs="Arial"/>
                <w:i/>
                <w:iCs/>
                <w:color w:val="000000"/>
                <w:sz w:val="18"/>
                <w:szCs w:val="18"/>
              </w:rPr>
              <w:t> </w:t>
            </w:r>
          </w:p>
        </w:tc>
      </w:tr>
      <w:tr w:rsidR="0058157E" w:rsidRPr="008C3102" w14:paraId="4A864C4A" w14:textId="77777777" w:rsidTr="003F5081">
        <w:trPr>
          <w:trHeight w:val="241"/>
        </w:trPr>
        <w:tc>
          <w:tcPr>
            <w:tcW w:w="3395" w:type="dxa"/>
            <w:shd w:val="clear" w:color="000000" w:fill="FFFFFF"/>
            <w:noWrap/>
            <w:vAlign w:val="center"/>
            <w:hideMark/>
          </w:tcPr>
          <w:p w14:paraId="5DFF0C04" w14:textId="77777777" w:rsidR="0058157E" w:rsidRPr="0026252D" w:rsidRDefault="0058157E" w:rsidP="003F5081">
            <w:pPr>
              <w:spacing w:after="0" w:line="240" w:lineRule="auto"/>
              <w:ind w:firstLineChars="200" w:firstLine="360"/>
              <w:rPr>
                <w:rFonts w:ascii="Arial" w:eastAsia="Times New Roman" w:hAnsi="Arial" w:cs="Arial"/>
                <w:color w:val="000000"/>
                <w:sz w:val="18"/>
                <w:szCs w:val="18"/>
              </w:rPr>
            </w:pPr>
            <w:r w:rsidRPr="0026252D">
              <w:rPr>
                <w:rFonts w:ascii="Arial" w:eastAsia="Times New Roman" w:hAnsi="Arial" w:cs="Arial"/>
                <w:color w:val="000000"/>
                <w:sz w:val="18"/>
                <w:szCs w:val="18"/>
              </w:rPr>
              <w:t>Impairments</w:t>
            </w:r>
          </w:p>
        </w:tc>
        <w:tc>
          <w:tcPr>
            <w:tcW w:w="982" w:type="dxa"/>
            <w:shd w:val="clear" w:color="000000" w:fill="FFFFFF"/>
            <w:noWrap/>
            <w:hideMark/>
          </w:tcPr>
          <w:p w14:paraId="1C7CD9A2" w14:textId="77777777" w:rsidR="0058157E" w:rsidRPr="009D6776" w:rsidRDefault="0058157E" w:rsidP="003F5081">
            <w:pPr>
              <w:spacing w:after="0" w:line="240" w:lineRule="auto"/>
              <w:rPr>
                <w:rFonts w:ascii="Arial" w:eastAsia="Times New Roman" w:hAnsi="Arial" w:cs="Arial"/>
                <w:color w:val="FF0000"/>
                <w:sz w:val="18"/>
                <w:szCs w:val="18"/>
              </w:rPr>
            </w:pPr>
            <w:r w:rsidRPr="009D6776">
              <w:rPr>
                <w:rFonts w:ascii="Arial" w:eastAsia="Times New Roman" w:hAnsi="Arial" w:cs="Arial"/>
                <w:color w:val="FF0000"/>
                <w:sz w:val="18"/>
                <w:szCs w:val="18"/>
              </w:rPr>
              <w:t>(10.2)</w:t>
            </w:r>
          </w:p>
        </w:tc>
        <w:tc>
          <w:tcPr>
            <w:tcW w:w="1321" w:type="dxa"/>
            <w:shd w:val="clear" w:color="000000" w:fill="FFFFFF"/>
            <w:noWrap/>
            <w:vAlign w:val="center"/>
            <w:hideMark/>
          </w:tcPr>
          <w:p w14:paraId="7CB5F011"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color w:val="FF0000"/>
                <w:sz w:val="18"/>
                <w:szCs w:val="18"/>
              </w:rPr>
              <w:t>(2.4)</w:t>
            </w:r>
          </w:p>
        </w:tc>
        <w:tc>
          <w:tcPr>
            <w:tcW w:w="1321" w:type="dxa"/>
            <w:shd w:val="clear" w:color="000000" w:fill="FFFFFF"/>
            <w:noWrap/>
            <w:vAlign w:val="center"/>
            <w:hideMark/>
          </w:tcPr>
          <w:p w14:paraId="6AC7C2AB"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color w:val="FF0000"/>
                <w:sz w:val="18"/>
                <w:szCs w:val="18"/>
              </w:rPr>
              <w:t>(2.5)</w:t>
            </w:r>
          </w:p>
        </w:tc>
        <w:tc>
          <w:tcPr>
            <w:tcW w:w="1322" w:type="dxa"/>
            <w:shd w:val="clear" w:color="000000" w:fill="FFFFFF"/>
            <w:noWrap/>
            <w:vAlign w:val="center"/>
            <w:hideMark/>
          </w:tcPr>
          <w:p w14:paraId="0C841C20" w14:textId="77777777" w:rsidR="0058157E" w:rsidRPr="002408B0" w:rsidRDefault="0058157E" w:rsidP="003F5081">
            <w:pPr>
              <w:spacing w:after="0" w:line="240" w:lineRule="auto"/>
              <w:rPr>
                <w:rFonts w:ascii="Arial" w:eastAsia="Times New Roman" w:hAnsi="Arial" w:cs="Arial"/>
                <w:color w:val="FF0000"/>
                <w:sz w:val="18"/>
                <w:szCs w:val="18"/>
              </w:rPr>
            </w:pPr>
            <w:r>
              <w:rPr>
                <w:rFonts w:ascii="Arial" w:hAnsi="Arial" w:cs="Arial"/>
                <w:color w:val="FF0000"/>
                <w:sz w:val="18"/>
                <w:szCs w:val="18"/>
              </w:rPr>
              <w:t>(1.1)</w:t>
            </w:r>
          </w:p>
        </w:tc>
        <w:tc>
          <w:tcPr>
            <w:tcW w:w="999" w:type="dxa"/>
            <w:shd w:val="clear" w:color="000000" w:fill="FFFFFF"/>
            <w:vAlign w:val="center"/>
            <w:hideMark/>
          </w:tcPr>
          <w:p w14:paraId="4337B0CC" w14:textId="77777777" w:rsidR="0058157E" w:rsidRPr="00633D1C" w:rsidRDefault="0058157E" w:rsidP="003F5081">
            <w:pPr>
              <w:spacing w:after="0" w:line="240" w:lineRule="auto"/>
              <w:rPr>
                <w:rFonts w:ascii="Arial" w:eastAsia="Times New Roman" w:hAnsi="Arial" w:cs="Arial"/>
                <w:i/>
                <w:iCs/>
                <w:color w:val="000000"/>
                <w:sz w:val="18"/>
                <w:szCs w:val="18"/>
              </w:rPr>
            </w:pPr>
            <w:r w:rsidRPr="00633D1C">
              <w:rPr>
                <w:rFonts w:ascii="Arial" w:eastAsia="Times New Roman" w:hAnsi="Arial" w:cs="Arial"/>
                <w:i/>
                <w:iCs/>
                <w:color w:val="000000"/>
                <w:sz w:val="18"/>
                <w:szCs w:val="18"/>
              </w:rPr>
              <w:t> </w:t>
            </w:r>
          </w:p>
        </w:tc>
      </w:tr>
      <w:tr w:rsidR="0058157E" w:rsidRPr="008C3102" w14:paraId="0A09886A" w14:textId="77777777" w:rsidTr="003F5081">
        <w:trPr>
          <w:trHeight w:val="241"/>
        </w:trPr>
        <w:tc>
          <w:tcPr>
            <w:tcW w:w="3395" w:type="dxa"/>
            <w:shd w:val="clear" w:color="000000" w:fill="FFFFFF"/>
            <w:noWrap/>
            <w:vAlign w:val="center"/>
            <w:hideMark/>
          </w:tcPr>
          <w:p w14:paraId="1D2985FB" w14:textId="77777777" w:rsidR="0058157E" w:rsidRPr="0026252D" w:rsidRDefault="0058157E" w:rsidP="003F5081">
            <w:pPr>
              <w:spacing w:after="0" w:line="240" w:lineRule="auto"/>
              <w:rPr>
                <w:rFonts w:ascii="Arial" w:eastAsia="Times New Roman" w:hAnsi="Arial" w:cs="Arial"/>
                <w:b/>
                <w:bCs/>
                <w:color w:val="000000"/>
                <w:sz w:val="18"/>
                <w:szCs w:val="18"/>
              </w:rPr>
            </w:pPr>
            <w:r w:rsidRPr="0026252D">
              <w:rPr>
                <w:rFonts w:ascii="Arial" w:eastAsia="Times New Roman" w:hAnsi="Arial" w:cs="Arial"/>
                <w:b/>
                <w:bCs/>
                <w:color w:val="000000"/>
                <w:sz w:val="18"/>
                <w:szCs w:val="18"/>
              </w:rPr>
              <w:t>Surplus/(Deficit)</w:t>
            </w:r>
          </w:p>
        </w:tc>
        <w:tc>
          <w:tcPr>
            <w:tcW w:w="982" w:type="dxa"/>
            <w:shd w:val="clear" w:color="000000" w:fill="FFFFFF"/>
            <w:noWrap/>
            <w:hideMark/>
          </w:tcPr>
          <w:p w14:paraId="5D05B284" w14:textId="77777777" w:rsidR="0058157E" w:rsidRPr="009D6776" w:rsidRDefault="0058157E" w:rsidP="003F5081">
            <w:pPr>
              <w:spacing w:after="0" w:line="240" w:lineRule="auto"/>
              <w:rPr>
                <w:rFonts w:ascii="Arial" w:eastAsia="Times New Roman" w:hAnsi="Arial" w:cs="Arial"/>
                <w:b/>
                <w:sz w:val="18"/>
                <w:szCs w:val="18"/>
              </w:rPr>
            </w:pPr>
            <w:r w:rsidRPr="009D6776">
              <w:rPr>
                <w:rFonts w:ascii="Arial" w:eastAsia="Times New Roman" w:hAnsi="Arial" w:cs="Arial"/>
                <w:b/>
                <w:sz w:val="18"/>
                <w:szCs w:val="18"/>
              </w:rPr>
              <w:t>2.6</w:t>
            </w:r>
          </w:p>
        </w:tc>
        <w:tc>
          <w:tcPr>
            <w:tcW w:w="1321" w:type="dxa"/>
            <w:shd w:val="clear" w:color="000000" w:fill="FFFFFF"/>
            <w:noWrap/>
            <w:vAlign w:val="center"/>
            <w:hideMark/>
          </w:tcPr>
          <w:p w14:paraId="3E9E64F8" w14:textId="77777777" w:rsidR="0058157E" w:rsidRPr="00CD22C9" w:rsidRDefault="0058157E" w:rsidP="003F5081">
            <w:pPr>
              <w:spacing w:after="0" w:line="240" w:lineRule="auto"/>
              <w:rPr>
                <w:rFonts w:ascii="Arial" w:eastAsia="Times New Roman" w:hAnsi="Arial" w:cs="Arial"/>
                <w:b/>
                <w:bCs/>
                <w:sz w:val="18"/>
                <w:szCs w:val="18"/>
              </w:rPr>
            </w:pPr>
            <w:r>
              <w:rPr>
                <w:rFonts w:ascii="Arial" w:hAnsi="Arial" w:cs="Arial"/>
                <w:b/>
                <w:bCs/>
                <w:sz w:val="18"/>
                <w:szCs w:val="18"/>
              </w:rPr>
              <w:t>5.7</w:t>
            </w:r>
          </w:p>
        </w:tc>
        <w:tc>
          <w:tcPr>
            <w:tcW w:w="1321" w:type="dxa"/>
            <w:shd w:val="clear" w:color="000000" w:fill="FFFFFF"/>
            <w:noWrap/>
            <w:vAlign w:val="center"/>
            <w:hideMark/>
          </w:tcPr>
          <w:p w14:paraId="5D9450F7" w14:textId="77777777" w:rsidR="0058157E" w:rsidRPr="00CD22C9" w:rsidRDefault="0058157E" w:rsidP="003F5081">
            <w:pPr>
              <w:spacing w:after="0" w:line="240" w:lineRule="auto"/>
              <w:rPr>
                <w:rFonts w:ascii="Arial" w:eastAsia="Times New Roman" w:hAnsi="Arial" w:cs="Arial"/>
                <w:b/>
                <w:bCs/>
                <w:sz w:val="18"/>
                <w:szCs w:val="18"/>
              </w:rPr>
            </w:pPr>
            <w:r>
              <w:rPr>
                <w:rFonts w:ascii="Arial" w:hAnsi="Arial" w:cs="Arial"/>
                <w:b/>
                <w:bCs/>
                <w:sz w:val="18"/>
                <w:szCs w:val="18"/>
              </w:rPr>
              <w:t>8.5</w:t>
            </w:r>
          </w:p>
        </w:tc>
        <w:tc>
          <w:tcPr>
            <w:tcW w:w="1322" w:type="dxa"/>
            <w:shd w:val="clear" w:color="000000" w:fill="FFFFFF"/>
            <w:noWrap/>
            <w:vAlign w:val="center"/>
            <w:hideMark/>
          </w:tcPr>
          <w:p w14:paraId="1DF2E987" w14:textId="77777777" w:rsidR="0058157E" w:rsidRPr="002408B0" w:rsidRDefault="0058157E" w:rsidP="003F5081">
            <w:pPr>
              <w:spacing w:after="0" w:line="240" w:lineRule="auto"/>
              <w:rPr>
                <w:rFonts w:ascii="Arial" w:eastAsia="Times New Roman" w:hAnsi="Arial" w:cs="Arial"/>
                <w:b/>
                <w:bCs/>
                <w:sz w:val="18"/>
                <w:szCs w:val="18"/>
              </w:rPr>
            </w:pPr>
            <w:r>
              <w:rPr>
                <w:rFonts w:ascii="Arial" w:hAnsi="Arial" w:cs="Arial"/>
                <w:b/>
                <w:bCs/>
                <w:sz w:val="18"/>
                <w:szCs w:val="18"/>
              </w:rPr>
              <w:t>0.0</w:t>
            </w:r>
          </w:p>
        </w:tc>
        <w:tc>
          <w:tcPr>
            <w:tcW w:w="999" w:type="dxa"/>
            <w:shd w:val="clear" w:color="000000" w:fill="FFFFFF"/>
            <w:vAlign w:val="center"/>
            <w:hideMark/>
          </w:tcPr>
          <w:p w14:paraId="0AF592B3" w14:textId="77777777" w:rsidR="0058157E" w:rsidRPr="00633D1C" w:rsidRDefault="0058157E" w:rsidP="003F5081">
            <w:pPr>
              <w:spacing w:after="0" w:line="240" w:lineRule="auto"/>
              <w:rPr>
                <w:rFonts w:ascii="Arial" w:eastAsia="Times New Roman" w:hAnsi="Arial" w:cs="Arial"/>
                <w:i/>
                <w:iCs/>
                <w:color w:val="000000"/>
                <w:sz w:val="18"/>
                <w:szCs w:val="18"/>
              </w:rPr>
            </w:pPr>
            <w:r w:rsidRPr="00633D1C">
              <w:rPr>
                <w:rFonts w:ascii="Arial" w:eastAsia="Times New Roman" w:hAnsi="Arial" w:cs="Arial"/>
                <w:i/>
                <w:iCs/>
                <w:color w:val="000000"/>
                <w:sz w:val="18"/>
                <w:szCs w:val="18"/>
              </w:rPr>
              <w:t> </w:t>
            </w:r>
          </w:p>
        </w:tc>
      </w:tr>
      <w:tr w:rsidR="0058157E" w:rsidRPr="008C3102" w14:paraId="5F33E34B" w14:textId="77777777" w:rsidTr="003F5081">
        <w:trPr>
          <w:trHeight w:val="254"/>
        </w:trPr>
        <w:tc>
          <w:tcPr>
            <w:tcW w:w="3395" w:type="dxa"/>
            <w:shd w:val="clear" w:color="000000" w:fill="FFFFFF"/>
            <w:noWrap/>
            <w:vAlign w:val="center"/>
            <w:hideMark/>
          </w:tcPr>
          <w:p w14:paraId="2AC30481" w14:textId="77777777" w:rsidR="0058157E" w:rsidRPr="0026252D" w:rsidRDefault="0058157E" w:rsidP="003F5081">
            <w:pPr>
              <w:spacing w:after="0" w:line="240" w:lineRule="auto"/>
              <w:rPr>
                <w:rFonts w:ascii="Arial" w:eastAsia="Times New Roman" w:hAnsi="Arial" w:cs="Arial"/>
                <w:bCs/>
                <w:i/>
                <w:iCs/>
                <w:color w:val="000000"/>
                <w:sz w:val="18"/>
                <w:szCs w:val="18"/>
              </w:rPr>
            </w:pPr>
            <w:r w:rsidRPr="0026252D">
              <w:rPr>
                <w:rFonts w:ascii="Arial" w:eastAsia="Times New Roman" w:hAnsi="Arial" w:cs="Arial"/>
                <w:bCs/>
                <w:i/>
                <w:iCs/>
                <w:color w:val="000000"/>
                <w:sz w:val="18"/>
                <w:szCs w:val="18"/>
              </w:rPr>
              <w:t>Surplus/(Deficit) %</w:t>
            </w:r>
          </w:p>
        </w:tc>
        <w:tc>
          <w:tcPr>
            <w:tcW w:w="982" w:type="dxa"/>
            <w:shd w:val="clear" w:color="000000" w:fill="FFFFFF"/>
            <w:noWrap/>
            <w:hideMark/>
          </w:tcPr>
          <w:p w14:paraId="169092F8" w14:textId="77777777" w:rsidR="0058157E" w:rsidRPr="009D6776" w:rsidRDefault="0058157E" w:rsidP="003F5081">
            <w:pPr>
              <w:spacing w:after="0" w:line="240" w:lineRule="auto"/>
              <w:rPr>
                <w:rFonts w:ascii="Arial" w:eastAsia="Times New Roman" w:hAnsi="Arial" w:cs="Arial"/>
                <w:i/>
                <w:sz w:val="18"/>
                <w:szCs w:val="18"/>
              </w:rPr>
            </w:pPr>
            <w:r w:rsidRPr="009D6776">
              <w:rPr>
                <w:rFonts w:ascii="Arial" w:eastAsia="Times New Roman" w:hAnsi="Arial" w:cs="Arial"/>
                <w:i/>
                <w:sz w:val="18"/>
                <w:szCs w:val="18"/>
              </w:rPr>
              <w:t>1.1%</w:t>
            </w:r>
          </w:p>
        </w:tc>
        <w:tc>
          <w:tcPr>
            <w:tcW w:w="1321" w:type="dxa"/>
            <w:shd w:val="clear" w:color="000000" w:fill="FFFFFF"/>
            <w:noWrap/>
            <w:vAlign w:val="center"/>
            <w:hideMark/>
          </w:tcPr>
          <w:p w14:paraId="43630039" w14:textId="77777777" w:rsidR="0058157E" w:rsidRPr="00CD22C9" w:rsidRDefault="0058157E" w:rsidP="003F5081">
            <w:pPr>
              <w:spacing w:after="0" w:line="240" w:lineRule="auto"/>
              <w:rPr>
                <w:rFonts w:ascii="Arial" w:eastAsia="Times New Roman" w:hAnsi="Arial" w:cs="Arial"/>
                <w:bCs/>
                <w:i/>
                <w:color w:val="000000"/>
                <w:sz w:val="18"/>
                <w:szCs w:val="18"/>
              </w:rPr>
            </w:pPr>
            <w:r>
              <w:rPr>
                <w:rFonts w:ascii="Arial" w:hAnsi="Arial" w:cs="Arial"/>
                <w:color w:val="000000"/>
                <w:sz w:val="18"/>
                <w:szCs w:val="18"/>
              </w:rPr>
              <w:t>2.6%</w:t>
            </w:r>
          </w:p>
        </w:tc>
        <w:tc>
          <w:tcPr>
            <w:tcW w:w="1321" w:type="dxa"/>
            <w:shd w:val="clear" w:color="000000" w:fill="FFFFFF"/>
            <w:noWrap/>
            <w:vAlign w:val="center"/>
            <w:hideMark/>
          </w:tcPr>
          <w:p w14:paraId="480C532A" w14:textId="77777777" w:rsidR="0058157E" w:rsidRPr="00CD22C9" w:rsidRDefault="0058157E" w:rsidP="003F5081">
            <w:pPr>
              <w:spacing w:after="0" w:line="240" w:lineRule="auto"/>
              <w:rPr>
                <w:rFonts w:ascii="Arial" w:eastAsia="Times New Roman" w:hAnsi="Arial" w:cs="Arial"/>
                <w:bCs/>
                <w:i/>
                <w:color w:val="000000"/>
                <w:sz w:val="18"/>
                <w:szCs w:val="18"/>
              </w:rPr>
            </w:pPr>
            <w:r>
              <w:rPr>
                <w:rFonts w:ascii="Arial" w:hAnsi="Arial" w:cs="Arial"/>
                <w:color w:val="000000"/>
                <w:sz w:val="18"/>
                <w:szCs w:val="18"/>
              </w:rPr>
              <w:t>3.6%</w:t>
            </w:r>
          </w:p>
        </w:tc>
        <w:tc>
          <w:tcPr>
            <w:tcW w:w="1322" w:type="dxa"/>
            <w:shd w:val="clear" w:color="000000" w:fill="FFFFFF"/>
            <w:noWrap/>
            <w:vAlign w:val="center"/>
            <w:hideMark/>
          </w:tcPr>
          <w:p w14:paraId="1BDF3E8A" w14:textId="77777777" w:rsidR="0058157E" w:rsidRPr="002408B0" w:rsidRDefault="0058157E" w:rsidP="003F5081">
            <w:pPr>
              <w:spacing w:after="0" w:line="240" w:lineRule="auto"/>
              <w:rPr>
                <w:rFonts w:ascii="Arial" w:eastAsia="Times New Roman" w:hAnsi="Arial" w:cs="Arial"/>
                <w:bCs/>
                <w:i/>
                <w:color w:val="000000"/>
                <w:sz w:val="18"/>
                <w:szCs w:val="18"/>
              </w:rPr>
            </w:pPr>
            <w:r>
              <w:rPr>
                <w:rFonts w:ascii="Arial" w:hAnsi="Arial" w:cs="Arial"/>
                <w:color w:val="000000"/>
                <w:sz w:val="18"/>
                <w:szCs w:val="18"/>
              </w:rPr>
              <w:t>0.0%</w:t>
            </w:r>
          </w:p>
        </w:tc>
        <w:tc>
          <w:tcPr>
            <w:tcW w:w="999" w:type="dxa"/>
            <w:shd w:val="clear" w:color="000000" w:fill="FFFFFF"/>
            <w:vAlign w:val="center"/>
            <w:hideMark/>
          </w:tcPr>
          <w:p w14:paraId="5E6EE429" w14:textId="77777777" w:rsidR="0058157E" w:rsidRPr="00CD22C9" w:rsidRDefault="0058157E" w:rsidP="003F5081">
            <w:pPr>
              <w:spacing w:after="0" w:line="240" w:lineRule="auto"/>
              <w:rPr>
                <w:rFonts w:ascii="Arial" w:eastAsia="Times New Roman" w:hAnsi="Arial" w:cs="Arial"/>
                <w:b/>
                <w:bCs/>
                <w:i/>
                <w:iCs/>
                <w:color w:val="000000"/>
                <w:sz w:val="18"/>
                <w:szCs w:val="18"/>
              </w:rPr>
            </w:pPr>
            <w:r w:rsidRPr="00CD22C9">
              <w:rPr>
                <w:rFonts w:ascii="Arial" w:eastAsia="Times New Roman" w:hAnsi="Arial" w:cs="Arial"/>
                <w:b/>
                <w:bCs/>
                <w:i/>
                <w:iCs/>
                <w:color w:val="000000"/>
                <w:sz w:val="18"/>
                <w:szCs w:val="18"/>
              </w:rPr>
              <w:t> </w:t>
            </w:r>
          </w:p>
        </w:tc>
      </w:tr>
      <w:tr w:rsidR="0058157E" w:rsidRPr="008C3102" w14:paraId="710D1309" w14:textId="77777777" w:rsidTr="003F5081">
        <w:trPr>
          <w:trHeight w:val="241"/>
        </w:trPr>
        <w:tc>
          <w:tcPr>
            <w:tcW w:w="3395" w:type="dxa"/>
            <w:shd w:val="clear" w:color="000000" w:fill="FFFFFF"/>
            <w:noWrap/>
            <w:vAlign w:val="center"/>
            <w:hideMark/>
          </w:tcPr>
          <w:p w14:paraId="64A38B63" w14:textId="77777777" w:rsidR="0058157E" w:rsidRPr="00633D1C" w:rsidRDefault="0058157E" w:rsidP="003F5081">
            <w:pPr>
              <w:spacing w:after="0" w:line="240" w:lineRule="auto"/>
              <w:rPr>
                <w:rFonts w:ascii="Arial" w:eastAsia="Times New Roman" w:hAnsi="Arial" w:cs="Arial"/>
                <w:i/>
                <w:iCs/>
                <w:color w:val="000000"/>
                <w:sz w:val="18"/>
                <w:szCs w:val="18"/>
              </w:rPr>
            </w:pPr>
            <w:r>
              <w:rPr>
                <w:rFonts w:ascii="Arial" w:eastAsia="Times New Roman" w:hAnsi="Arial" w:cs="Arial"/>
                <w:i/>
                <w:iCs/>
                <w:color w:val="000000"/>
                <w:sz w:val="18"/>
                <w:szCs w:val="18"/>
              </w:rPr>
              <w:t>Normalising items:</w:t>
            </w:r>
          </w:p>
        </w:tc>
        <w:tc>
          <w:tcPr>
            <w:tcW w:w="982" w:type="dxa"/>
            <w:shd w:val="clear" w:color="auto" w:fill="auto"/>
            <w:noWrap/>
            <w:vAlign w:val="center"/>
            <w:hideMark/>
          </w:tcPr>
          <w:p w14:paraId="71273851" w14:textId="77777777" w:rsidR="0058157E" w:rsidRPr="00CD22C9" w:rsidRDefault="0058157E" w:rsidP="003F5081">
            <w:pPr>
              <w:spacing w:after="0" w:line="240" w:lineRule="auto"/>
              <w:rPr>
                <w:rFonts w:ascii="Arial" w:eastAsia="Times New Roman" w:hAnsi="Arial" w:cs="Arial"/>
                <w:sz w:val="18"/>
                <w:szCs w:val="18"/>
              </w:rPr>
            </w:pPr>
            <w:r w:rsidRPr="00CD22C9">
              <w:rPr>
                <w:rFonts w:ascii="Arial" w:eastAsia="Times New Roman" w:hAnsi="Arial" w:cs="Arial"/>
                <w:sz w:val="18"/>
                <w:szCs w:val="18"/>
              </w:rPr>
              <w:t> </w:t>
            </w:r>
          </w:p>
        </w:tc>
        <w:tc>
          <w:tcPr>
            <w:tcW w:w="1321" w:type="dxa"/>
            <w:shd w:val="clear" w:color="auto" w:fill="auto"/>
            <w:noWrap/>
            <w:vAlign w:val="center"/>
            <w:hideMark/>
          </w:tcPr>
          <w:p w14:paraId="08A87616"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sz w:val="18"/>
                <w:szCs w:val="18"/>
              </w:rPr>
              <w:t> </w:t>
            </w:r>
          </w:p>
        </w:tc>
        <w:tc>
          <w:tcPr>
            <w:tcW w:w="1321" w:type="dxa"/>
            <w:shd w:val="clear" w:color="auto" w:fill="auto"/>
            <w:noWrap/>
            <w:vAlign w:val="center"/>
            <w:hideMark/>
          </w:tcPr>
          <w:p w14:paraId="41C6EACE"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sz w:val="18"/>
                <w:szCs w:val="18"/>
              </w:rPr>
              <w:t> </w:t>
            </w:r>
          </w:p>
        </w:tc>
        <w:tc>
          <w:tcPr>
            <w:tcW w:w="1322" w:type="dxa"/>
            <w:shd w:val="clear" w:color="auto" w:fill="auto"/>
            <w:noWrap/>
            <w:vAlign w:val="center"/>
            <w:hideMark/>
          </w:tcPr>
          <w:p w14:paraId="072ABF40"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sz w:val="18"/>
                <w:szCs w:val="18"/>
              </w:rPr>
              <w:t> </w:t>
            </w:r>
          </w:p>
        </w:tc>
        <w:tc>
          <w:tcPr>
            <w:tcW w:w="999" w:type="dxa"/>
            <w:shd w:val="clear" w:color="000000" w:fill="FFFFFF"/>
            <w:vAlign w:val="center"/>
            <w:hideMark/>
          </w:tcPr>
          <w:p w14:paraId="0DF7A8A2" w14:textId="77777777" w:rsidR="0058157E" w:rsidRPr="00CD22C9" w:rsidRDefault="0058157E" w:rsidP="003F5081">
            <w:pPr>
              <w:spacing w:after="0" w:line="240" w:lineRule="auto"/>
              <w:rPr>
                <w:rFonts w:ascii="Arial" w:eastAsia="Times New Roman" w:hAnsi="Arial" w:cs="Arial"/>
                <w:i/>
                <w:iCs/>
                <w:color w:val="000000"/>
                <w:sz w:val="18"/>
                <w:szCs w:val="18"/>
              </w:rPr>
            </w:pPr>
            <w:r w:rsidRPr="00CD22C9">
              <w:rPr>
                <w:rFonts w:ascii="Arial" w:eastAsia="Times New Roman" w:hAnsi="Arial" w:cs="Arial"/>
                <w:i/>
                <w:iCs/>
                <w:color w:val="000000"/>
                <w:sz w:val="18"/>
                <w:szCs w:val="18"/>
              </w:rPr>
              <w:t> </w:t>
            </w:r>
          </w:p>
        </w:tc>
      </w:tr>
      <w:tr w:rsidR="0058157E" w:rsidRPr="008C3102" w14:paraId="5B0D98F2" w14:textId="77777777" w:rsidTr="003F5081">
        <w:trPr>
          <w:trHeight w:val="241"/>
        </w:trPr>
        <w:tc>
          <w:tcPr>
            <w:tcW w:w="3395" w:type="dxa"/>
            <w:shd w:val="clear" w:color="000000" w:fill="FFFFFF"/>
            <w:noWrap/>
            <w:vAlign w:val="center"/>
            <w:hideMark/>
          </w:tcPr>
          <w:p w14:paraId="1DA0255A" w14:textId="77777777" w:rsidR="0058157E" w:rsidRPr="00633D1C" w:rsidRDefault="0058157E" w:rsidP="003F5081">
            <w:pPr>
              <w:spacing w:after="0" w:line="240" w:lineRule="auto"/>
              <w:ind w:firstLineChars="200" w:firstLine="360"/>
              <w:rPr>
                <w:rFonts w:ascii="Arial" w:eastAsia="Times New Roman" w:hAnsi="Arial" w:cs="Arial"/>
                <w:color w:val="000000"/>
                <w:sz w:val="18"/>
                <w:szCs w:val="18"/>
              </w:rPr>
            </w:pPr>
            <w:r w:rsidRPr="00633D1C">
              <w:rPr>
                <w:rFonts w:ascii="Arial" w:eastAsia="Times New Roman" w:hAnsi="Arial" w:cs="Arial"/>
                <w:color w:val="000000"/>
                <w:sz w:val="18"/>
                <w:szCs w:val="18"/>
              </w:rPr>
              <w:t>Impairments</w:t>
            </w:r>
          </w:p>
        </w:tc>
        <w:tc>
          <w:tcPr>
            <w:tcW w:w="982" w:type="dxa"/>
            <w:shd w:val="clear" w:color="000000" w:fill="FFFFFF"/>
            <w:noWrap/>
            <w:vAlign w:val="center"/>
            <w:hideMark/>
          </w:tcPr>
          <w:p w14:paraId="23C5A286" w14:textId="77777777" w:rsidR="0058157E" w:rsidRPr="009D6776" w:rsidRDefault="0058157E" w:rsidP="003F5081">
            <w:pPr>
              <w:spacing w:after="0" w:line="240" w:lineRule="auto"/>
              <w:rPr>
                <w:rFonts w:ascii="Arial" w:eastAsia="Times New Roman" w:hAnsi="Arial" w:cs="Arial"/>
                <w:sz w:val="18"/>
                <w:szCs w:val="18"/>
              </w:rPr>
            </w:pPr>
            <w:r w:rsidRPr="009D6776">
              <w:rPr>
                <w:rFonts w:ascii="Arial" w:hAnsi="Arial" w:cs="Arial"/>
                <w:sz w:val="18"/>
                <w:szCs w:val="18"/>
              </w:rPr>
              <w:t>10.2</w:t>
            </w:r>
          </w:p>
        </w:tc>
        <w:tc>
          <w:tcPr>
            <w:tcW w:w="1321" w:type="dxa"/>
            <w:shd w:val="clear" w:color="000000" w:fill="FFFFFF"/>
            <w:noWrap/>
            <w:vAlign w:val="center"/>
            <w:hideMark/>
          </w:tcPr>
          <w:p w14:paraId="6FF8A453"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sz w:val="18"/>
                <w:szCs w:val="18"/>
              </w:rPr>
              <w:t>2.4</w:t>
            </w:r>
          </w:p>
        </w:tc>
        <w:tc>
          <w:tcPr>
            <w:tcW w:w="1321" w:type="dxa"/>
            <w:shd w:val="clear" w:color="000000" w:fill="FFFFFF"/>
            <w:noWrap/>
            <w:vAlign w:val="center"/>
            <w:hideMark/>
          </w:tcPr>
          <w:p w14:paraId="30C50674"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sz w:val="18"/>
                <w:szCs w:val="18"/>
              </w:rPr>
              <w:t>2.5</w:t>
            </w:r>
          </w:p>
        </w:tc>
        <w:tc>
          <w:tcPr>
            <w:tcW w:w="1322" w:type="dxa"/>
            <w:shd w:val="clear" w:color="000000" w:fill="FFFFFF"/>
            <w:noWrap/>
            <w:vAlign w:val="center"/>
            <w:hideMark/>
          </w:tcPr>
          <w:p w14:paraId="11956530"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sz w:val="18"/>
                <w:szCs w:val="18"/>
              </w:rPr>
              <w:t>1.1</w:t>
            </w:r>
          </w:p>
        </w:tc>
        <w:tc>
          <w:tcPr>
            <w:tcW w:w="999" w:type="dxa"/>
            <w:shd w:val="clear" w:color="000000" w:fill="FFFFFF"/>
            <w:vAlign w:val="center"/>
            <w:hideMark/>
          </w:tcPr>
          <w:p w14:paraId="2B579C22" w14:textId="77777777" w:rsidR="0058157E" w:rsidRPr="00CD22C9" w:rsidRDefault="0058157E" w:rsidP="003F5081">
            <w:pPr>
              <w:spacing w:after="0" w:line="240" w:lineRule="auto"/>
              <w:rPr>
                <w:rFonts w:ascii="Arial" w:eastAsia="Times New Roman" w:hAnsi="Arial" w:cs="Arial"/>
                <w:i/>
                <w:iCs/>
                <w:color w:val="000000"/>
                <w:sz w:val="18"/>
                <w:szCs w:val="18"/>
              </w:rPr>
            </w:pPr>
            <w:r w:rsidRPr="00CD22C9">
              <w:rPr>
                <w:rFonts w:ascii="Arial" w:eastAsia="Times New Roman" w:hAnsi="Arial" w:cs="Arial"/>
                <w:i/>
                <w:iCs/>
                <w:color w:val="000000"/>
                <w:sz w:val="18"/>
                <w:szCs w:val="18"/>
              </w:rPr>
              <w:t> </w:t>
            </w:r>
          </w:p>
        </w:tc>
      </w:tr>
      <w:tr w:rsidR="0058157E" w:rsidRPr="008C3102" w14:paraId="7115FDCE" w14:textId="77777777" w:rsidTr="003F5081">
        <w:trPr>
          <w:trHeight w:val="241"/>
        </w:trPr>
        <w:tc>
          <w:tcPr>
            <w:tcW w:w="3395" w:type="dxa"/>
            <w:shd w:val="clear" w:color="000000" w:fill="FFFFFF"/>
            <w:noWrap/>
            <w:vAlign w:val="center"/>
            <w:hideMark/>
          </w:tcPr>
          <w:p w14:paraId="33B15887" w14:textId="77777777" w:rsidR="0058157E" w:rsidRPr="00633D1C" w:rsidRDefault="0058157E" w:rsidP="003F5081">
            <w:pPr>
              <w:spacing w:after="0" w:line="240" w:lineRule="auto"/>
              <w:ind w:firstLineChars="200" w:firstLine="360"/>
              <w:rPr>
                <w:rFonts w:ascii="Arial" w:eastAsia="Times New Roman" w:hAnsi="Arial" w:cs="Arial"/>
                <w:color w:val="000000"/>
                <w:sz w:val="18"/>
                <w:szCs w:val="18"/>
              </w:rPr>
            </w:pPr>
            <w:r w:rsidRPr="00633D1C">
              <w:rPr>
                <w:rFonts w:ascii="Arial" w:eastAsia="Times New Roman" w:hAnsi="Arial" w:cs="Arial"/>
                <w:color w:val="000000"/>
                <w:sz w:val="18"/>
                <w:szCs w:val="18"/>
              </w:rPr>
              <w:t>NHS Provider Sustainability   Fund</w:t>
            </w:r>
          </w:p>
        </w:tc>
        <w:tc>
          <w:tcPr>
            <w:tcW w:w="982" w:type="dxa"/>
            <w:shd w:val="clear" w:color="000000" w:fill="FFFFFF"/>
            <w:noWrap/>
            <w:vAlign w:val="center"/>
            <w:hideMark/>
          </w:tcPr>
          <w:p w14:paraId="359DFA00" w14:textId="77777777" w:rsidR="0058157E" w:rsidRPr="009D6776" w:rsidRDefault="0058157E" w:rsidP="003F5081">
            <w:pPr>
              <w:spacing w:after="0" w:line="240" w:lineRule="auto"/>
              <w:rPr>
                <w:rFonts w:ascii="Arial" w:eastAsia="Times New Roman" w:hAnsi="Arial" w:cs="Arial"/>
                <w:sz w:val="18"/>
                <w:szCs w:val="18"/>
              </w:rPr>
            </w:pPr>
            <w:r w:rsidRPr="009D6776">
              <w:rPr>
                <w:rFonts w:ascii="Arial" w:hAnsi="Arial" w:cs="Arial"/>
                <w:color w:val="FF0000"/>
                <w:sz w:val="18"/>
                <w:szCs w:val="18"/>
              </w:rPr>
              <w:t>(6.7)</w:t>
            </w:r>
          </w:p>
        </w:tc>
        <w:tc>
          <w:tcPr>
            <w:tcW w:w="1321" w:type="dxa"/>
            <w:shd w:val="clear" w:color="000000" w:fill="FFFFFF"/>
            <w:noWrap/>
            <w:vAlign w:val="center"/>
            <w:hideMark/>
          </w:tcPr>
          <w:p w14:paraId="088CAC5E"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color w:val="FF0000"/>
                <w:sz w:val="18"/>
                <w:szCs w:val="18"/>
              </w:rPr>
              <w:t>(6.4)</w:t>
            </w:r>
          </w:p>
        </w:tc>
        <w:tc>
          <w:tcPr>
            <w:tcW w:w="1321" w:type="dxa"/>
            <w:shd w:val="clear" w:color="000000" w:fill="FFFFFF"/>
            <w:noWrap/>
            <w:vAlign w:val="center"/>
            <w:hideMark/>
          </w:tcPr>
          <w:p w14:paraId="17BD47E0"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color w:val="FF0000"/>
                <w:sz w:val="18"/>
                <w:szCs w:val="18"/>
              </w:rPr>
              <w:t>(8.0)</w:t>
            </w:r>
          </w:p>
        </w:tc>
        <w:tc>
          <w:tcPr>
            <w:tcW w:w="1322" w:type="dxa"/>
            <w:shd w:val="clear" w:color="000000" w:fill="FFFFFF"/>
            <w:noWrap/>
            <w:vAlign w:val="center"/>
            <w:hideMark/>
          </w:tcPr>
          <w:p w14:paraId="537B18EB"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color w:val="FF0000"/>
                <w:sz w:val="18"/>
                <w:szCs w:val="18"/>
              </w:rPr>
              <w:t>(2.1)</w:t>
            </w:r>
          </w:p>
        </w:tc>
        <w:tc>
          <w:tcPr>
            <w:tcW w:w="999" w:type="dxa"/>
            <w:shd w:val="clear" w:color="000000" w:fill="FFFFFF"/>
            <w:vAlign w:val="center"/>
            <w:hideMark/>
          </w:tcPr>
          <w:p w14:paraId="3477C038" w14:textId="77777777" w:rsidR="0058157E" w:rsidRPr="00CD22C9" w:rsidRDefault="0058157E" w:rsidP="003F5081">
            <w:pPr>
              <w:spacing w:after="0" w:line="240" w:lineRule="auto"/>
              <w:rPr>
                <w:rFonts w:ascii="Arial" w:eastAsia="Times New Roman" w:hAnsi="Arial" w:cs="Arial"/>
                <w:i/>
                <w:iCs/>
                <w:color w:val="000000"/>
                <w:sz w:val="18"/>
                <w:szCs w:val="18"/>
              </w:rPr>
            </w:pPr>
            <w:r w:rsidRPr="00CD22C9">
              <w:rPr>
                <w:rFonts w:ascii="Arial" w:eastAsia="Times New Roman" w:hAnsi="Arial" w:cs="Arial"/>
                <w:i/>
                <w:iCs/>
                <w:color w:val="000000"/>
                <w:sz w:val="18"/>
                <w:szCs w:val="18"/>
              </w:rPr>
              <w:t> </w:t>
            </w:r>
          </w:p>
        </w:tc>
      </w:tr>
      <w:tr w:rsidR="0058157E" w:rsidRPr="008C3102" w14:paraId="60674212" w14:textId="77777777" w:rsidTr="003F5081">
        <w:trPr>
          <w:trHeight w:val="241"/>
        </w:trPr>
        <w:tc>
          <w:tcPr>
            <w:tcW w:w="3395" w:type="dxa"/>
            <w:shd w:val="clear" w:color="000000" w:fill="FFFFFF"/>
            <w:noWrap/>
            <w:vAlign w:val="center"/>
            <w:hideMark/>
          </w:tcPr>
          <w:p w14:paraId="73B6C364" w14:textId="77777777" w:rsidR="0058157E" w:rsidRPr="00633D1C" w:rsidRDefault="0058157E" w:rsidP="003F5081">
            <w:pPr>
              <w:spacing w:after="0" w:line="240" w:lineRule="auto"/>
              <w:ind w:firstLineChars="200" w:firstLine="360"/>
              <w:rPr>
                <w:rFonts w:ascii="Arial" w:eastAsia="Times New Roman" w:hAnsi="Arial" w:cs="Arial"/>
                <w:color w:val="000000"/>
                <w:sz w:val="18"/>
                <w:szCs w:val="18"/>
              </w:rPr>
            </w:pPr>
            <w:r>
              <w:rPr>
                <w:rFonts w:ascii="Arial" w:eastAsia="Times New Roman" w:hAnsi="Arial" w:cs="Arial"/>
                <w:color w:val="000000"/>
                <w:sz w:val="18"/>
                <w:szCs w:val="18"/>
              </w:rPr>
              <w:t>Disposal (gain)/loss</w:t>
            </w:r>
          </w:p>
        </w:tc>
        <w:tc>
          <w:tcPr>
            <w:tcW w:w="982" w:type="dxa"/>
            <w:shd w:val="clear" w:color="000000" w:fill="FFFFFF"/>
            <w:noWrap/>
            <w:vAlign w:val="center"/>
            <w:hideMark/>
          </w:tcPr>
          <w:p w14:paraId="4572C166" w14:textId="77777777" w:rsidR="0058157E" w:rsidRPr="009D6776" w:rsidRDefault="0058157E" w:rsidP="003F5081">
            <w:pPr>
              <w:spacing w:after="0" w:line="240" w:lineRule="auto"/>
              <w:rPr>
                <w:rFonts w:ascii="Arial" w:eastAsia="Times New Roman" w:hAnsi="Arial" w:cs="Arial"/>
                <w:sz w:val="18"/>
                <w:szCs w:val="18"/>
              </w:rPr>
            </w:pPr>
            <w:r w:rsidRPr="009D6776">
              <w:rPr>
                <w:rFonts w:ascii="Arial" w:hAnsi="Arial" w:cs="Arial"/>
                <w:color w:val="FF0000"/>
                <w:sz w:val="18"/>
                <w:szCs w:val="18"/>
              </w:rPr>
              <w:t>(0.5)</w:t>
            </w:r>
          </w:p>
        </w:tc>
        <w:tc>
          <w:tcPr>
            <w:tcW w:w="1321" w:type="dxa"/>
            <w:shd w:val="clear" w:color="000000" w:fill="FFFFFF"/>
            <w:noWrap/>
            <w:vAlign w:val="center"/>
            <w:hideMark/>
          </w:tcPr>
          <w:p w14:paraId="5E723973"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sz w:val="18"/>
                <w:szCs w:val="18"/>
              </w:rPr>
              <w:t>0.0</w:t>
            </w:r>
          </w:p>
        </w:tc>
        <w:tc>
          <w:tcPr>
            <w:tcW w:w="1321" w:type="dxa"/>
            <w:shd w:val="clear" w:color="000000" w:fill="FFFFFF"/>
            <w:noWrap/>
            <w:vAlign w:val="center"/>
            <w:hideMark/>
          </w:tcPr>
          <w:p w14:paraId="5F12D0FC"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color w:val="FF0000"/>
                <w:sz w:val="18"/>
                <w:szCs w:val="18"/>
              </w:rPr>
              <w:t>(1.8)</w:t>
            </w:r>
          </w:p>
        </w:tc>
        <w:tc>
          <w:tcPr>
            <w:tcW w:w="1322" w:type="dxa"/>
            <w:shd w:val="clear" w:color="000000" w:fill="FFFFFF"/>
            <w:noWrap/>
            <w:vAlign w:val="center"/>
            <w:hideMark/>
          </w:tcPr>
          <w:p w14:paraId="6FE83613"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color w:val="FF0000"/>
                <w:sz w:val="18"/>
                <w:szCs w:val="18"/>
              </w:rPr>
              <w:t>(0.0)</w:t>
            </w:r>
          </w:p>
        </w:tc>
        <w:tc>
          <w:tcPr>
            <w:tcW w:w="999" w:type="dxa"/>
            <w:shd w:val="clear" w:color="000000" w:fill="FFFFFF"/>
            <w:vAlign w:val="center"/>
            <w:hideMark/>
          </w:tcPr>
          <w:p w14:paraId="3A6F71A3" w14:textId="77777777" w:rsidR="0058157E" w:rsidRPr="00CD22C9" w:rsidRDefault="0058157E" w:rsidP="003F5081">
            <w:pPr>
              <w:spacing w:after="0" w:line="240" w:lineRule="auto"/>
              <w:rPr>
                <w:rFonts w:ascii="Arial" w:eastAsia="Times New Roman" w:hAnsi="Arial" w:cs="Arial"/>
                <w:i/>
                <w:iCs/>
                <w:color w:val="000000"/>
                <w:sz w:val="18"/>
                <w:szCs w:val="18"/>
              </w:rPr>
            </w:pPr>
            <w:r w:rsidRPr="00CD22C9">
              <w:rPr>
                <w:rFonts w:ascii="Arial" w:eastAsia="Times New Roman" w:hAnsi="Arial" w:cs="Arial"/>
                <w:i/>
                <w:iCs/>
                <w:color w:val="000000"/>
                <w:sz w:val="18"/>
                <w:szCs w:val="18"/>
              </w:rPr>
              <w:t> </w:t>
            </w:r>
          </w:p>
        </w:tc>
      </w:tr>
      <w:tr w:rsidR="0058157E" w:rsidRPr="008C3102" w14:paraId="12491E62" w14:textId="77777777" w:rsidTr="003F5081">
        <w:trPr>
          <w:trHeight w:val="241"/>
        </w:trPr>
        <w:tc>
          <w:tcPr>
            <w:tcW w:w="3395" w:type="dxa"/>
            <w:shd w:val="clear" w:color="000000" w:fill="FFFFFF"/>
            <w:noWrap/>
            <w:vAlign w:val="center"/>
            <w:hideMark/>
          </w:tcPr>
          <w:p w14:paraId="745E8DCB" w14:textId="77777777" w:rsidR="0058157E" w:rsidRPr="00633D1C" w:rsidRDefault="0058157E" w:rsidP="003F5081">
            <w:pPr>
              <w:spacing w:after="0" w:line="240" w:lineRule="auto"/>
              <w:ind w:firstLineChars="200" w:firstLine="360"/>
              <w:rPr>
                <w:rFonts w:ascii="Arial" w:eastAsia="Times New Roman" w:hAnsi="Arial" w:cs="Arial"/>
                <w:color w:val="000000"/>
                <w:sz w:val="18"/>
                <w:szCs w:val="18"/>
              </w:rPr>
            </w:pPr>
            <w:r w:rsidRPr="00633D1C">
              <w:rPr>
                <w:rFonts w:ascii="Arial" w:eastAsia="Times New Roman" w:hAnsi="Arial" w:cs="Arial"/>
                <w:color w:val="000000"/>
                <w:sz w:val="18"/>
                <w:szCs w:val="18"/>
              </w:rPr>
              <w:t>Oriel costs</w:t>
            </w:r>
          </w:p>
        </w:tc>
        <w:tc>
          <w:tcPr>
            <w:tcW w:w="982" w:type="dxa"/>
            <w:shd w:val="clear" w:color="000000" w:fill="FFFFFF"/>
            <w:noWrap/>
            <w:vAlign w:val="center"/>
            <w:hideMark/>
          </w:tcPr>
          <w:p w14:paraId="6A729C1B" w14:textId="77777777" w:rsidR="0058157E" w:rsidRPr="009D6776" w:rsidRDefault="0058157E" w:rsidP="003F5081">
            <w:pPr>
              <w:spacing w:after="0" w:line="240" w:lineRule="auto"/>
              <w:rPr>
                <w:rFonts w:ascii="Arial" w:eastAsia="Times New Roman" w:hAnsi="Arial" w:cs="Arial"/>
                <w:sz w:val="18"/>
                <w:szCs w:val="18"/>
              </w:rPr>
            </w:pPr>
            <w:r w:rsidRPr="009D6776">
              <w:rPr>
                <w:rFonts w:ascii="Arial" w:hAnsi="Arial" w:cs="Arial"/>
                <w:sz w:val="18"/>
                <w:szCs w:val="18"/>
              </w:rPr>
              <w:t>0.7</w:t>
            </w:r>
          </w:p>
        </w:tc>
        <w:tc>
          <w:tcPr>
            <w:tcW w:w="1321" w:type="dxa"/>
            <w:shd w:val="clear" w:color="000000" w:fill="FFFFFF"/>
            <w:noWrap/>
            <w:vAlign w:val="center"/>
            <w:hideMark/>
          </w:tcPr>
          <w:p w14:paraId="49DB9F49"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sz w:val="18"/>
                <w:szCs w:val="18"/>
              </w:rPr>
              <w:t>0.7</w:t>
            </w:r>
          </w:p>
        </w:tc>
        <w:tc>
          <w:tcPr>
            <w:tcW w:w="1321" w:type="dxa"/>
            <w:shd w:val="clear" w:color="000000" w:fill="FFFFFF"/>
            <w:noWrap/>
            <w:vAlign w:val="center"/>
            <w:hideMark/>
          </w:tcPr>
          <w:p w14:paraId="097A8771"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sz w:val="18"/>
                <w:szCs w:val="18"/>
              </w:rPr>
              <w:t>1.1</w:t>
            </w:r>
          </w:p>
        </w:tc>
        <w:tc>
          <w:tcPr>
            <w:tcW w:w="1322" w:type="dxa"/>
            <w:shd w:val="clear" w:color="000000" w:fill="FFFFFF"/>
            <w:noWrap/>
            <w:vAlign w:val="center"/>
            <w:hideMark/>
          </w:tcPr>
          <w:p w14:paraId="3CAABE50" w14:textId="77777777" w:rsidR="0058157E" w:rsidRPr="00CD22C9" w:rsidRDefault="0058157E" w:rsidP="003F5081">
            <w:pPr>
              <w:spacing w:after="0" w:line="240" w:lineRule="auto"/>
              <w:rPr>
                <w:rFonts w:ascii="Arial" w:eastAsia="Times New Roman" w:hAnsi="Arial" w:cs="Arial"/>
                <w:sz w:val="18"/>
                <w:szCs w:val="18"/>
              </w:rPr>
            </w:pPr>
            <w:r>
              <w:rPr>
                <w:rFonts w:ascii="Arial" w:hAnsi="Arial" w:cs="Arial"/>
                <w:sz w:val="18"/>
                <w:szCs w:val="18"/>
              </w:rPr>
              <w:t>3.4</w:t>
            </w:r>
          </w:p>
        </w:tc>
        <w:tc>
          <w:tcPr>
            <w:tcW w:w="999" w:type="dxa"/>
            <w:shd w:val="clear" w:color="000000" w:fill="FFFFFF"/>
            <w:vAlign w:val="center"/>
            <w:hideMark/>
          </w:tcPr>
          <w:p w14:paraId="7D53C8BE" w14:textId="77777777" w:rsidR="0058157E" w:rsidRPr="00CD22C9" w:rsidRDefault="0058157E" w:rsidP="003F5081">
            <w:pPr>
              <w:spacing w:after="0" w:line="240" w:lineRule="auto"/>
              <w:rPr>
                <w:rFonts w:ascii="Arial" w:eastAsia="Times New Roman" w:hAnsi="Arial" w:cs="Arial"/>
                <w:i/>
                <w:iCs/>
                <w:color w:val="000000"/>
                <w:sz w:val="18"/>
                <w:szCs w:val="18"/>
              </w:rPr>
            </w:pPr>
            <w:r w:rsidRPr="00CD22C9">
              <w:rPr>
                <w:rFonts w:ascii="Arial" w:eastAsia="Times New Roman" w:hAnsi="Arial" w:cs="Arial"/>
                <w:i/>
                <w:iCs/>
                <w:color w:val="000000"/>
                <w:sz w:val="18"/>
                <w:szCs w:val="18"/>
              </w:rPr>
              <w:t> </w:t>
            </w:r>
          </w:p>
        </w:tc>
      </w:tr>
      <w:tr w:rsidR="0058157E" w:rsidRPr="008C3102" w14:paraId="28F1E23E" w14:textId="77777777" w:rsidTr="003F5081">
        <w:trPr>
          <w:trHeight w:val="241"/>
        </w:trPr>
        <w:tc>
          <w:tcPr>
            <w:tcW w:w="3395" w:type="dxa"/>
            <w:shd w:val="clear" w:color="000000" w:fill="FFFFFF"/>
            <w:noWrap/>
            <w:vAlign w:val="center"/>
            <w:hideMark/>
          </w:tcPr>
          <w:p w14:paraId="1A1F44BC" w14:textId="77777777" w:rsidR="0058157E" w:rsidRPr="00633D1C" w:rsidRDefault="0058157E" w:rsidP="003F5081">
            <w:pPr>
              <w:spacing w:after="0" w:line="240" w:lineRule="auto"/>
              <w:rPr>
                <w:rFonts w:ascii="Arial" w:eastAsia="Times New Roman" w:hAnsi="Arial" w:cs="Arial"/>
                <w:b/>
                <w:bCs/>
                <w:color w:val="000000"/>
                <w:sz w:val="18"/>
                <w:szCs w:val="18"/>
              </w:rPr>
            </w:pPr>
            <w:r>
              <w:rPr>
                <w:rFonts w:ascii="Arial" w:eastAsia="Times New Roman" w:hAnsi="Arial" w:cs="Arial"/>
                <w:b/>
                <w:bCs/>
                <w:color w:val="000000"/>
                <w:sz w:val="18"/>
                <w:szCs w:val="18"/>
              </w:rPr>
              <w:t>Normalised</w:t>
            </w:r>
            <w:r w:rsidRPr="00633D1C">
              <w:rPr>
                <w:rFonts w:ascii="Arial" w:eastAsia="Times New Roman" w:hAnsi="Arial" w:cs="Arial"/>
                <w:b/>
                <w:bCs/>
                <w:color w:val="000000"/>
                <w:sz w:val="18"/>
                <w:szCs w:val="18"/>
              </w:rPr>
              <w:t xml:space="preserve"> surplus</w:t>
            </w:r>
          </w:p>
        </w:tc>
        <w:tc>
          <w:tcPr>
            <w:tcW w:w="982" w:type="dxa"/>
            <w:shd w:val="clear" w:color="000000" w:fill="FFFFFF"/>
            <w:noWrap/>
            <w:vAlign w:val="center"/>
            <w:hideMark/>
          </w:tcPr>
          <w:p w14:paraId="3C9C9D70" w14:textId="77777777" w:rsidR="0058157E" w:rsidRPr="009D6776" w:rsidRDefault="0058157E" w:rsidP="003F5081">
            <w:pPr>
              <w:spacing w:after="0" w:line="240" w:lineRule="auto"/>
              <w:rPr>
                <w:rFonts w:ascii="Arial" w:eastAsia="Times New Roman" w:hAnsi="Arial" w:cs="Arial"/>
                <w:b/>
                <w:bCs/>
                <w:sz w:val="18"/>
                <w:szCs w:val="18"/>
              </w:rPr>
            </w:pPr>
            <w:r w:rsidRPr="009D6776">
              <w:rPr>
                <w:rFonts w:ascii="Arial" w:hAnsi="Arial" w:cs="Arial"/>
                <w:b/>
                <w:bCs/>
                <w:sz w:val="18"/>
                <w:szCs w:val="18"/>
              </w:rPr>
              <w:t>6.3</w:t>
            </w:r>
          </w:p>
        </w:tc>
        <w:tc>
          <w:tcPr>
            <w:tcW w:w="1321" w:type="dxa"/>
            <w:shd w:val="clear" w:color="000000" w:fill="FFFFFF"/>
            <w:noWrap/>
            <w:vAlign w:val="center"/>
            <w:hideMark/>
          </w:tcPr>
          <w:p w14:paraId="5F50B3EB" w14:textId="77777777" w:rsidR="0058157E" w:rsidRPr="00CD22C9" w:rsidRDefault="0058157E" w:rsidP="003F5081">
            <w:pPr>
              <w:spacing w:after="0" w:line="240" w:lineRule="auto"/>
              <w:rPr>
                <w:rFonts w:ascii="Arial" w:eastAsia="Times New Roman" w:hAnsi="Arial" w:cs="Arial"/>
                <w:b/>
                <w:bCs/>
                <w:sz w:val="18"/>
                <w:szCs w:val="18"/>
              </w:rPr>
            </w:pPr>
            <w:r>
              <w:rPr>
                <w:rFonts w:ascii="Arial" w:hAnsi="Arial" w:cs="Arial"/>
                <w:b/>
                <w:bCs/>
                <w:sz w:val="18"/>
                <w:szCs w:val="18"/>
              </w:rPr>
              <w:t>2.5</w:t>
            </w:r>
          </w:p>
        </w:tc>
        <w:tc>
          <w:tcPr>
            <w:tcW w:w="1321" w:type="dxa"/>
            <w:shd w:val="clear" w:color="000000" w:fill="FFFFFF"/>
            <w:noWrap/>
            <w:vAlign w:val="center"/>
            <w:hideMark/>
          </w:tcPr>
          <w:p w14:paraId="36131D3B" w14:textId="77777777" w:rsidR="0058157E" w:rsidRPr="00CD22C9" w:rsidRDefault="0058157E" w:rsidP="003F5081">
            <w:pPr>
              <w:spacing w:after="0" w:line="240" w:lineRule="auto"/>
              <w:rPr>
                <w:rFonts w:ascii="Arial" w:eastAsia="Times New Roman" w:hAnsi="Arial" w:cs="Arial"/>
                <w:b/>
                <w:bCs/>
                <w:sz w:val="18"/>
                <w:szCs w:val="18"/>
              </w:rPr>
            </w:pPr>
            <w:r>
              <w:rPr>
                <w:rFonts w:ascii="Arial" w:hAnsi="Arial" w:cs="Arial"/>
                <w:b/>
                <w:bCs/>
                <w:sz w:val="18"/>
                <w:szCs w:val="18"/>
              </w:rPr>
              <w:t>2.3</w:t>
            </w:r>
          </w:p>
        </w:tc>
        <w:tc>
          <w:tcPr>
            <w:tcW w:w="1322" w:type="dxa"/>
            <w:shd w:val="clear" w:color="000000" w:fill="FFFFFF"/>
            <w:noWrap/>
            <w:vAlign w:val="center"/>
            <w:hideMark/>
          </w:tcPr>
          <w:p w14:paraId="165538A1" w14:textId="77777777" w:rsidR="0058157E" w:rsidRPr="00CD22C9" w:rsidRDefault="0058157E" w:rsidP="003F5081">
            <w:pPr>
              <w:spacing w:after="0" w:line="240" w:lineRule="auto"/>
              <w:rPr>
                <w:rFonts w:ascii="Arial" w:eastAsia="Times New Roman" w:hAnsi="Arial" w:cs="Arial"/>
                <w:b/>
                <w:bCs/>
                <w:sz w:val="18"/>
                <w:szCs w:val="18"/>
              </w:rPr>
            </w:pPr>
            <w:r>
              <w:rPr>
                <w:rFonts w:ascii="Arial" w:hAnsi="Arial" w:cs="Arial"/>
                <w:b/>
                <w:bCs/>
                <w:sz w:val="18"/>
                <w:szCs w:val="18"/>
              </w:rPr>
              <w:t>2.4</w:t>
            </w:r>
          </w:p>
        </w:tc>
        <w:tc>
          <w:tcPr>
            <w:tcW w:w="999" w:type="dxa"/>
            <w:shd w:val="clear" w:color="000000" w:fill="FFFFFF"/>
            <w:vAlign w:val="center"/>
            <w:hideMark/>
          </w:tcPr>
          <w:p w14:paraId="5E6A23F2" w14:textId="77777777" w:rsidR="0058157E" w:rsidRPr="00CD22C9" w:rsidRDefault="0058157E" w:rsidP="003F5081">
            <w:pPr>
              <w:spacing w:after="0" w:line="240" w:lineRule="auto"/>
              <w:rPr>
                <w:rFonts w:ascii="Arial" w:eastAsia="Times New Roman" w:hAnsi="Arial" w:cs="Arial"/>
                <w:i/>
                <w:iCs/>
                <w:color w:val="000000"/>
                <w:sz w:val="18"/>
                <w:szCs w:val="18"/>
              </w:rPr>
            </w:pPr>
          </w:p>
        </w:tc>
      </w:tr>
    </w:tbl>
    <w:p w14:paraId="467307EF" w14:textId="77777777" w:rsidR="002F4789" w:rsidRDefault="002F4789" w:rsidP="00B72F95">
      <w:pPr>
        <w:rPr>
          <w:rFonts w:ascii="Arial" w:hAnsi="Arial" w:cs="Arial"/>
          <w:b/>
        </w:rPr>
      </w:pPr>
    </w:p>
    <w:p w14:paraId="4D2DD130" w14:textId="60A21E58" w:rsidR="005E30EF" w:rsidRPr="006E1B58" w:rsidRDefault="005E30EF" w:rsidP="005E0D57">
      <w:pPr>
        <w:pStyle w:val="Heading2"/>
        <w:numPr>
          <w:ilvl w:val="2"/>
          <w:numId w:val="1"/>
        </w:numPr>
        <w:rPr>
          <w:rFonts w:ascii="Arial" w:eastAsia="Arial" w:hAnsi="Arial" w:cs="Arial"/>
        </w:rPr>
      </w:pPr>
      <w:bookmarkStart w:id="289" w:name="_Toc30670713"/>
      <w:bookmarkStart w:id="290" w:name="_Toc32842732"/>
      <w:r w:rsidRPr="006E1B58">
        <w:rPr>
          <w:rFonts w:ascii="Arial" w:eastAsia="Arial" w:hAnsi="Arial" w:cs="Arial"/>
        </w:rPr>
        <w:t>NHS Patient activity</w:t>
      </w:r>
      <w:bookmarkEnd w:id="289"/>
      <w:bookmarkEnd w:id="290"/>
    </w:p>
    <w:p w14:paraId="7C59BF4F" w14:textId="77777777" w:rsidR="006E1B58" w:rsidRDefault="006E1B58" w:rsidP="006E1B58">
      <w:pPr>
        <w:spacing w:after="0"/>
        <w:rPr>
          <w:rFonts w:ascii="Arial" w:hAnsi="Arial" w:cs="Arial"/>
        </w:rPr>
      </w:pPr>
    </w:p>
    <w:p w14:paraId="71BEEC83" w14:textId="2967F3DA" w:rsidR="005E30EF" w:rsidRPr="009F763F" w:rsidRDefault="005E30EF" w:rsidP="00B72F95">
      <w:pPr>
        <w:rPr>
          <w:rFonts w:ascii="Arial" w:hAnsi="Arial" w:cs="Arial"/>
        </w:rPr>
      </w:pPr>
      <w:r w:rsidRPr="009F763F">
        <w:rPr>
          <w:rFonts w:ascii="Arial" w:hAnsi="Arial" w:cs="Arial"/>
        </w:rPr>
        <w:t>Moorfields’ NH</w:t>
      </w:r>
      <w:r>
        <w:rPr>
          <w:rFonts w:ascii="Arial" w:hAnsi="Arial" w:cs="Arial"/>
        </w:rPr>
        <w:t xml:space="preserve">S patient activity volumes for the three year period to </w:t>
      </w:r>
      <w:r w:rsidRPr="006E1B58">
        <w:rPr>
          <w:rFonts w:ascii="Arial" w:hAnsi="Arial" w:cs="Arial"/>
        </w:rPr>
        <w:t xml:space="preserve">FY19 are shown in </w:t>
      </w:r>
      <w:r w:rsidR="006E1B58" w:rsidRPr="006E1B58">
        <w:rPr>
          <w:rFonts w:ascii="Arial" w:hAnsi="Arial" w:cs="Arial"/>
        </w:rPr>
        <w:fldChar w:fldCharType="begin"/>
      </w:r>
      <w:r w:rsidR="006E1B58" w:rsidRPr="006E1B58">
        <w:rPr>
          <w:rFonts w:ascii="Arial" w:hAnsi="Arial" w:cs="Arial"/>
        </w:rPr>
        <w:instrText xml:space="preserve"> REF _Ref30430009 \h </w:instrText>
      </w:r>
      <w:r w:rsidR="006E1B58">
        <w:rPr>
          <w:rFonts w:ascii="Arial" w:hAnsi="Arial" w:cs="Arial"/>
        </w:rPr>
        <w:instrText xml:space="preserve"> \* MERGEFORMAT </w:instrText>
      </w:r>
      <w:r w:rsidR="006E1B58" w:rsidRPr="006E1B58">
        <w:rPr>
          <w:rFonts w:ascii="Arial" w:hAnsi="Arial" w:cs="Arial"/>
        </w:rPr>
      </w:r>
      <w:r w:rsidR="006E1B58" w:rsidRPr="006E1B58">
        <w:rPr>
          <w:rFonts w:ascii="Arial" w:hAnsi="Arial" w:cs="Arial"/>
        </w:rPr>
        <w:fldChar w:fldCharType="separate"/>
      </w:r>
      <w:r w:rsidR="00A936CD" w:rsidRPr="00A936CD">
        <w:rPr>
          <w:rFonts w:ascii="Arial" w:hAnsi="Arial" w:cs="Arial"/>
        </w:rPr>
        <w:t xml:space="preserve">Table </w:t>
      </w:r>
      <w:r w:rsidR="00A936CD" w:rsidRPr="00A936CD">
        <w:rPr>
          <w:rFonts w:ascii="Arial" w:hAnsi="Arial" w:cs="Arial"/>
          <w:noProof/>
        </w:rPr>
        <w:t>24</w:t>
      </w:r>
      <w:r w:rsidR="006E1B58" w:rsidRPr="006E1B58">
        <w:rPr>
          <w:rFonts w:ascii="Arial" w:hAnsi="Arial" w:cs="Arial"/>
        </w:rPr>
        <w:fldChar w:fldCharType="end"/>
      </w:r>
      <w:r w:rsidRPr="006E1B58">
        <w:rPr>
          <w:rFonts w:ascii="Arial" w:hAnsi="Arial" w:cs="Arial"/>
        </w:rPr>
        <w:t xml:space="preserve">, with added FY20 forecasted volumes. Between FY17 and </w:t>
      </w:r>
      <w:r>
        <w:rPr>
          <w:rFonts w:ascii="Arial" w:hAnsi="Arial" w:cs="Arial"/>
        </w:rPr>
        <w:t>FY20</w:t>
      </w:r>
      <w:r w:rsidR="006E1B58">
        <w:rPr>
          <w:rFonts w:ascii="Arial" w:hAnsi="Arial" w:cs="Arial"/>
        </w:rPr>
        <w:t>,</w:t>
      </w:r>
      <w:r w:rsidRPr="009F763F">
        <w:rPr>
          <w:rFonts w:ascii="Arial" w:hAnsi="Arial" w:cs="Arial"/>
        </w:rPr>
        <w:t xml:space="preserve"> the </w:t>
      </w:r>
      <w:r w:rsidR="006E1B58">
        <w:rPr>
          <w:rFonts w:ascii="Arial" w:hAnsi="Arial" w:cs="Arial"/>
        </w:rPr>
        <w:t>t</w:t>
      </w:r>
      <w:r w:rsidRPr="009F763F">
        <w:rPr>
          <w:rFonts w:ascii="Arial" w:hAnsi="Arial" w:cs="Arial"/>
        </w:rPr>
        <w:t xml:space="preserve">rust has seen an average overall activity growth of 3.1% annually. </w:t>
      </w:r>
    </w:p>
    <w:p w14:paraId="448441C5" w14:textId="111B9517" w:rsidR="005E30EF" w:rsidRPr="009F763F" w:rsidRDefault="005E30EF" w:rsidP="00B72F95">
      <w:pPr>
        <w:rPr>
          <w:rFonts w:ascii="Arial" w:hAnsi="Arial" w:cs="Arial"/>
        </w:rPr>
      </w:pPr>
      <w:r w:rsidRPr="009F763F">
        <w:rPr>
          <w:rFonts w:ascii="Arial" w:hAnsi="Arial" w:cs="Arial"/>
        </w:rPr>
        <w:t>Over the period</w:t>
      </w:r>
      <w:r w:rsidR="006E1B58">
        <w:rPr>
          <w:rFonts w:ascii="Arial" w:hAnsi="Arial" w:cs="Arial"/>
        </w:rPr>
        <w:t>,</w:t>
      </w:r>
      <w:r w:rsidRPr="009F763F">
        <w:rPr>
          <w:rFonts w:ascii="Arial" w:hAnsi="Arial" w:cs="Arial"/>
        </w:rPr>
        <w:t xml:space="preserve"> the highest activity increase was in </w:t>
      </w:r>
      <w:r>
        <w:rPr>
          <w:rFonts w:ascii="Arial" w:hAnsi="Arial" w:cs="Arial"/>
        </w:rPr>
        <w:t>FY19</w:t>
      </w:r>
      <w:r w:rsidRPr="009F763F">
        <w:rPr>
          <w:rFonts w:ascii="Arial" w:hAnsi="Arial" w:cs="Arial"/>
        </w:rPr>
        <w:t xml:space="preserve"> of 5.2%</w:t>
      </w:r>
      <w:r w:rsidR="006E1B58">
        <w:rPr>
          <w:rFonts w:ascii="Arial" w:hAnsi="Arial" w:cs="Arial"/>
        </w:rPr>
        <w:t>,</w:t>
      </w:r>
      <w:r w:rsidRPr="009F763F">
        <w:rPr>
          <w:rFonts w:ascii="Arial" w:hAnsi="Arial" w:cs="Arial"/>
        </w:rPr>
        <w:t xml:space="preserve"> and the lowest in </w:t>
      </w:r>
      <w:r>
        <w:rPr>
          <w:rFonts w:ascii="Arial" w:hAnsi="Arial" w:cs="Arial"/>
        </w:rPr>
        <w:t>FY18</w:t>
      </w:r>
      <w:r w:rsidRPr="009F763F">
        <w:rPr>
          <w:rFonts w:ascii="Arial" w:hAnsi="Arial" w:cs="Arial"/>
        </w:rPr>
        <w:t xml:space="preserve"> of 1.2%. Activity growth in </w:t>
      </w:r>
      <w:r>
        <w:rPr>
          <w:rFonts w:ascii="Arial" w:hAnsi="Arial" w:cs="Arial"/>
        </w:rPr>
        <w:t>FY19</w:t>
      </w:r>
      <w:r w:rsidRPr="009F763F">
        <w:rPr>
          <w:rFonts w:ascii="Arial" w:hAnsi="Arial" w:cs="Arial"/>
        </w:rPr>
        <w:t xml:space="preserve"> was driven by 6% increase in </w:t>
      </w:r>
      <w:r w:rsidR="006E1B58">
        <w:rPr>
          <w:rFonts w:ascii="Arial" w:hAnsi="Arial" w:cs="Arial"/>
        </w:rPr>
        <w:t>o</w:t>
      </w:r>
      <w:r w:rsidRPr="009F763F">
        <w:rPr>
          <w:rFonts w:ascii="Arial" w:hAnsi="Arial" w:cs="Arial"/>
        </w:rPr>
        <w:t xml:space="preserve">utpatient and 4.5% increase in </w:t>
      </w:r>
      <w:r w:rsidR="006E1B58">
        <w:rPr>
          <w:rFonts w:ascii="Arial" w:hAnsi="Arial" w:cs="Arial"/>
        </w:rPr>
        <w:t>d</w:t>
      </w:r>
      <w:r w:rsidRPr="009F763F">
        <w:rPr>
          <w:rFonts w:ascii="Arial" w:hAnsi="Arial" w:cs="Arial"/>
        </w:rPr>
        <w:t>ay case</w:t>
      </w:r>
      <w:r w:rsidR="006E1B58">
        <w:rPr>
          <w:rFonts w:ascii="Arial" w:hAnsi="Arial" w:cs="Arial"/>
        </w:rPr>
        <w:t xml:space="preserve"> activity</w:t>
      </w:r>
      <w:r>
        <w:rPr>
          <w:rFonts w:ascii="Arial" w:hAnsi="Arial" w:cs="Arial"/>
        </w:rPr>
        <w:t>,</w:t>
      </w:r>
      <w:r w:rsidRPr="009F763F">
        <w:rPr>
          <w:rFonts w:ascii="Arial" w:hAnsi="Arial" w:cs="Arial"/>
        </w:rPr>
        <w:t xml:space="preserve"> with modest growth in A&amp;E activity. However in </w:t>
      </w:r>
      <w:r>
        <w:rPr>
          <w:rFonts w:ascii="Arial" w:hAnsi="Arial" w:cs="Arial"/>
        </w:rPr>
        <w:t>FY18,</w:t>
      </w:r>
      <w:r w:rsidRPr="009F763F">
        <w:rPr>
          <w:rFonts w:ascii="Arial" w:hAnsi="Arial" w:cs="Arial"/>
        </w:rPr>
        <w:t xml:space="preserve"> the </w:t>
      </w:r>
      <w:r w:rsidR="006E1B58">
        <w:rPr>
          <w:rFonts w:ascii="Arial" w:hAnsi="Arial" w:cs="Arial"/>
        </w:rPr>
        <w:t>t</w:t>
      </w:r>
      <w:r w:rsidRPr="009F763F">
        <w:rPr>
          <w:rFonts w:ascii="Arial" w:hAnsi="Arial" w:cs="Arial"/>
        </w:rPr>
        <w:t xml:space="preserve">rust </w:t>
      </w:r>
      <w:r>
        <w:rPr>
          <w:rFonts w:ascii="Arial" w:hAnsi="Arial" w:cs="Arial"/>
        </w:rPr>
        <w:t>saw a</w:t>
      </w:r>
      <w:r w:rsidRPr="009F763F">
        <w:rPr>
          <w:rFonts w:ascii="Arial" w:hAnsi="Arial" w:cs="Arial"/>
        </w:rPr>
        <w:t xml:space="preserve"> 5.5% decrease in A&amp;E activity with negligible growth in </w:t>
      </w:r>
      <w:r w:rsidR="006E1B58">
        <w:rPr>
          <w:rFonts w:ascii="Arial" w:hAnsi="Arial" w:cs="Arial"/>
        </w:rPr>
        <w:t>d</w:t>
      </w:r>
      <w:r w:rsidRPr="009F763F">
        <w:rPr>
          <w:rFonts w:ascii="Arial" w:hAnsi="Arial" w:cs="Arial"/>
        </w:rPr>
        <w:t xml:space="preserve">ay cases. A&amp;E activity has recovered significantly in </w:t>
      </w:r>
      <w:r>
        <w:rPr>
          <w:rFonts w:ascii="Arial" w:hAnsi="Arial" w:cs="Arial"/>
        </w:rPr>
        <w:t>FY20</w:t>
      </w:r>
      <w:r w:rsidRPr="009F763F">
        <w:rPr>
          <w:rFonts w:ascii="Arial" w:hAnsi="Arial" w:cs="Arial"/>
        </w:rPr>
        <w:t xml:space="preserve"> with forecasted growth of 6.1%. </w:t>
      </w:r>
    </w:p>
    <w:p w14:paraId="20DBF6DD" w14:textId="04959609" w:rsidR="005E30EF" w:rsidRDefault="005E30EF" w:rsidP="00B72F95">
      <w:pPr>
        <w:rPr>
          <w:rFonts w:ascii="Arial" w:hAnsi="Arial" w:cs="Arial"/>
        </w:rPr>
      </w:pPr>
      <w:r w:rsidRPr="009F763F">
        <w:rPr>
          <w:rFonts w:ascii="Arial" w:hAnsi="Arial" w:cs="Arial"/>
        </w:rPr>
        <w:t xml:space="preserve">In </w:t>
      </w:r>
      <w:r>
        <w:rPr>
          <w:rFonts w:ascii="Arial" w:hAnsi="Arial" w:cs="Arial"/>
        </w:rPr>
        <w:t>FY20</w:t>
      </w:r>
      <w:r w:rsidRPr="009F763F">
        <w:rPr>
          <w:rFonts w:ascii="Arial" w:hAnsi="Arial" w:cs="Arial"/>
        </w:rPr>
        <w:t>, over 818,0</w:t>
      </w:r>
      <w:r>
        <w:rPr>
          <w:rFonts w:ascii="Arial" w:hAnsi="Arial" w:cs="Arial"/>
        </w:rPr>
        <w:t>00 activity units are forecast</w:t>
      </w:r>
      <w:r w:rsidRPr="009F763F">
        <w:rPr>
          <w:rFonts w:ascii="Arial" w:hAnsi="Arial" w:cs="Arial"/>
        </w:rPr>
        <w:t xml:space="preserve"> to be delivered across all NHS sites which is </w:t>
      </w:r>
      <w:r>
        <w:rPr>
          <w:rFonts w:ascii="Arial" w:hAnsi="Arial" w:cs="Arial"/>
        </w:rPr>
        <w:t xml:space="preserve">an </w:t>
      </w:r>
      <w:r w:rsidRPr="009F763F">
        <w:rPr>
          <w:rFonts w:ascii="Arial" w:hAnsi="Arial" w:cs="Arial"/>
        </w:rPr>
        <w:t xml:space="preserve">almost 72,000 (9.6%) increase from </w:t>
      </w:r>
      <w:r>
        <w:rPr>
          <w:rFonts w:ascii="Arial" w:hAnsi="Arial" w:cs="Arial"/>
        </w:rPr>
        <w:t>FY17</w:t>
      </w:r>
      <w:r w:rsidRPr="009F763F">
        <w:rPr>
          <w:rFonts w:ascii="Arial" w:hAnsi="Arial" w:cs="Arial"/>
        </w:rPr>
        <w:t xml:space="preserve">. </w:t>
      </w:r>
      <w:r>
        <w:rPr>
          <w:rFonts w:ascii="Arial" w:hAnsi="Arial" w:cs="Arial"/>
        </w:rPr>
        <w:t>O</w:t>
      </w:r>
      <w:r w:rsidRPr="009F763F">
        <w:rPr>
          <w:rFonts w:ascii="Arial" w:hAnsi="Arial" w:cs="Arial"/>
        </w:rPr>
        <w:t xml:space="preserve">utpatients </w:t>
      </w:r>
      <w:r>
        <w:rPr>
          <w:rFonts w:ascii="Arial" w:hAnsi="Arial" w:cs="Arial"/>
        </w:rPr>
        <w:t>will receive</w:t>
      </w:r>
      <w:r w:rsidRPr="009F763F">
        <w:rPr>
          <w:rFonts w:ascii="Arial" w:hAnsi="Arial" w:cs="Arial"/>
        </w:rPr>
        <w:t xml:space="preserve"> nearly 675,000 attendances (3.6% average annual growth) and </w:t>
      </w:r>
      <w:r>
        <w:rPr>
          <w:rFonts w:ascii="Arial" w:hAnsi="Arial" w:cs="Arial"/>
        </w:rPr>
        <w:t xml:space="preserve">the </w:t>
      </w:r>
      <w:r w:rsidR="006E1B58">
        <w:rPr>
          <w:rFonts w:ascii="Arial" w:hAnsi="Arial" w:cs="Arial"/>
        </w:rPr>
        <w:t>t</w:t>
      </w:r>
      <w:r>
        <w:rPr>
          <w:rFonts w:ascii="Arial" w:hAnsi="Arial" w:cs="Arial"/>
        </w:rPr>
        <w:t>rust will treat</w:t>
      </w:r>
      <w:r w:rsidRPr="009F763F">
        <w:rPr>
          <w:rFonts w:ascii="Arial" w:hAnsi="Arial" w:cs="Arial"/>
        </w:rPr>
        <w:t xml:space="preserve"> over 39,000 </w:t>
      </w:r>
      <w:r w:rsidR="006E1B58">
        <w:rPr>
          <w:rFonts w:ascii="Arial" w:hAnsi="Arial" w:cs="Arial"/>
        </w:rPr>
        <w:t>i</w:t>
      </w:r>
      <w:r w:rsidRPr="009F763F">
        <w:rPr>
          <w:rFonts w:ascii="Arial" w:hAnsi="Arial" w:cs="Arial"/>
        </w:rPr>
        <w:t xml:space="preserve">npatients and </w:t>
      </w:r>
      <w:r w:rsidR="006E1B58">
        <w:rPr>
          <w:rFonts w:ascii="Arial" w:hAnsi="Arial" w:cs="Arial"/>
        </w:rPr>
        <w:t>d</w:t>
      </w:r>
      <w:r>
        <w:rPr>
          <w:rFonts w:ascii="Arial" w:hAnsi="Arial" w:cs="Arial"/>
        </w:rPr>
        <w:t>ay cases (2.1% annual increase)</w:t>
      </w:r>
      <w:r w:rsidRPr="009F763F">
        <w:rPr>
          <w:rFonts w:ascii="Arial" w:hAnsi="Arial" w:cs="Arial"/>
        </w:rPr>
        <w:t xml:space="preserve">. In </w:t>
      </w:r>
      <w:r>
        <w:rPr>
          <w:rFonts w:ascii="Arial" w:hAnsi="Arial" w:cs="Arial"/>
        </w:rPr>
        <w:t xml:space="preserve">the </w:t>
      </w:r>
      <w:r w:rsidRPr="009F763F">
        <w:rPr>
          <w:rFonts w:ascii="Arial" w:hAnsi="Arial" w:cs="Arial"/>
        </w:rPr>
        <w:t xml:space="preserve">A&amp;E department, the </w:t>
      </w:r>
      <w:r w:rsidR="006E1B58">
        <w:rPr>
          <w:rFonts w:ascii="Arial" w:hAnsi="Arial" w:cs="Arial"/>
        </w:rPr>
        <w:t>t</w:t>
      </w:r>
      <w:r w:rsidRPr="009F763F">
        <w:rPr>
          <w:rFonts w:ascii="Arial" w:hAnsi="Arial" w:cs="Arial"/>
        </w:rPr>
        <w:t xml:space="preserve">rust </w:t>
      </w:r>
      <w:r>
        <w:rPr>
          <w:rFonts w:ascii="Arial" w:hAnsi="Arial" w:cs="Arial"/>
        </w:rPr>
        <w:t>will see</w:t>
      </w:r>
      <w:r w:rsidRPr="009F763F">
        <w:rPr>
          <w:rFonts w:ascii="Arial" w:hAnsi="Arial" w:cs="Arial"/>
        </w:rPr>
        <w:t xml:space="preserve"> over 103,000 patients for treatment (3.1% average growth).</w:t>
      </w:r>
    </w:p>
    <w:p w14:paraId="6C0C514B" w14:textId="3C541FE9" w:rsidR="006E1B58" w:rsidRPr="006E1B58" w:rsidRDefault="006E1B58" w:rsidP="006E1B58">
      <w:pPr>
        <w:pStyle w:val="Caption"/>
        <w:rPr>
          <w:b w:val="0"/>
          <w:bCs w:val="0"/>
        </w:rPr>
      </w:pPr>
      <w:bookmarkStart w:id="291" w:name="_Ref30430009"/>
      <w:r>
        <w:lastRenderedPageBreak/>
        <w:t xml:space="preserve">Table </w:t>
      </w:r>
      <w:r>
        <w:fldChar w:fldCharType="begin"/>
      </w:r>
      <w:r>
        <w:instrText xml:space="preserve"> SEQ Table \* ARABIC </w:instrText>
      </w:r>
      <w:r>
        <w:fldChar w:fldCharType="separate"/>
      </w:r>
      <w:r w:rsidR="00A936CD">
        <w:rPr>
          <w:noProof/>
        </w:rPr>
        <w:t>24</w:t>
      </w:r>
      <w:r>
        <w:fldChar w:fldCharType="end"/>
      </w:r>
      <w:bookmarkEnd w:id="291"/>
      <w:r>
        <w:t xml:space="preserve">: </w:t>
      </w:r>
      <w:r w:rsidRPr="006E1B58">
        <w:rPr>
          <w:b w:val="0"/>
          <w:bCs w:val="0"/>
        </w:rPr>
        <w:t>Moorfields’ NHS patient activity FY17 - FY20</w:t>
      </w:r>
    </w:p>
    <w:tbl>
      <w:tblPr>
        <w:tblW w:w="928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1311"/>
        <w:gridCol w:w="1311"/>
        <w:gridCol w:w="1311"/>
        <w:gridCol w:w="1311"/>
        <w:gridCol w:w="1006"/>
      </w:tblGrid>
      <w:tr w:rsidR="0058157E" w:rsidRPr="00CD22C9" w14:paraId="4F24D73C" w14:textId="77777777" w:rsidTr="003F5081">
        <w:trPr>
          <w:trHeight w:val="299"/>
        </w:trPr>
        <w:tc>
          <w:tcPr>
            <w:tcW w:w="3031" w:type="dxa"/>
            <w:vMerge w:val="restart"/>
            <w:shd w:val="clear" w:color="auto" w:fill="4F81BD"/>
            <w:vAlign w:val="center"/>
            <w:hideMark/>
          </w:tcPr>
          <w:p w14:paraId="260BE6B5" w14:textId="77777777" w:rsidR="0058157E" w:rsidRPr="00CD22C9" w:rsidRDefault="0058157E" w:rsidP="003F5081">
            <w:pPr>
              <w:spacing w:after="0" w:line="240" w:lineRule="auto"/>
              <w:rPr>
                <w:rFonts w:ascii="Arial" w:eastAsia="Times New Roman" w:hAnsi="Arial" w:cs="Arial"/>
                <w:b/>
                <w:bCs/>
                <w:i/>
                <w:iCs/>
                <w:color w:val="FFFFFF"/>
                <w:sz w:val="20"/>
                <w:szCs w:val="20"/>
              </w:rPr>
            </w:pPr>
            <w:r w:rsidRPr="00CD22C9">
              <w:rPr>
                <w:rFonts w:ascii="Arial" w:eastAsia="Times New Roman" w:hAnsi="Arial" w:cs="Arial"/>
                <w:b/>
                <w:bCs/>
                <w:i/>
                <w:iCs/>
                <w:color w:val="FFFFFF"/>
                <w:sz w:val="20"/>
                <w:szCs w:val="20"/>
              </w:rPr>
              <w:t>NHS Activity</w:t>
            </w:r>
          </w:p>
        </w:tc>
        <w:tc>
          <w:tcPr>
            <w:tcW w:w="5244" w:type="dxa"/>
            <w:gridSpan w:val="4"/>
            <w:shd w:val="clear" w:color="auto" w:fill="4F81BD"/>
            <w:vAlign w:val="center"/>
            <w:hideMark/>
          </w:tcPr>
          <w:p w14:paraId="319E6C2C" w14:textId="77777777" w:rsidR="0058157E" w:rsidRPr="00CD22C9" w:rsidRDefault="0058157E" w:rsidP="003F5081">
            <w:pPr>
              <w:spacing w:after="0" w:line="240" w:lineRule="auto"/>
              <w:rPr>
                <w:rFonts w:ascii="Arial" w:eastAsia="Times New Roman" w:hAnsi="Arial" w:cs="Arial"/>
                <w:b/>
                <w:bCs/>
                <w:color w:val="FFFFFF"/>
                <w:sz w:val="20"/>
                <w:szCs w:val="20"/>
              </w:rPr>
            </w:pPr>
            <w:r w:rsidRPr="00CD22C9">
              <w:rPr>
                <w:rFonts w:ascii="Arial" w:eastAsia="Times New Roman" w:hAnsi="Arial" w:cs="Arial"/>
                <w:b/>
                <w:bCs/>
                <w:color w:val="FFFFFF"/>
                <w:sz w:val="20"/>
                <w:szCs w:val="20"/>
              </w:rPr>
              <w:t>Activity volumes</w:t>
            </w:r>
          </w:p>
        </w:tc>
        <w:tc>
          <w:tcPr>
            <w:tcW w:w="1006" w:type="dxa"/>
            <w:vMerge w:val="restart"/>
            <w:shd w:val="clear" w:color="auto" w:fill="4F81BD"/>
            <w:vAlign w:val="center"/>
            <w:hideMark/>
          </w:tcPr>
          <w:p w14:paraId="25A8933A" w14:textId="77777777" w:rsidR="0058157E" w:rsidRPr="00CD22C9" w:rsidRDefault="0058157E" w:rsidP="003F5081">
            <w:pPr>
              <w:spacing w:after="0" w:line="240" w:lineRule="auto"/>
              <w:rPr>
                <w:rFonts w:ascii="Arial" w:eastAsia="Times New Roman" w:hAnsi="Arial" w:cs="Arial"/>
                <w:b/>
                <w:bCs/>
                <w:color w:val="FFFFFF"/>
                <w:sz w:val="20"/>
                <w:szCs w:val="20"/>
              </w:rPr>
            </w:pPr>
            <w:r w:rsidRPr="00CD22C9">
              <w:rPr>
                <w:rFonts w:ascii="Arial" w:eastAsia="Times New Roman" w:hAnsi="Arial" w:cs="Arial"/>
                <w:b/>
                <w:bCs/>
                <w:color w:val="FFFFFF"/>
                <w:sz w:val="20"/>
                <w:szCs w:val="20"/>
              </w:rPr>
              <w:t xml:space="preserve">Average </w:t>
            </w:r>
            <w:r w:rsidRPr="0025490F">
              <w:rPr>
                <w:rFonts w:ascii="Arial" w:eastAsia="Times New Roman" w:hAnsi="Arial" w:cs="Arial"/>
                <w:b/>
                <w:bCs/>
                <w:color w:val="FFFFFF"/>
                <w:sz w:val="20"/>
                <w:szCs w:val="20"/>
                <w:shd w:val="clear" w:color="auto" w:fill="4F81BD"/>
              </w:rPr>
              <w:t>growth</w:t>
            </w:r>
            <w:r w:rsidRPr="00CD22C9">
              <w:rPr>
                <w:rFonts w:ascii="Arial" w:eastAsia="Times New Roman" w:hAnsi="Arial" w:cs="Arial"/>
                <w:b/>
                <w:bCs/>
                <w:color w:val="FFFFFF"/>
                <w:sz w:val="20"/>
                <w:szCs w:val="20"/>
              </w:rPr>
              <w:t xml:space="preserve"> %</w:t>
            </w:r>
          </w:p>
        </w:tc>
      </w:tr>
      <w:tr w:rsidR="0058157E" w:rsidRPr="00CD22C9" w14:paraId="109BBDA9" w14:textId="77777777" w:rsidTr="003F5081">
        <w:trPr>
          <w:trHeight w:val="388"/>
        </w:trPr>
        <w:tc>
          <w:tcPr>
            <w:tcW w:w="3031" w:type="dxa"/>
            <w:vMerge/>
            <w:shd w:val="clear" w:color="auto" w:fill="4F81BD"/>
            <w:vAlign w:val="center"/>
            <w:hideMark/>
          </w:tcPr>
          <w:p w14:paraId="5361F75B" w14:textId="77777777" w:rsidR="0058157E" w:rsidRPr="00CD22C9" w:rsidRDefault="0058157E" w:rsidP="003F5081">
            <w:pPr>
              <w:spacing w:after="0" w:line="240" w:lineRule="auto"/>
              <w:rPr>
                <w:rFonts w:ascii="Arial" w:eastAsia="Times New Roman" w:hAnsi="Arial" w:cs="Arial"/>
                <w:b/>
                <w:bCs/>
                <w:i/>
                <w:iCs/>
                <w:color w:val="FFFFFF"/>
                <w:sz w:val="20"/>
                <w:szCs w:val="20"/>
              </w:rPr>
            </w:pPr>
          </w:p>
        </w:tc>
        <w:tc>
          <w:tcPr>
            <w:tcW w:w="1311" w:type="dxa"/>
            <w:shd w:val="clear" w:color="auto" w:fill="4F81BD"/>
            <w:vAlign w:val="center"/>
            <w:hideMark/>
          </w:tcPr>
          <w:p w14:paraId="705B40BD" w14:textId="77777777" w:rsidR="0058157E" w:rsidRPr="00CD22C9" w:rsidRDefault="0058157E" w:rsidP="003F5081">
            <w:pPr>
              <w:spacing w:after="0" w:line="240" w:lineRule="auto"/>
              <w:rPr>
                <w:rFonts w:ascii="Arial" w:eastAsia="Times New Roman" w:hAnsi="Arial" w:cs="Arial"/>
                <w:b/>
                <w:bCs/>
                <w:color w:val="FFFFFF"/>
                <w:sz w:val="20"/>
                <w:szCs w:val="20"/>
              </w:rPr>
            </w:pPr>
            <w:r>
              <w:rPr>
                <w:rFonts w:ascii="Arial" w:eastAsia="Times New Roman" w:hAnsi="Arial" w:cs="Arial"/>
                <w:b/>
                <w:bCs/>
                <w:color w:val="FFFFFF"/>
                <w:sz w:val="20"/>
                <w:szCs w:val="20"/>
              </w:rPr>
              <w:t>FY17</w:t>
            </w:r>
          </w:p>
        </w:tc>
        <w:tc>
          <w:tcPr>
            <w:tcW w:w="1311" w:type="dxa"/>
            <w:shd w:val="clear" w:color="auto" w:fill="4F81BD"/>
            <w:vAlign w:val="center"/>
            <w:hideMark/>
          </w:tcPr>
          <w:p w14:paraId="77CF74F7" w14:textId="77777777" w:rsidR="0058157E" w:rsidRPr="00CD22C9" w:rsidRDefault="0058157E" w:rsidP="003F5081">
            <w:pPr>
              <w:spacing w:after="0" w:line="240" w:lineRule="auto"/>
              <w:rPr>
                <w:rFonts w:ascii="Arial" w:eastAsia="Times New Roman" w:hAnsi="Arial" w:cs="Arial"/>
                <w:b/>
                <w:bCs/>
                <w:color w:val="FFFFFF"/>
                <w:sz w:val="20"/>
                <w:szCs w:val="20"/>
              </w:rPr>
            </w:pPr>
            <w:r>
              <w:rPr>
                <w:rFonts w:ascii="Arial" w:eastAsia="Times New Roman" w:hAnsi="Arial" w:cs="Arial"/>
                <w:b/>
                <w:bCs/>
                <w:color w:val="FFFFFF"/>
                <w:sz w:val="20"/>
                <w:szCs w:val="20"/>
              </w:rPr>
              <w:t>FY18</w:t>
            </w:r>
          </w:p>
        </w:tc>
        <w:tc>
          <w:tcPr>
            <w:tcW w:w="1311" w:type="dxa"/>
            <w:shd w:val="clear" w:color="auto" w:fill="4F81BD"/>
            <w:vAlign w:val="center"/>
            <w:hideMark/>
          </w:tcPr>
          <w:p w14:paraId="6CC70D8E" w14:textId="77777777" w:rsidR="0058157E" w:rsidRPr="00CD22C9" w:rsidRDefault="0058157E" w:rsidP="003F5081">
            <w:pPr>
              <w:spacing w:after="0" w:line="240" w:lineRule="auto"/>
              <w:rPr>
                <w:rFonts w:ascii="Arial" w:eastAsia="Times New Roman" w:hAnsi="Arial" w:cs="Arial"/>
                <w:b/>
                <w:bCs/>
                <w:color w:val="FFFFFF"/>
                <w:sz w:val="20"/>
                <w:szCs w:val="20"/>
              </w:rPr>
            </w:pPr>
            <w:r>
              <w:rPr>
                <w:rFonts w:ascii="Arial" w:eastAsia="Times New Roman" w:hAnsi="Arial" w:cs="Arial"/>
                <w:b/>
                <w:bCs/>
                <w:color w:val="FFFFFF"/>
                <w:sz w:val="20"/>
                <w:szCs w:val="20"/>
              </w:rPr>
              <w:t>FY19</w:t>
            </w:r>
            <w:r w:rsidRPr="00CD22C9">
              <w:rPr>
                <w:rFonts w:ascii="Arial" w:eastAsia="Times New Roman" w:hAnsi="Arial" w:cs="Arial"/>
                <w:b/>
                <w:bCs/>
                <w:color w:val="FFFFFF"/>
                <w:sz w:val="20"/>
                <w:szCs w:val="20"/>
              </w:rPr>
              <w:t xml:space="preserve"> </w:t>
            </w:r>
          </w:p>
        </w:tc>
        <w:tc>
          <w:tcPr>
            <w:tcW w:w="1311" w:type="dxa"/>
            <w:shd w:val="clear" w:color="auto" w:fill="4F81BD"/>
            <w:vAlign w:val="center"/>
            <w:hideMark/>
          </w:tcPr>
          <w:p w14:paraId="2B5FFB18" w14:textId="77777777" w:rsidR="0058157E" w:rsidRPr="00CD22C9" w:rsidRDefault="0058157E" w:rsidP="003F5081">
            <w:pPr>
              <w:spacing w:after="0" w:line="240" w:lineRule="auto"/>
              <w:rPr>
                <w:rFonts w:ascii="Arial" w:eastAsia="Times New Roman" w:hAnsi="Arial" w:cs="Arial"/>
                <w:b/>
                <w:bCs/>
                <w:color w:val="FFFFFF"/>
                <w:sz w:val="20"/>
                <w:szCs w:val="20"/>
              </w:rPr>
            </w:pPr>
            <w:r>
              <w:rPr>
                <w:rFonts w:ascii="Arial" w:eastAsia="Times New Roman" w:hAnsi="Arial" w:cs="Arial"/>
                <w:b/>
                <w:bCs/>
                <w:color w:val="FFFFFF"/>
                <w:sz w:val="20"/>
                <w:szCs w:val="20"/>
              </w:rPr>
              <w:t>FY20</w:t>
            </w:r>
            <w:r w:rsidRPr="00CD22C9">
              <w:rPr>
                <w:rFonts w:ascii="Arial" w:eastAsia="Times New Roman" w:hAnsi="Arial" w:cs="Arial"/>
                <w:b/>
                <w:bCs/>
                <w:color w:val="FFFFFF"/>
                <w:sz w:val="20"/>
                <w:szCs w:val="20"/>
              </w:rPr>
              <w:t xml:space="preserve"> forecast </w:t>
            </w:r>
          </w:p>
        </w:tc>
        <w:tc>
          <w:tcPr>
            <w:tcW w:w="1006" w:type="dxa"/>
            <w:vMerge/>
            <w:shd w:val="clear" w:color="auto" w:fill="4F81BD"/>
            <w:vAlign w:val="center"/>
            <w:hideMark/>
          </w:tcPr>
          <w:p w14:paraId="1C30A0F6" w14:textId="77777777" w:rsidR="0058157E" w:rsidRPr="00CD22C9" w:rsidRDefault="0058157E" w:rsidP="003F5081">
            <w:pPr>
              <w:spacing w:after="0" w:line="240" w:lineRule="auto"/>
              <w:rPr>
                <w:rFonts w:ascii="Arial" w:eastAsia="Times New Roman" w:hAnsi="Arial" w:cs="Arial"/>
                <w:b/>
                <w:bCs/>
                <w:color w:val="FFFFFF"/>
                <w:sz w:val="20"/>
                <w:szCs w:val="20"/>
              </w:rPr>
            </w:pPr>
          </w:p>
        </w:tc>
      </w:tr>
      <w:tr w:rsidR="0058157E" w:rsidRPr="00CD22C9" w14:paraId="69C0D8F9" w14:textId="77777777" w:rsidTr="003F5081">
        <w:trPr>
          <w:trHeight w:val="283"/>
        </w:trPr>
        <w:tc>
          <w:tcPr>
            <w:tcW w:w="3031" w:type="dxa"/>
            <w:shd w:val="clear" w:color="000000" w:fill="FFFFFF"/>
            <w:noWrap/>
            <w:vAlign w:val="center"/>
            <w:hideMark/>
          </w:tcPr>
          <w:p w14:paraId="41C7AA07" w14:textId="77777777" w:rsidR="0058157E" w:rsidRPr="00CD22C9" w:rsidRDefault="0058157E" w:rsidP="003F5081">
            <w:pPr>
              <w:spacing w:after="0" w:line="240" w:lineRule="auto"/>
              <w:rPr>
                <w:rFonts w:ascii="Arial" w:eastAsia="Times New Roman" w:hAnsi="Arial" w:cs="Arial"/>
                <w:color w:val="000000"/>
                <w:sz w:val="18"/>
                <w:szCs w:val="18"/>
              </w:rPr>
            </w:pPr>
            <w:r w:rsidRPr="00CD22C9">
              <w:rPr>
                <w:rFonts w:ascii="Arial" w:eastAsia="Times New Roman" w:hAnsi="Arial" w:cs="Arial"/>
                <w:color w:val="000000"/>
                <w:sz w:val="18"/>
                <w:szCs w:val="18"/>
              </w:rPr>
              <w:t>A&amp;E</w:t>
            </w:r>
          </w:p>
        </w:tc>
        <w:tc>
          <w:tcPr>
            <w:tcW w:w="1311" w:type="dxa"/>
            <w:shd w:val="clear" w:color="000000" w:fill="FFFFFF"/>
            <w:noWrap/>
            <w:vAlign w:val="center"/>
            <w:hideMark/>
          </w:tcPr>
          <w:p w14:paraId="23D299C6" w14:textId="77777777" w:rsidR="0058157E" w:rsidRPr="00CD22C9" w:rsidRDefault="0058157E" w:rsidP="003F5081">
            <w:pPr>
              <w:spacing w:after="0" w:line="240" w:lineRule="auto"/>
              <w:rPr>
                <w:rFonts w:ascii="Arial" w:eastAsia="Times New Roman" w:hAnsi="Arial" w:cs="Arial"/>
                <w:color w:val="000000"/>
                <w:sz w:val="18"/>
                <w:szCs w:val="18"/>
              </w:rPr>
            </w:pPr>
            <w:r w:rsidRPr="00CD22C9">
              <w:rPr>
                <w:rFonts w:ascii="Arial" w:eastAsia="Times New Roman" w:hAnsi="Arial" w:cs="Arial"/>
                <w:color w:val="000000"/>
                <w:sz w:val="18"/>
                <w:szCs w:val="18"/>
              </w:rPr>
              <w:t>102,558</w:t>
            </w:r>
          </w:p>
        </w:tc>
        <w:tc>
          <w:tcPr>
            <w:tcW w:w="1311" w:type="dxa"/>
            <w:shd w:val="clear" w:color="000000" w:fill="FFFFFF"/>
            <w:vAlign w:val="center"/>
            <w:hideMark/>
          </w:tcPr>
          <w:p w14:paraId="6162027D" w14:textId="77777777" w:rsidR="0058157E" w:rsidRPr="00CD22C9" w:rsidRDefault="0058157E" w:rsidP="003F5081">
            <w:pPr>
              <w:spacing w:after="0" w:line="240" w:lineRule="auto"/>
              <w:rPr>
                <w:rFonts w:ascii="Arial" w:eastAsia="Times New Roman" w:hAnsi="Arial" w:cs="Arial"/>
                <w:color w:val="000000"/>
                <w:sz w:val="18"/>
                <w:szCs w:val="18"/>
              </w:rPr>
            </w:pPr>
            <w:r w:rsidRPr="00CD22C9">
              <w:rPr>
                <w:rFonts w:ascii="Arial" w:eastAsia="Times New Roman" w:hAnsi="Arial" w:cs="Arial"/>
                <w:color w:val="000000"/>
                <w:sz w:val="18"/>
                <w:szCs w:val="18"/>
              </w:rPr>
              <w:t>96,947</w:t>
            </w:r>
          </w:p>
        </w:tc>
        <w:tc>
          <w:tcPr>
            <w:tcW w:w="1311" w:type="dxa"/>
            <w:shd w:val="clear" w:color="000000" w:fill="FFFFFF"/>
            <w:vAlign w:val="center"/>
            <w:hideMark/>
          </w:tcPr>
          <w:p w14:paraId="08067325" w14:textId="77777777" w:rsidR="0058157E" w:rsidRPr="00CD22C9" w:rsidRDefault="0058157E" w:rsidP="003F5081">
            <w:pPr>
              <w:spacing w:after="0" w:line="240" w:lineRule="auto"/>
              <w:rPr>
                <w:rFonts w:ascii="Arial" w:eastAsia="Times New Roman" w:hAnsi="Arial" w:cs="Arial"/>
                <w:color w:val="000000"/>
                <w:sz w:val="18"/>
                <w:szCs w:val="18"/>
              </w:rPr>
            </w:pPr>
            <w:r w:rsidRPr="00CD22C9">
              <w:rPr>
                <w:rFonts w:ascii="Arial" w:eastAsia="Times New Roman" w:hAnsi="Arial" w:cs="Arial"/>
                <w:color w:val="000000"/>
                <w:sz w:val="18"/>
                <w:szCs w:val="18"/>
              </w:rPr>
              <w:t>97,210</w:t>
            </w:r>
          </w:p>
        </w:tc>
        <w:tc>
          <w:tcPr>
            <w:tcW w:w="1311" w:type="dxa"/>
            <w:shd w:val="clear" w:color="000000" w:fill="FFFFFF"/>
            <w:vAlign w:val="center"/>
            <w:hideMark/>
          </w:tcPr>
          <w:p w14:paraId="7A7BFDF9" w14:textId="77777777" w:rsidR="0058157E" w:rsidRPr="00CD22C9" w:rsidRDefault="0058157E" w:rsidP="003F5081">
            <w:pPr>
              <w:spacing w:after="0" w:line="240" w:lineRule="auto"/>
              <w:rPr>
                <w:rFonts w:ascii="Arial" w:eastAsia="Times New Roman" w:hAnsi="Arial" w:cs="Arial"/>
                <w:color w:val="000000"/>
                <w:sz w:val="18"/>
                <w:szCs w:val="18"/>
              </w:rPr>
            </w:pPr>
            <w:r w:rsidRPr="00CD22C9">
              <w:rPr>
                <w:rFonts w:ascii="Arial" w:eastAsia="Times New Roman" w:hAnsi="Arial" w:cs="Arial"/>
                <w:color w:val="000000"/>
                <w:sz w:val="18"/>
                <w:szCs w:val="18"/>
              </w:rPr>
              <w:t>103,114</w:t>
            </w:r>
          </w:p>
        </w:tc>
        <w:tc>
          <w:tcPr>
            <w:tcW w:w="1006" w:type="dxa"/>
            <w:shd w:val="clear" w:color="000000" w:fill="FFFFFF"/>
            <w:vAlign w:val="center"/>
            <w:hideMark/>
          </w:tcPr>
          <w:p w14:paraId="01CB27C1" w14:textId="77777777" w:rsidR="0058157E" w:rsidRPr="00CD22C9" w:rsidRDefault="0058157E" w:rsidP="003F5081">
            <w:pPr>
              <w:spacing w:after="0" w:line="240" w:lineRule="auto"/>
              <w:rPr>
                <w:rFonts w:ascii="Arial" w:eastAsia="Times New Roman" w:hAnsi="Arial" w:cs="Arial"/>
                <w:i/>
                <w:iCs/>
                <w:color w:val="000000"/>
                <w:sz w:val="18"/>
                <w:szCs w:val="18"/>
              </w:rPr>
            </w:pPr>
            <w:r w:rsidRPr="00CD22C9">
              <w:rPr>
                <w:rFonts w:ascii="Arial" w:eastAsia="Times New Roman" w:hAnsi="Arial" w:cs="Arial"/>
                <w:i/>
                <w:iCs/>
                <w:color w:val="000000"/>
                <w:sz w:val="18"/>
                <w:szCs w:val="18"/>
              </w:rPr>
              <w:t>3.1%</w:t>
            </w:r>
          </w:p>
        </w:tc>
      </w:tr>
      <w:tr w:rsidR="0058157E" w:rsidRPr="00CD22C9" w14:paraId="5C9A4EBD" w14:textId="77777777" w:rsidTr="003F5081">
        <w:trPr>
          <w:trHeight w:val="283"/>
        </w:trPr>
        <w:tc>
          <w:tcPr>
            <w:tcW w:w="3031" w:type="dxa"/>
            <w:shd w:val="clear" w:color="000000" w:fill="FFFFFF"/>
            <w:noWrap/>
            <w:vAlign w:val="center"/>
            <w:hideMark/>
          </w:tcPr>
          <w:p w14:paraId="2650BBB3" w14:textId="77777777" w:rsidR="0058157E" w:rsidRPr="00CD22C9" w:rsidRDefault="0058157E" w:rsidP="003F5081">
            <w:pPr>
              <w:spacing w:after="0" w:line="240" w:lineRule="auto"/>
              <w:rPr>
                <w:rFonts w:ascii="Arial" w:eastAsia="Times New Roman" w:hAnsi="Arial" w:cs="Arial"/>
                <w:color w:val="000000"/>
                <w:sz w:val="18"/>
                <w:szCs w:val="18"/>
              </w:rPr>
            </w:pPr>
            <w:r w:rsidRPr="00CD22C9">
              <w:rPr>
                <w:rFonts w:ascii="Arial" w:eastAsia="Times New Roman" w:hAnsi="Arial" w:cs="Arial"/>
                <w:color w:val="000000"/>
                <w:sz w:val="18"/>
                <w:szCs w:val="18"/>
              </w:rPr>
              <w:t>Inpatient day case</w:t>
            </w:r>
          </w:p>
        </w:tc>
        <w:tc>
          <w:tcPr>
            <w:tcW w:w="1311" w:type="dxa"/>
            <w:shd w:val="clear" w:color="000000" w:fill="FFFFFF"/>
            <w:noWrap/>
            <w:vAlign w:val="center"/>
            <w:hideMark/>
          </w:tcPr>
          <w:p w14:paraId="023D9A72" w14:textId="77777777" w:rsidR="0058157E" w:rsidRPr="00CD22C9" w:rsidRDefault="0058157E" w:rsidP="003F5081">
            <w:pPr>
              <w:spacing w:after="0" w:line="240" w:lineRule="auto"/>
              <w:rPr>
                <w:rFonts w:ascii="Arial" w:eastAsia="Times New Roman" w:hAnsi="Arial" w:cs="Arial"/>
                <w:color w:val="000000"/>
                <w:sz w:val="18"/>
                <w:szCs w:val="18"/>
              </w:rPr>
            </w:pPr>
            <w:r w:rsidRPr="00CD22C9">
              <w:rPr>
                <w:rFonts w:ascii="Arial" w:eastAsia="Times New Roman" w:hAnsi="Arial" w:cs="Arial"/>
                <w:color w:val="000000"/>
                <w:sz w:val="18"/>
                <w:szCs w:val="18"/>
              </w:rPr>
              <w:t>33,370</w:t>
            </w:r>
          </w:p>
        </w:tc>
        <w:tc>
          <w:tcPr>
            <w:tcW w:w="1311" w:type="dxa"/>
            <w:shd w:val="clear" w:color="000000" w:fill="FFFFFF"/>
            <w:noWrap/>
            <w:vAlign w:val="center"/>
            <w:hideMark/>
          </w:tcPr>
          <w:p w14:paraId="105AC7C8" w14:textId="77777777" w:rsidR="0058157E" w:rsidRPr="00CD22C9" w:rsidRDefault="0058157E" w:rsidP="003F5081">
            <w:pPr>
              <w:spacing w:after="0" w:line="240" w:lineRule="auto"/>
              <w:rPr>
                <w:rFonts w:ascii="Arial" w:eastAsia="Times New Roman" w:hAnsi="Arial" w:cs="Arial"/>
                <w:color w:val="000000"/>
                <w:sz w:val="18"/>
                <w:szCs w:val="18"/>
              </w:rPr>
            </w:pPr>
            <w:r w:rsidRPr="00CD22C9">
              <w:rPr>
                <w:rFonts w:ascii="Arial" w:eastAsia="Times New Roman" w:hAnsi="Arial" w:cs="Arial"/>
                <w:color w:val="000000"/>
                <w:sz w:val="18"/>
                <w:szCs w:val="18"/>
              </w:rPr>
              <w:t>33,404</w:t>
            </w:r>
          </w:p>
        </w:tc>
        <w:tc>
          <w:tcPr>
            <w:tcW w:w="1311" w:type="dxa"/>
            <w:shd w:val="clear" w:color="000000" w:fill="FFFFFF"/>
            <w:vAlign w:val="center"/>
            <w:hideMark/>
          </w:tcPr>
          <w:p w14:paraId="05AEF843" w14:textId="77777777" w:rsidR="0058157E" w:rsidRPr="00CD22C9" w:rsidRDefault="0058157E" w:rsidP="003F5081">
            <w:pPr>
              <w:spacing w:after="0" w:line="240" w:lineRule="auto"/>
              <w:rPr>
                <w:rFonts w:ascii="Arial" w:eastAsia="Times New Roman" w:hAnsi="Arial" w:cs="Arial"/>
                <w:color w:val="000000"/>
                <w:sz w:val="18"/>
                <w:szCs w:val="18"/>
              </w:rPr>
            </w:pPr>
            <w:r w:rsidRPr="00CD22C9">
              <w:rPr>
                <w:rFonts w:ascii="Arial" w:eastAsia="Times New Roman" w:hAnsi="Arial" w:cs="Arial"/>
                <w:color w:val="000000"/>
                <w:sz w:val="18"/>
                <w:szCs w:val="18"/>
              </w:rPr>
              <w:t>34,908</w:t>
            </w:r>
          </w:p>
        </w:tc>
        <w:tc>
          <w:tcPr>
            <w:tcW w:w="1311" w:type="dxa"/>
            <w:shd w:val="clear" w:color="000000" w:fill="FFFFFF"/>
            <w:vAlign w:val="center"/>
            <w:hideMark/>
          </w:tcPr>
          <w:p w14:paraId="2476DA17" w14:textId="77777777" w:rsidR="0058157E" w:rsidRPr="00CD22C9" w:rsidRDefault="0058157E" w:rsidP="003F5081">
            <w:pPr>
              <w:spacing w:after="0" w:line="240" w:lineRule="auto"/>
              <w:rPr>
                <w:rFonts w:ascii="Arial" w:eastAsia="Times New Roman" w:hAnsi="Arial" w:cs="Arial"/>
                <w:color w:val="000000"/>
                <w:sz w:val="18"/>
                <w:szCs w:val="18"/>
              </w:rPr>
            </w:pPr>
            <w:r w:rsidRPr="00CD22C9">
              <w:rPr>
                <w:rFonts w:ascii="Arial" w:eastAsia="Times New Roman" w:hAnsi="Arial" w:cs="Arial"/>
                <w:color w:val="000000"/>
                <w:sz w:val="18"/>
                <w:szCs w:val="18"/>
              </w:rPr>
              <w:t>35,513</w:t>
            </w:r>
          </w:p>
        </w:tc>
        <w:tc>
          <w:tcPr>
            <w:tcW w:w="1006" w:type="dxa"/>
            <w:shd w:val="clear" w:color="000000" w:fill="FFFFFF"/>
            <w:vAlign w:val="center"/>
            <w:hideMark/>
          </w:tcPr>
          <w:p w14:paraId="7E995D39" w14:textId="77777777" w:rsidR="0058157E" w:rsidRPr="00CD22C9" w:rsidRDefault="0058157E" w:rsidP="003F5081">
            <w:pPr>
              <w:spacing w:after="0" w:line="240" w:lineRule="auto"/>
              <w:rPr>
                <w:rFonts w:ascii="Arial" w:eastAsia="Times New Roman" w:hAnsi="Arial" w:cs="Arial"/>
                <w:i/>
                <w:iCs/>
                <w:color w:val="000000"/>
                <w:sz w:val="18"/>
                <w:szCs w:val="18"/>
              </w:rPr>
            </w:pPr>
            <w:r w:rsidRPr="00CD22C9">
              <w:rPr>
                <w:rFonts w:ascii="Arial" w:eastAsia="Times New Roman" w:hAnsi="Arial" w:cs="Arial"/>
                <w:i/>
                <w:iCs/>
                <w:color w:val="000000"/>
                <w:sz w:val="18"/>
                <w:szCs w:val="18"/>
              </w:rPr>
              <w:t>2.1%</w:t>
            </w:r>
          </w:p>
        </w:tc>
      </w:tr>
      <w:tr w:rsidR="0058157E" w:rsidRPr="00CD22C9" w14:paraId="12EDDB23" w14:textId="77777777" w:rsidTr="003F5081">
        <w:trPr>
          <w:trHeight w:val="283"/>
        </w:trPr>
        <w:tc>
          <w:tcPr>
            <w:tcW w:w="3031" w:type="dxa"/>
            <w:shd w:val="clear" w:color="000000" w:fill="FFFFFF"/>
            <w:noWrap/>
            <w:vAlign w:val="center"/>
            <w:hideMark/>
          </w:tcPr>
          <w:p w14:paraId="26CB8C64" w14:textId="77777777" w:rsidR="0058157E" w:rsidRPr="00CD22C9" w:rsidRDefault="0058157E" w:rsidP="003F5081">
            <w:pPr>
              <w:spacing w:after="0" w:line="240" w:lineRule="auto"/>
              <w:rPr>
                <w:rFonts w:ascii="Arial" w:eastAsia="Times New Roman" w:hAnsi="Arial" w:cs="Arial"/>
                <w:color w:val="000000"/>
                <w:sz w:val="18"/>
                <w:szCs w:val="18"/>
              </w:rPr>
            </w:pPr>
            <w:r w:rsidRPr="00CD22C9">
              <w:rPr>
                <w:rFonts w:ascii="Arial" w:eastAsia="Times New Roman" w:hAnsi="Arial" w:cs="Arial"/>
                <w:color w:val="000000"/>
                <w:sz w:val="18"/>
                <w:szCs w:val="18"/>
              </w:rPr>
              <w:t>Inpatient elective (planned)</w:t>
            </w:r>
          </w:p>
        </w:tc>
        <w:tc>
          <w:tcPr>
            <w:tcW w:w="1311" w:type="dxa"/>
            <w:shd w:val="clear" w:color="000000" w:fill="FFFFFF"/>
            <w:noWrap/>
            <w:vAlign w:val="center"/>
            <w:hideMark/>
          </w:tcPr>
          <w:p w14:paraId="69D5A919" w14:textId="77777777" w:rsidR="0058157E" w:rsidRPr="00CD22C9" w:rsidRDefault="0058157E" w:rsidP="003F5081">
            <w:pPr>
              <w:spacing w:after="0" w:line="240" w:lineRule="auto"/>
              <w:rPr>
                <w:rFonts w:ascii="Arial" w:eastAsia="Times New Roman" w:hAnsi="Arial" w:cs="Arial"/>
                <w:color w:val="000000"/>
                <w:sz w:val="18"/>
                <w:szCs w:val="18"/>
              </w:rPr>
            </w:pPr>
            <w:r w:rsidRPr="00CD22C9">
              <w:rPr>
                <w:rFonts w:ascii="Arial" w:eastAsia="Times New Roman" w:hAnsi="Arial" w:cs="Arial"/>
                <w:color w:val="000000"/>
                <w:sz w:val="18"/>
                <w:szCs w:val="18"/>
              </w:rPr>
              <w:t>1,112</w:t>
            </w:r>
          </w:p>
        </w:tc>
        <w:tc>
          <w:tcPr>
            <w:tcW w:w="1311" w:type="dxa"/>
            <w:shd w:val="clear" w:color="000000" w:fill="FFFFFF"/>
            <w:noWrap/>
            <w:vAlign w:val="center"/>
            <w:hideMark/>
          </w:tcPr>
          <w:p w14:paraId="44C51CF1" w14:textId="77777777" w:rsidR="0058157E" w:rsidRPr="00CD22C9" w:rsidRDefault="0058157E" w:rsidP="003F5081">
            <w:pPr>
              <w:spacing w:after="0" w:line="240" w:lineRule="auto"/>
              <w:rPr>
                <w:rFonts w:ascii="Arial" w:eastAsia="Times New Roman" w:hAnsi="Arial" w:cs="Arial"/>
                <w:color w:val="000000"/>
                <w:sz w:val="18"/>
                <w:szCs w:val="18"/>
              </w:rPr>
            </w:pPr>
            <w:r w:rsidRPr="00CD22C9">
              <w:rPr>
                <w:rFonts w:ascii="Arial" w:eastAsia="Times New Roman" w:hAnsi="Arial" w:cs="Arial"/>
                <w:color w:val="000000"/>
                <w:sz w:val="18"/>
                <w:szCs w:val="18"/>
              </w:rPr>
              <w:t>1,054</w:t>
            </w:r>
          </w:p>
        </w:tc>
        <w:tc>
          <w:tcPr>
            <w:tcW w:w="1311" w:type="dxa"/>
            <w:shd w:val="clear" w:color="000000" w:fill="FFFFFF"/>
            <w:vAlign w:val="center"/>
            <w:hideMark/>
          </w:tcPr>
          <w:p w14:paraId="58F422DD" w14:textId="77777777" w:rsidR="0058157E" w:rsidRPr="00CD22C9" w:rsidRDefault="0058157E" w:rsidP="003F5081">
            <w:pPr>
              <w:spacing w:after="0" w:line="240" w:lineRule="auto"/>
              <w:rPr>
                <w:rFonts w:ascii="Arial" w:eastAsia="Times New Roman" w:hAnsi="Arial" w:cs="Arial"/>
                <w:color w:val="000000"/>
                <w:sz w:val="18"/>
                <w:szCs w:val="18"/>
              </w:rPr>
            </w:pPr>
            <w:r w:rsidRPr="00CD22C9">
              <w:rPr>
                <w:rFonts w:ascii="Arial" w:eastAsia="Times New Roman" w:hAnsi="Arial" w:cs="Arial"/>
                <w:color w:val="000000"/>
                <w:sz w:val="18"/>
                <w:szCs w:val="18"/>
              </w:rPr>
              <w:t>1,131</w:t>
            </w:r>
          </w:p>
        </w:tc>
        <w:tc>
          <w:tcPr>
            <w:tcW w:w="1311" w:type="dxa"/>
            <w:shd w:val="clear" w:color="000000" w:fill="FFFFFF"/>
            <w:vAlign w:val="center"/>
            <w:hideMark/>
          </w:tcPr>
          <w:p w14:paraId="28EA65E8" w14:textId="77777777" w:rsidR="0058157E" w:rsidRPr="00CD22C9" w:rsidRDefault="0058157E" w:rsidP="003F5081">
            <w:pPr>
              <w:spacing w:after="0" w:line="240" w:lineRule="auto"/>
              <w:rPr>
                <w:rFonts w:ascii="Arial" w:eastAsia="Times New Roman" w:hAnsi="Arial" w:cs="Arial"/>
                <w:color w:val="000000"/>
                <w:sz w:val="18"/>
                <w:szCs w:val="18"/>
              </w:rPr>
            </w:pPr>
            <w:r w:rsidRPr="00CD22C9">
              <w:rPr>
                <w:rFonts w:ascii="Arial" w:eastAsia="Times New Roman" w:hAnsi="Arial" w:cs="Arial"/>
                <w:color w:val="000000"/>
                <w:sz w:val="18"/>
                <w:szCs w:val="18"/>
              </w:rPr>
              <w:t>1,226</w:t>
            </w:r>
          </w:p>
        </w:tc>
        <w:tc>
          <w:tcPr>
            <w:tcW w:w="1006" w:type="dxa"/>
            <w:shd w:val="clear" w:color="000000" w:fill="FFFFFF"/>
            <w:vAlign w:val="center"/>
            <w:hideMark/>
          </w:tcPr>
          <w:p w14:paraId="43544528" w14:textId="77777777" w:rsidR="0058157E" w:rsidRPr="00CD22C9" w:rsidRDefault="0058157E" w:rsidP="003F5081">
            <w:pPr>
              <w:spacing w:after="0" w:line="240" w:lineRule="auto"/>
              <w:rPr>
                <w:rFonts w:ascii="Arial" w:eastAsia="Times New Roman" w:hAnsi="Arial" w:cs="Arial"/>
                <w:i/>
                <w:iCs/>
                <w:color w:val="000000"/>
                <w:sz w:val="18"/>
                <w:szCs w:val="18"/>
              </w:rPr>
            </w:pPr>
            <w:r w:rsidRPr="00CD22C9">
              <w:rPr>
                <w:rFonts w:ascii="Arial" w:eastAsia="Times New Roman" w:hAnsi="Arial" w:cs="Arial"/>
                <w:i/>
                <w:iCs/>
                <w:color w:val="000000"/>
                <w:sz w:val="18"/>
                <w:szCs w:val="18"/>
              </w:rPr>
              <w:t>3.3%</w:t>
            </w:r>
          </w:p>
        </w:tc>
      </w:tr>
      <w:tr w:rsidR="0058157E" w:rsidRPr="00CD22C9" w14:paraId="7835561A" w14:textId="77777777" w:rsidTr="003F5081">
        <w:trPr>
          <w:trHeight w:val="283"/>
        </w:trPr>
        <w:tc>
          <w:tcPr>
            <w:tcW w:w="3031" w:type="dxa"/>
            <w:shd w:val="clear" w:color="000000" w:fill="FFFFFF"/>
            <w:noWrap/>
            <w:vAlign w:val="center"/>
            <w:hideMark/>
          </w:tcPr>
          <w:p w14:paraId="49FC8BC1" w14:textId="77777777" w:rsidR="0058157E" w:rsidRPr="00CD22C9" w:rsidRDefault="0058157E" w:rsidP="003F5081">
            <w:pPr>
              <w:spacing w:after="0" w:line="240" w:lineRule="auto"/>
              <w:rPr>
                <w:rFonts w:ascii="Arial" w:eastAsia="Times New Roman" w:hAnsi="Arial" w:cs="Arial"/>
                <w:color w:val="000000"/>
                <w:sz w:val="18"/>
                <w:szCs w:val="18"/>
              </w:rPr>
            </w:pPr>
            <w:r w:rsidRPr="00CD22C9">
              <w:rPr>
                <w:rFonts w:ascii="Arial" w:eastAsia="Times New Roman" w:hAnsi="Arial" w:cs="Arial"/>
                <w:color w:val="000000"/>
                <w:sz w:val="18"/>
                <w:szCs w:val="18"/>
              </w:rPr>
              <w:t>Inpatient non-elective (unplanned)</w:t>
            </w:r>
          </w:p>
        </w:tc>
        <w:tc>
          <w:tcPr>
            <w:tcW w:w="1311" w:type="dxa"/>
            <w:shd w:val="clear" w:color="000000" w:fill="FFFFFF"/>
            <w:noWrap/>
            <w:vAlign w:val="center"/>
            <w:hideMark/>
          </w:tcPr>
          <w:p w14:paraId="788A543C" w14:textId="77777777" w:rsidR="0058157E" w:rsidRPr="00CD22C9" w:rsidRDefault="0058157E" w:rsidP="003F5081">
            <w:pPr>
              <w:spacing w:after="0" w:line="240" w:lineRule="auto"/>
              <w:rPr>
                <w:rFonts w:ascii="Arial" w:eastAsia="Times New Roman" w:hAnsi="Arial" w:cs="Arial"/>
                <w:color w:val="000000"/>
                <w:sz w:val="18"/>
                <w:szCs w:val="18"/>
              </w:rPr>
            </w:pPr>
            <w:r w:rsidRPr="00CD22C9">
              <w:rPr>
                <w:rFonts w:ascii="Arial" w:eastAsia="Times New Roman" w:hAnsi="Arial" w:cs="Arial"/>
                <w:color w:val="000000"/>
                <w:sz w:val="18"/>
                <w:szCs w:val="18"/>
              </w:rPr>
              <w:t>2,705</w:t>
            </w:r>
          </w:p>
        </w:tc>
        <w:tc>
          <w:tcPr>
            <w:tcW w:w="1311" w:type="dxa"/>
            <w:shd w:val="clear" w:color="000000" w:fill="FFFFFF"/>
            <w:noWrap/>
            <w:vAlign w:val="center"/>
            <w:hideMark/>
          </w:tcPr>
          <w:p w14:paraId="6DCE7BED" w14:textId="77777777" w:rsidR="0058157E" w:rsidRPr="00CD22C9" w:rsidRDefault="0058157E" w:rsidP="003F5081">
            <w:pPr>
              <w:spacing w:after="0" w:line="240" w:lineRule="auto"/>
              <w:rPr>
                <w:rFonts w:ascii="Arial" w:eastAsia="Times New Roman" w:hAnsi="Arial" w:cs="Arial"/>
                <w:color w:val="000000"/>
                <w:sz w:val="18"/>
                <w:szCs w:val="18"/>
              </w:rPr>
            </w:pPr>
            <w:r w:rsidRPr="00CD22C9">
              <w:rPr>
                <w:rFonts w:ascii="Arial" w:eastAsia="Times New Roman" w:hAnsi="Arial" w:cs="Arial"/>
                <w:color w:val="000000"/>
                <w:sz w:val="18"/>
                <w:szCs w:val="18"/>
              </w:rPr>
              <w:t>2,757</w:t>
            </w:r>
          </w:p>
        </w:tc>
        <w:tc>
          <w:tcPr>
            <w:tcW w:w="1311" w:type="dxa"/>
            <w:shd w:val="clear" w:color="000000" w:fill="FFFFFF"/>
            <w:vAlign w:val="center"/>
            <w:hideMark/>
          </w:tcPr>
          <w:p w14:paraId="2575364D" w14:textId="77777777" w:rsidR="0058157E" w:rsidRPr="00CD22C9" w:rsidRDefault="0058157E" w:rsidP="003F5081">
            <w:pPr>
              <w:spacing w:after="0" w:line="240" w:lineRule="auto"/>
              <w:rPr>
                <w:rFonts w:ascii="Arial" w:eastAsia="Times New Roman" w:hAnsi="Arial" w:cs="Arial"/>
                <w:color w:val="000000"/>
                <w:sz w:val="18"/>
                <w:szCs w:val="18"/>
              </w:rPr>
            </w:pPr>
            <w:r w:rsidRPr="00CD22C9">
              <w:rPr>
                <w:rFonts w:ascii="Arial" w:eastAsia="Times New Roman" w:hAnsi="Arial" w:cs="Arial"/>
                <w:color w:val="000000"/>
                <w:sz w:val="18"/>
                <w:szCs w:val="18"/>
              </w:rPr>
              <w:t>2,628</w:t>
            </w:r>
          </w:p>
        </w:tc>
        <w:tc>
          <w:tcPr>
            <w:tcW w:w="1311" w:type="dxa"/>
            <w:shd w:val="clear" w:color="000000" w:fill="FFFFFF"/>
            <w:vAlign w:val="center"/>
            <w:hideMark/>
          </w:tcPr>
          <w:p w14:paraId="1CB0DD8D" w14:textId="77777777" w:rsidR="0058157E" w:rsidRPr="00CD22C9" w:rsidRDefault="0058157E" w:rsidP="003F5081">
            <w:pPr>
              <w:spacing w:after="0" w:line="240" w:lineRule="auto"/>
              <w:rPr>
                <w:rFonts w:ascii="Arial" w:eastAsia="Times New Roman" w:hAnsi="Arial" w:cs="Arial"/>
                <w:color w:val="000000"/>
                <w:sz w:val="18"/>
                <w:szCs w:val="18"/>
              </w:rPr>
            </w:pPr>
            <w:r w:rsidRPr="00CD22C9">
              <w:rPr>
                <w:rFonts w:ascii="Arial" w:eastAsia="Times New Roman" w:hAnsi="Arial" w:cs="Arial"/>
                <w:color w:val="000000"/>
                <w:sz w:val="18"/>
                <w:szCs w:val="18"/>
              </w:rPr>
              <w:t>2,867</w:t>
            </w:r>
          </w:p>
        </w:tc>
        <w:tc>
          <w:tcPr>
            <w:tcW w:w="1006" w:type="dxa"/>
            <w:shd w:val="clear" w:color="000000" w:fill="FFFFFF"/>
            <w:vAlign w:val="center"/>
            <w:hideMark/>
          </w:tcPr>
          <w:p w14:paraId="483018D4" w14:textId="77777777" w:rsidR="0058157E" w:rsidRPr="00CD22C9" w:rsidRDefault="0058157E" w:rsidP="003F5081">
            <w:pPr>
              <w:spacing w:after="0" w:line="240" w:lineRule="auto"/>
              <w:rPr>
                <w:rFonts w:ascii="Arial" w:eastAsia="Times New Roman" w:hAnsi="Arial" w:cs="Arial"/>
                <w:i/>
                <w:iCs/>
                <w:color w:val="000000"/>
                <w:sz w:val="18"/>
                <w:szCs w:val="18"/>
              </w:rPr>
            </w:pPr>
            <w:r w:rsidRPr="00CD22C9">
              <w:rPr>
                <w:rFonts w:ascii="Arial" w:eastAsia="Times New Roman" w:hAnsi="Arial" w:cs="Arial"/>
                <w:i/>
                <w:iCs/>
                <w:color w:val="000000"/>
                <w:sz w:val="18"/>
                <w:szCs w:val="18"/>
              </w:rPr>
              <w:t>2.0%</w:t>
            </w:r>
          </w:p>
        </w:tc>
      </w:tr>
      <w:tr w:rsidR="0058157E" w:rsidRPr="00CD22C9" w14:paraId="3E012124" w14:textId="77777777" w:rsidTr="003F5081">
        <w:trPr>
          <w:trHeight w:val="283"/>
        </w:trPr>
        <w:tc>
          <w:tcPr>
            <w:tcW w:w="3031" w:type="dxa"/>
            <w:shd w:val="clear" w:color="000000" w:fill="FFFFFF"/>
            <w:noWrap/>
            <w:vAlign w:val="center"/>
            <w:hideMark/>
          </w:tcPr>
          <w:p w14:paraId="31352286" w14:textId="77777777" w:rsidR="0058157E" w:rsidRPr="00CD22C9" w:rsidRDefault="0058157E" w:rsidP="003F5081">
            <w:pPr>
              <w:spacing w:after="0" w:line="240" w:lineRule="auto"/>
              <w:rPr>
                <w:rFonts w:ascii="Arial" w:eastAsia="Times New Roman" w:hAnsi="Arial" w:cs="Arial"/>
                <w:color w:val="000000"/>
                <w:sz w:val="18"/>
                <w:szCs w:val="18"/>
              </w:rPr>
            </w:pPr>
            <w:r w:rsidRPr="00CD22C9">
              <w:rPr>
                <w:rFonts w:ascii="Arial" w:eastAsia="Times New Roman" w:hAnsi="Arial" w:cs="Arial"/>
                <w:color w:val="000000"/>
                <w:sz w:val="18"/>
                <w:szCs w:val="18"/>
              </w:rPr>
              <w:t>Outpatient</w:t>
            </w:r>
          </w:p>
        </w:tc>
        <w:tc>
          <w:tcPr>
            <w:tcW w:w="1311" w:type="dxa"/>
            <w:shd w:val="clear" w:color="000000" w:fill="FFFFFF"/>
            <w:noWrap/>
            <w:vAlign w:val="center"/>
            <w:hideMark/>
          </w:tcPr>
          <w:p w14:paraId="5E7A4AEA" w14:textId="77777777" w:rsidR="0058157E" w:rsidRPr="00CD22C9" w:rsidRDefault="0058157E" w:rsidP="003F5081">
            <w:pPr>
              <w:spacing w:after="0" w:line="240" w:lineRule="auto"/>
              <w:rPr>
                <w:rFonts w:ascii="Arial" w:eastAsia="Times New Roman" w:hAnsi="Arial" w:cs="Arial"/>
                <w:color w:val="000000"/>
                <w:sz w:val="18"/>
                <w:szCs w:val="18"/>
              </w:rPr>
            </w:pPr>
            <w:r w:rsidRPr="00CD22C9">
              <w:rPr>
                <w:rFonts w:ascii="Arial" w:eastAsia="Times New Roman" w:hAnsi="Arial" w:cs="Arial"/>
                <w:color w:val="000000"/>
                <w:sz w:val="18"/>
                <w:szCs w:val="18"/>
              </w:rPr>
              <w:t>606,955</w:t>
            </w:r>
          </w:p>
        </w:tc>
        <w:tc>
          <w:tcPr>
            <w:tcW w:w="1311" w:type="dxa"/>
            <w:shd w:val="clear" w:color="000000" w:fill="FFFFFF"/>
            <w:noWrap/>
            <w:vAlign w:val="center"/>
            <w:hideMark/>
          </w:tcPr>
          <w:p w14:paraId="1498E3DA" w14:textId="77777777" w:rsidR="0058157E" w:rsidRPr="00CD22C9" w:rsidRDefault="0058157E" w:rsidP="003F5081">
            <w:pPr>
              <w:spacing w:after="0" w:line="240" w:lineRule="auto"/>
              <w:rPr>
                <w:rFonts w:ascii="Arial" w:eastAsia="Times New Roman" w:hAnsi="Arial" w:cs="Arial"/>
                <w:color w:val="000000"/>
                <w:sz w:val="18"/>
                <w:szCs w:val="18"/>
              </w:rPr>
            </w:pPr>
            <w:r w:rsidRPr="00CD22C9">
              <w:rPr>
                <w:rFonts w:ascii="Arial" w:eastAsia="Times New Roman" w:hAnsi="Arial" w:cs="Arial"/>
                <w:color w:val="000000"/>
                <w:sz w:val="18"/>
                <w:szCs w:val="18"/>
              </w:rPr>
              <w:t>621,419</w:t>
            </w:r>
          </w:p>
        </w:tc>
        <w:tc>
          <w:tcPr>
            <w:tcW w:w="1311" w:type="dxa"/>
            <w:shd w:val="clear" w:color="000000" w:fill="FFFFFF"/>
            <w:vAlign w:val="center"/>
            <w:hideMark/>
          </w:tcPr>
          <w:p w14:paraId="4869EACD" w14:textId="77777777" w:rsidR="0058157E" w:rsidRPr="00CD22C9" w:rsidRDefault="0058157E" w:rsidP="003F5081">
            <w:pPr>
              <w:spacing w:after="0" w:line="240" w:lineRule="auto"/>
              <w:rPr>
                <w:rFonts w:ascii="Arial" w:eastAsia="Times New Roman" w:hAnsi="Arial" w:cs="Arial"/>
                <w:color w:val="000000"/>
                <w:sz w:val="18"/>
                <w:szCs w:val="18"/>
              </w:rPr>
            </w:pPr>
            <w:r w:rsidRPr="00CD22C9">
              <w:rPr>
                <w:rFonts w:ascii="Arial" w:eastAsia="Times New Roman" w:hAnsi="Arial" w:cs="Arial"/>
                <w:color w:val="000000"/>
                <w:sz w:val="18"/>
                <w:szCs w:val="18"/>
              </w:rPr>
              <w:t>658,647</w:t>
            </w:r>
          </w:p>
        </w:tc>
        <w:tc>
          <w:tcPr>
            <w:tcW w:w="1311" w:type="dxa"/>
            <w:shd w:val="clear" w:color="000000" w:fill="FFFFFF"/>
            <w:vAlign w:val="center"/>
            <w:hideMark/>
          </w:tcPr>
          <w:p w14:paraId="226194B0" w14:textId="77777777" w:rsidR="0058157E" w:rsidRPr="00CD22C9" w:rsidRDefault="0058157E" w:rsidP="003F5081">
            <w:pPr>
              <w:spacing w:after="0" w:line="240" w:lineRule="auto"/>
              <w:rPr>
                <w:rFonts w:ascii="Arial" w:eastAsia="Times New Roman" w:hAnsi="Arial" w:cs="Arial"/>
                <w:color w:val="000000"/>
                <w:sz w:val="18"/>
                <w:szCs w:val="18"/>
              </w:rPr>
            </w:pPr>
            <w:r w:rsidRPr="00CD22C9">
              <w:rPr>
                <w:rFonts w:ascii="Arial" w:eastAsia="Times New Roman" w:hAnsi="Arial" w:cs="Arial"/>
                <w:color w:val="000000"/>
                <w:sz w:val="18"/>
                <w:szCs w:val="18"/>
              </w:rPr>
              <w:t>675,675</w:t>
            </w:r>
          </w:p>
        </w:tc>
        <w:tc>
          <w:tcPr>
            <w:tcW w:w="1006" w:type="dxa"/>
            <w:shd w:val="clear" w:color="000000" w:fill="FFFFFF"/>
            <w:vAlign w:val="center"/>
            <w:hideMark/>
          </w:tcPr>
          <w:p w14:paraId="1491F217" w14:textId="77777777" w:rsidR="0058157E" w:rsidRPr="00CD22C9" w:rsidRDefault="0058157E" w:rsidP="003F5081">
            <w:pPr>
              <w:spacing w:after="0" w:line="240" w:lineRule="auto"/>
              <w:rPr>
                <w:rFonts w:ascii="Arial" w:eastAsia="Times New Roman" w:hAnsi="Arial" w:cs="Arial"/>
                <w:i/>
                <w:iCs/>
                <w:color w:val="000000"/>
                <w:sz w:val="18"/>
                <w:szCs w:val="18"/>
              </w:rPr>
            </w:pPr>
            <w:r w:rsidRPr="00CD22C9">
              <w:rPr>
                <w:rFonts w:ascii="Arial" w:eastAsia="Times New Roman" w:hAnsi="Arial" w:cs="Arial"/>
                <w:i/>
                <w:iCs/>
                <w:color w:val="000000"/>
                <w:sz w:val="18"/>
                <w:szCs w:val="18"/>
              </w:rPr>
              <w:t>3.6%</w:t>
            </w:r>
          </w:p>
        </w:tc>
      </w:tr>
      <w:tr w:rsidR="0058157E" w:rsidRPr="00CD22C9" w14:paraId="068E3E1F" w14:textId="77777777" w:rsidTr="003F5081">
        <w:trPr>
          <w:trHeight w:val="283"/>
        </w:trPr>
        <w:tc>
          <w:tcPr>
            <w:tcW w:w="3031" w:type="dxa"/>
            <w:shd w:val="clear" w:color="000000" w:fill="F2F2F2"/>
            <w:noWrap/>
            <w:vAlign w:val="center"/>
            <w:hideMark/>
          </w:tcPr>
          <w:p w14:paraId="4C61322D" w14:textId="77777777" w:rsidR="0058157E" w:rsidRPr="00CD22C9" w:rsidRDefault="0058157E" w:rsidP="003F5081">
            <w:pPr>
              <w:spacing w:after="0" w:line="240" w:lineRule="auto"/>
              <w:rPr>
                <w:rFonts w:ascii="Arial" w:eastAsia="Times New Roman" w:hAnsi="Arial" w:cs="Arial"/>
                <w:b/>
                <w:bCs/>
                <w:color w:val="000000"/>
                <w:sz w:val="18"/>
                <w:szCs w:val="18"/>
              </w:rPr>
            </w:pPr>
            <w:r w:rsidRPr="00CD22C9">
              <w:rPr>
                <w:rFonts w:ascii="Arial" w:eastAsia="Times New Roman" w:hAnsi="Arial" w:cs="Arial"/>
                <w:b/>
                <w:bCs/>
                <w:color w:val="000000"/>
                <w:sz w:val="18"/>
                <w:szCs w:val="18"/>
              </w:rPr>
              <w:t>Total Activity</w:t>
            </w:r>
          </w:p>
        </w:tc>
        <w:tc>
          <w:tcPr>
            <w:tcW w:w="1311" w:type="dxa"/>
            <w:shd w:val="clear" w:color="000000" w:fill="F2F2F2"/>
            <w:noWrap/>
            <w:vAlign w:val="center"/>
            <w:hideMark/>
          </w:tcPr>
          <w:p w14:paraId="47CEC8DB" w14:textId="77777777" w:rsidR="0058157E" w:rsidRPr="00CD22C9" w:rsidRDefault="0058157E" w:rsidP="003F5081">
            <w:pPr>
              <w:spacing w:after="0" w:line="240" w:lineRule="auto"/>
              <w:rPr>
                <w:rFonts w:ascii="Arial" w:eastAsia="Times New Roman" w:hAnsi="Arial" w:cs="Arial"/>
                <w:b/>
                <w:bCs/>
                <w:color w:val="000000"/>
                <w:sz w:val="18"/>
                <w:szCs w:val="18"/>
              </w:rPr>
            </w:pPr>
            <w:r w:rsidRPr="00CD22C9">
              <w:rPr>
                <w:rFonts w:ascii="Arial" w:eastAsia="Times New Roman" w:hAnsi="Arial" w:cs="Arial"/>
                <w:b/>
                <w:bCs/>
                <w:color w:val="000000"/>
                <w:sz w:val="18"/>
                <w:szCs w:val="18"/>
              </w:rPr>
              <w:t>746,700</w:t>
            </w:r>
          </w:p>
        </w:tc>
        <w:tc>
          <w:tcPr>
            <w:tcW w:w="1311" w:type="dxa"/>
            <w:shd w:val="clear" w:color="000000" w:fill="F2F2F2"/>
            <w:noWrap/>
            <w:vAlign w:val="center"/>
            <w:hideMark/>
          </w:tcPr>
          <w:p w14:paraId="62FC5199" w14:textId="77777777" w:rsidR="0058157E" w:rsidRPr="00CD22C9" w:rsidRDefault="0058157E" w:rsidP="003F5081">
            <w:pPr>
              <w:spacing w:after="0" w:line="240" w:lineRule="auto"/>
              <w:rPr>
                <w:rFonts w:ascii="Arial" w:eastAsia="Times New Roman" w:hAnsi="Arial" w:cs="Arial"/>
                <w:b/>
                <w:bCs/>
                <w:color w:val="000000"/>
                <w:sz w:val="18"/>
                <w:szCs w:val="18"/>
              </w:rPr>
            </w:pPr>
            <w:r w:rsidRPr="00CD22C9">
              <w:rPr>
                <w:rFonts w:ascii="Arial" w:eastAsia="Times New Roman" w:hAnsi="Arial" w:cs="Arial"/>
                <w:b/>
                <w:bCs/>
                <w:color w:val="000000"/>
                <w:sz w:val="18"/>
                <w:szCs w:val="18"/>
              </w:rPr>
              <w:t>755,581</w:t>
            </w:r>
          </w:p>
        </w:tc>
        <w:tc>
          <w:tcPr>
            <w:tcW w:w="1311" w:type="dxa"/>
            <w:shd w:val="clear" w:color="000000" w:fill="F2F2F2"/>
            <w:noWrap/>
            <w:vAlign w:val="center"/>
            <w:hideMark/>
          </w:tcPr>
          <w:p w14:paraId="04D344D6" w14:textId="77777777" w:rsidR="0058157E" w:rsidRPr="00CD22C9" w:rsidRDefault="0058157E" w:rsidP="003F5081">
            <w:pPr>
              <w:spacing w:after="0" w:line="240" w:lineRule="auto"/>
              <w:rPr>
                <w:rFonts w:ascii="Arial" w:eastAsia="Times New Roman" w:hAnsi="Arial" w:cs="Arial"/>
                <w:b/>
                <w:bCs/>
                <w:color w:val="000000"/>
                <w:sz w:val="18"/>
                <w:szCs w:val="18"/>
              </w:rPr>
            </w:pPr>
            <w:r w:rsidRPr="00CD22C9">
              <w:rPr>
                <w:rFonts w:ascii="Arial" w:eastAsia="Times New Roman" w:hAnsi="Arial" w:cs="Arial"/>
                <w:b/>
                <w:bCs/>
                <w:color w:val="000000"/>
                <w:sz w:val="18"/>
                <w:szCs w:val="18"/>
              </w:rPr>
              <w:t>794,524</w:t>
            </w:r>
          </w:p>
        </w:tc>
        <w:tc>
          <w:tcPr>
            <w:tcW w:w="1311" w:type="dxa"/>
            <w:shd w:val="clear" w:color="000000" w:fill="F2F2F2"/>
            <w:noWrap/>
            <w:vAlign w:val="center"/>
            <w:hideMark/>
          </w:tcPr>
          <w:p w14:paraId="38046896" w14:textId="77777777" w:rsidR="0058157E" w:rsidRPr="00CD22C9" w:rsidRDefault="0058157E" w:rsidP="003F5081">
            <w:pPr>
              <w:spacing w:after="0" w:line="240" w:lineRule="auto"/>
              <w:rPr>
                <w:rFonts w:ascii="Arial" w:eastAsia="Times New Roman" w:hAnsi="Arial" w:cs="Arial"/>
                <w:b/>
                <w:bCs/>
                <w:color w:val="000000"/>
                <w:sz w:val="18"/>
                <w:szCs w:val="18"/>
              </w:rPr>
            </w:pPr>
            <w:r w:rsidRPr="00CD22C9">
              <w:rPr>
                <w:rFonts w:ascii="Arial" w:eastAsia="Times New Roman" w:hAnsi="Arial" w:cs="Arial"/>
                <w:b/>
                <w:bCs/>
                <w:color w:val="000000"/>
                <w:sz w:val="18"/>
                <w:szCs w:val="18"/>
              </w:rPr>
              <w:t>818,395</w:t>
            </w:r>
          </w:p>
        </w:tc>
        <w:tc>
          <w:tcPr>
            <w:tcW w:w="1006" w:type="dxa"/>
            <w:shd w:val="clear" w:color="000000" w:fill="F2F2F2"/>
            <w:vAlign w:val="center"/>
            <w:hideMark/>
          </w:tcPr>
          <w:p w14:paraId="1C2D07BA" w14:textId="77777777" w:rsidR="0058157E" w:rsidRPr="00CD22C9" w:rsidRDefault="0058157E" w:rsidP="003F5081">
            <w:pPr>
              <w:spacing w:after="0" w:line="240" w:lineRule="auto"/>
              <w:rPr>
                <w:rFonts w:ascii="Arial" w:eastAsia="Times New Roman" w:hAnsi="Arial" w:cs="Arial"/>
                <w:b/>
                <w:bCs/>
                <w:i/>
                <w:iCs/>
                <w:color w:val="000000"/>
                <w:sz w:val="18"/>
                <w:szCs w:val="18"/>
              </w:rPr>
            </w:pPr>
            <w:r w:rsidRPr="00CD22C9">
              <w:rPr>
                <w:rFonts w:ascii="Arial" w:eastAsia="Times New Roman" w:hAnsi="Arial" w:cs="Arial"/>
                <w:b/>
                <w:bCs/>
                <w:i/>
                <w:iCs/>
                <w:color w:val="000000"/>
                <w:sz w:val="18"/>
                <w:szCs w:val="18"/>
              </w:rPr>
              <w:t>3.1%</w:t>
            </w:r>
          </w:p>
        </w:tc>
      </w:tr>
      <w:tr w:rsidR="0058157E" w:rsidRPr="00CD22C9" w14:paraId="2F13737B" w14:textId="77777777" w:rsidTr="003F5081">
        <w:trPr>
          <w:trHeight w:val="283"/>
        </w:trPr>
        <w:tc>
          <w:tcPr>
            <w:tcW w:w="3031" w:type="dxa"/>
            <w:shd w:val="clear" w:color="000000" w:fill="FFFFFF"/>
            <w:noWrap/>
            <w:vAlign w:val="center"/>
            <w:hideMark/>
          </w:tcPr>
          <w:p w14:paraId="19F1CCAF" w14:textId="77777777" w:rsidR="0058157E" w:rsidRPr="00CD22C9" w:rsidRDefault="0058157E" w:rsidP="003F5081">
            <w:pPr>
              <w:spacing w:after="0" w:line="240" w:lineRule="auto"/>
              <w:rPr>
                <w:rFonts w:ascii="Arial" w:eastAsia="Times New Roman" w:hAnsi="Arial" w:cs="Arial"/>
                <w:i/>
                <w:iCs/>
                <w:color w:val="000000"/>
                <w:sz w:val="18"/>
                <w:szCs w:val="18"/>
              </w:rPr>
            </w:pPr>
            <w:r w:rsidRPr="00CD22C9">
              <w:rPr>
                <w:rFonts w:ascii="Arial" w:eastAsia="Times New Roman" w:hAnsi="Arial" w:cs="Arial"/>
                <w:i/>
                <w:iCs/>
                <w:color w:val="000000"/>
                <w:sz w:val="18"/>
                <w:szCs w:val="18"/>
              </w:rPr>
              <w:t>Annual Growth</w:t>
            </w:r>
          </w:p>
        </w:tc>
        <w:tc>
          <w:tcPr>
            <w:tcW w:w="1311" w:type="dxa"/>
            <w:shd w:val="clear" w:color="000000" w:fill="FFFFFF"/>
            <w:noWrap/>
            <w:vAlign w:val="center"/>
            <w:hideMark/>
          </w:tcPr>
          <w:p w14:paraId="6C46097F" w14:textId="77777777" w:rsidR="0058157E" w:rsidRPr="00CD22C9" w:rsidRDefault="0058157E" w:rsidP="003F5081">
            <w:pPr>
              <w:spacing w:after="0" w:line="240" w:lineRule="auto"/>
              <w:rPr>
                <w:rFonts w:ascii="Arial" w:eastAsia="Times New Roman" w:hAnsi="Arial" w:cs="Arial"/>
                <w:i/>
                <w:iCs/>
                <w:color w:val="000000"/>
                <w:sz w:val="18"/>
                <w:szCs w:val="18"/>
              </w:rPr>
            </w:pPr>
            <w:r w:rsidRPr="00CD22C9">
              <w:rPr>
                <w:rFonts w:ascii="Arial" w:eastAsia="Times New Roman" w:hAnsi="Arial" w:cs="Arial"/>
                <w:i/>
                <w:iCs/>
                <w:color w:val="000000"/>
                <w:sz w:val="18"/>
                <w:szCs w:val="18"/>
              </w:rPr>
              <w:t> </w:t>
            </w:r>
          </w:p>
        </w:tc>
        <w:tc>
          <w:tcPr>
            <w:tcW w:w="1311" w:type="dxa"/>
            <w:shd w:val="clear" w:color="000000" w:fill="FFFFFF"/>
            <w:noWrap/>
            <w:vAlign w:val="center"/>
            <w:hideMark/>
          </w:tcPr>
          <w:p w14:paraId="55E7489E" w14:textId="77777777" w:rsidR="0058157E" w:rsidRPr="00CD22C9" w:rsidRDefault="0058157E" w:rsidP="003F5081">
            <w:pPr>
              <w:spacing w:after="0" w:line="240" w:lineRule="auto"/>
              <w:rPr>
                <w:rFonts w:ascii="Arial" w:eastAsia="Times New Roman" w:hAnsi="Arial" w:cs="Arial"/>
                <w:i/>
                <w:iCs/>
                <w:color w:val="000000"/>
                <w:sz w:val="18"/>
                <w:szCs w:val="18"/>
              </w:rPr>
            </w:pPr>
            <w:r w:rsidRPr="00CD22C9">
              <w:rPr>
                <w:rFonts w:ascii="Arial" w:eastAsia="Times New Roman" w:hAnsi="Arial" w:cs="Arial"/>
                <w:i/>
                <w:iCs/>
                <w:color w:val="000000"/>
                <w:sz w:val="18"/>
                <w:szCs w:val="18"/>
              </w:rPr>
              <w:t>1.2%</w:t>
            </w:r>
          </w:p>
        </w:tc>
        <w:tc>
          <w:tcPr>
            <w:tcW w:w="1311" w:type="dxa"/>
            <w:shd w:val="clear" w:color="000000" w:fill="FFFFFF"/>
            <w:vAlign w:val="center"/>
            <w:hideMark/>
          </w:tcPr>
          <w:p w14:paraId="24D9BC6D" w14:textId="77777777" w:rsidR="0058157E" w:rsidRPr="00CD22C9" w:rsidRDefault="0058157E" w:rsidP="003F5081">
            <w:pPr>
              <w:spacing w:after="0" w:line="240" w:lineRule="auto"/>
              <w:rPr>
                <w:rFonts w:ascii="Arial" w:eastAsia="Times New Roman" w:hAnsi="Arial" w:cs="Arial"/>
                <w:i/>
                <w:iCs/>
                <w:color w:val="000000"/>
                <w:sz w:val="18"/>
                <w:szCs w:val="18"/>
              </w:rPr>
            </w:pPr>
            <w:r w:rsidRPr="00CD22C9">
              <w:rPr>
                <w:rFonts w:ascii="Arial" w:eastAsia="Times New Roman" w:hAnsi="Arial" w:cs="Arial"/>
                <w:i/>
                <w:iCs/>
                <w:color w:val="000000"/>
                <w:sz w:val="18"/>
                <w:szCs w:val="18"/>
              </w:rPr>
              <w:t>5.2%</w:t>
            </w:r>
          </w:p>
        </w:tc>
        <w:tc>
          <w:tcPr>
            <w:tcW w:w="1311" w:type="dxa"/>
            <w:shd w:val="clear" w:color="000000" w:fill="FFFFFF"/>
            <w:vAlign w:val="center"/>
            <w:hideMark/>
          </w:tcPr>
          <w:p w14:paraId="501E7212" w14:textId="77777777" w:rsidR="0058157E" w:rsidRPr="00CD22C9" w:rsidRDefault="0058157E" w:rsidP="003F5081">
            <w:pPr>
              <w:spacing w:after="0" w:line="240" w:lineRule="auto"/>
              <w:rPr>
                <w:rFonts w:ascii="Arial" w:eastAsia="Times New Roman" w:hAnsi="Arial" w:cs="Arial"/>
                <w:i/>
                <w:iCs/>
                <w:color w:val="000000"/>
                <w:sz w:val="18"/>
                <w:szCs w:val="18"/>
              </w:rPr>
            </w:pPr>
            <w:r w:rsidRPr="00CD22C9">
              <w:rPr>
                <w:rFonts w:ascii="Arial" w:eastAsia="Times New Roman" w:hAnsi="Arial" w:cs="Arial"/>
                <w:i/>
                <w:iCs/>
                <w:color w:val="000000"/>
                <w:sz w:val="18"/>
                <w:szCs w:val="18"/>
              </w:rPr>
              <w:t>3.0%</w:t>
            </w:r>
          </w:p>
        </w:tc>
        <w:tc>
          <w:tcPr>
            <w:tcW w:w="1006" w:type="dxa"/>
            <w:shd w:val="clear" w:color="000000" w:fill="FFFFFF"/>
            <w:vAlign w:val="center"/>
            <w:hideMark/>
          </w:tcPr>
          <w:p w14:paraId="3B0AF987" w14:textId="77777777" w:rsidR="0058157E" w:rsidRPr="00CD22C9" w:rsidRDefault="0058157E" w:rsidP="003F5081">
            <w:pPr>
              <w:spacing w:after="0" w:line="240" w:lineRule="auto"/>
              <w:rPr>
                <w:rFonts w:ascii="Arial" w:eastAsia="Times New Roman" w:hAnsi="Arial" w:cs="Arial"/>
                <w:i/>
                <w:iCs/>
                <w:color w:val="000000"/>
                <w:sz w:val="18"/>
                <w:szCs w:val="18"/>
              </w:rPr>
            </w:pPr>
            <w:r w:rsidRPr="00CD22C9">
              <w:rPr>
                <w:rFonts w:ascii="Arial" w:eastAsia="Times New Roman" w:hAnsi="Arial" w:cs="Arial"/>
                <w:i/>
                <w:iCs/>
                <w:color w:val="000000"/>
                <w:sz w:val="18"/>
                <w:szCs w:val="18"/>
              </w:rPr>
              <w:t> </w:t>
            </w:r>
          </w:p>
        </w:tc>
      </w:tr>
    </w:tbl>
    <w:p w14:paraId="286605E1" w14:textId="77777777" w:rsidR="005E30EF" w:rsidRDefault="005E30EF" w:rsidP="00B72F95"/>
    <w:p w14:paraId="6CFC5C6E" w14:textId="611CDE05" w:rsidR="005E30EF" w:rsidRPr="009F763F" w:rsidRDefault="005E30EF" w:rsidP="00B72F95">
      <w:pPr>
        <w:rPr>
          <w:rFonts w:ascii="Arial" w:hAnsi="Arial" w:cs="Arial"/>
        </w:rPr>
      </w:pPr>
      <w:r w:rsidRPr="009F763F">
        <w:rPr>
          <w:rFonts w:ascii="Arial" w:hAnsi="Arial" w:cs="Arial"/>
        </w:rPr>
        <w:t xml:space="preserve">Planned activity growth over the next 10 years is </w:t>
      </w:r>
      <w:r w:rsidR="006E1B58">
        <w:rPr>
          <w:rFonts w:ascii="Arial" w:hAnsi="Arial" w:cs="Arial"/>
        </w:rPr>
        <w:t xml:space="preserve">expected to increase by </w:t>
      </w:r>
      <w:r w:rsidRPr="009F763F">
        <w:rPr>
          <w:rFonts w:ascii="Arial" w:hAnsi="Arial" w:cs="Arial"/>
        </w:rPr>
        <w:t xml:space="preserve">3.1% </w:t>
      </w:r>
      <w:r w:rsidR="006E1B58">
        <w:rPr>
          <w:rFonts w:ascii="Arial" w:hAnsi="Arial" w:cs="Arial"/>
        </w:rPr>
        <w:t xml:space="preserve">annually for outpatients, 2.6% for inpatients and day cases, and 2.9% for urgent and emergency care. This may be offset by commissioner reprovisioning. This is based on commissioner demand modelling (detailed in section </w:t>
      </w:r>
      <w:r w:rsidR="006E1B58">
        <w:rPr>
          <w:rFonts w:ascii="Arial" w:hAnsi="Arial" w:cs="Arial"/>
        </w:rPr>
        <w:fldChar w:fldCharType="begin"/>
      </w:r>
      <w:r w:rsidR="006E1B58">
        <w:rPr>
          <w:rFonts w:ascii="Arial" w:hAnsi="Arial" w:cs="Arial"/>
        </w:rPr>
        <w:instrText xml:space="preserve"> REF _Ref27114337 \r \h </w:instrText>
      </w:r>
      <w:r w:rsidR="006E1B58">
        <w:rPr>
          <w:rFonts w:ascii="Arial" w:hAnsi="Arial" w:cs="Arial"/>
        </w:rPr>
      </w:r>
      <w:r w:rsidR="006E1B58">
        <w:rPr>
          <w:rFonts w:ascii="Arial" w:hAnsi="Arial" w:cs="Arial"/>
        </w:rPr>
        <w:fldChar w:fldCharType="separate"/>
      </w:r>
      <w:r w:rsidR="00A936CD">
        <w:rPr>
          <w:rFonts w:ascii="Arial" w:hAnsi="Arial" w:cs="Arial"/>
        </w:rPr>
        <w:t>3.11</w:t>
      </w:r>
      <w:r w:rsidR="006E1B58">
        <w:rPr>
          <w:rFonts w:ascii="Arial" w:hAnsi="Arial" w:cs="Arial"/>
        </w:rPr>
        <w:fldChar w:fldCharType="end"/>
      </w:r>
      <w:r w:rsidR="006E1B58">
        <w:rPr>
          <w:rFonts w:ascii="Arial" w:hAnsi="Arial" w:cs="Arial"/>
        </w:rPr>
        <w:t xml:space="preserve">) and </w:t>
      </w:r>
      <w:r w:rsidRPr="009F763F">
        <w:rPr>
          <w:rFonts w:ascii="Arial" w:hAnsi="Arial" w:cs="Arial"/>
        </w:rPr>
        <w:t>is in line with historic trend</w:t>
      </w:r>
      <w:r w:rsidR="006E1B58">
        <w:rPr>
          <w:rFonts w:ascii="Arial" w:hAnsi="Arial" w:cs="Arial"/>
        </w:rPr>
        <w:t>s</w:t>
      </w:r>
      <w:r w:rsidRPr="009F763F">
        <w:rPr>
          <w:rFonts w:ascii="Arial" w:hAnsi="Arial" w:cs="Arial"/>
        </w:rPr>
        <w:t>.</w:t>
      </w:r>
    </w:p>
    <w:p w14:paraId="2872E40B" w14:textId="77777777" w:rsidR="005E30EF" w:rsidRPr="006E1B58" w:rsidRDefault="005E30EF" w:rsidP="005E0D57">
      <w:pPr>
        <w:pStyle w:val="Heading2"/>
        <w:numPr>
          <w:ilvl w:val="2"/>
          <w:numId w:val="1"/>
        </w:numPr>
        <w:rPr>
          <w:rFonts w:ascii="Arial" w:eastAsia="Arial" w:hAnsi="Arial" w:cs="Arial"/>
        </w:rPr>
      </w:pPr>
      <w:bookmarkStart w:id="292" w:name="_Toc30670714"/>
      <w:bookmarkStart w:id="293" w:name="_Toc32842733"/>
      <w:r w:rsidRPr="006E1B58">
        <w:rPr>
          <w:rFonts w:ascii="Arial" w:eastAsia="Arial" w:hAnsi="Arial" w:cs="Arial"/>
        </w:rPr>
        <w:t>NHS Patient income</w:t>
      </w:r>
      <w:bookmarkEnd w:id="292"/>
      <w:bookmarkEnd w:id="293"/>
    </w:p>
    <w:p w14:paraId="45F6C2C6" w14:textId="77777777" w:rsidR="006E1B58" w:rsidRDefault="006E1B58" w:rsidP="006E1B58">
      <w:pPr>
        <w:spacing w:after="0"/>
        <w:rPr>
          <w:rFonts w:ascii="Arial" w:hAnsi="Arial" w:cs="Arial"/>
        </w:rPr>
      </w:pPr>
    </w:p>
    <w:p w14:paraId="297B9A74" w14:textId="77777777" w:rsidR="0058157E" w:rsidRDefault="0058157E" w:rsidP="0058157E">
      <w:pPr>
        <w:rPr>
          <w:rFonts w:ascii="Arial" w:hAnsi="Arial" w:cs="Arial"/>
        </w:rPr>
      </w:pPr>
      <w:r w:rsidRPr="0091093B">
        <w:rPr>
          <w:rFonts w:ascii="Arial" w:hAnsi="Arial" w:cs="Arial"/>
        </w:rPr>
        <w:t>Moorfields’ NHS patient income for the 3 year period to FY19 and FY20 forecast is shown in Table 25. Income has grown by £23.</w:t>
      </w:r>
      <w:r>
        <w:rPr>
          <w:rFonts w:ascii="Arial" w:hAnsi="Arial" w:cs="Arial"/>
        </w:rPr>
        <w:t>7</w:t>
      </w:r>
      <w:r w:rsidRPr="0091093B">
        <w:rPr>
          <w:rFonts w:ascii="Arial" w:hAnsi="Arial" w:cs="Arial"/>
        </w:rPr>
        <w:t>m between FY17 and FY20, representing a 14.</w:t>
      </w:r>
      <w:r>
        <w:rPr>
          <w:rFonts w:ascii="Arial" w:hAnsi="Arial" w:cs="Arial"/>
        </w:rPr>
        <w:t>5</w:t>
      </w:r>
      <w:r w:rsidRPr="0091093B">
        <w:rPr>
          <w:rFonts w:ascii="Arial" w:hAnsi="Arial" w:cs="Arial"/>
        </w:rPr>
        <w:t>% overall increase and 4.6% average annual growth. Income growth is particularly impacted by high cost drugs and injections growth (</w:t>
      </w:r>
      <w:r>
        <w:rPr>
          <w:rFonts w:ascii="Arial" w:hAnsi="Arial" w:cs="Arial"/>
        </w:rPr>
        <w:t>10.4</w:t>
      </w:r>
      <w:r w:rsidRPr="0091093B">
        <w:rPr>
          <w:rFonts w:ascii="Arial" w:hAnsi="Arial" w:cs="Arial"/>
        </w:rPr>
        <w:t>% average). Average annual income growth excluding drugs impacts is 3.</w:t>
      </w:r>
      <w:r>
        <w:rPr>
          <w:rFonts w:ascii="Arial" w:hAnsi="Arial" w:cs="Arial"/>
        </w:rPr>
        <w:t>3</w:t>
      </w:r>
      <w:r w:rsidRPr="0091093B">
        <w:rPr>
          <w:rFonts w:ascii="Arial" w:hAnsi="Arial" w:cs="Arial"/>
        </w:rPr>
        <w:t>%, compared to activity growth of 3.1%. The difference is a combination of tariff and commissioning impact.</w:t>
      </w:r>
    </w:p>
    <w:p w14:paraId="45A917DD" w14:textId="03C4F5DA" w:rsidR="005E30EF" w:rsidRDefault="005E30EF" w:rsidP="00B72F95">
      <w:pPr>
        <w:rPr>
          <w:rFonts w:ascii="Arial" w:hAnsi="Arial" w:cs="Arial"/>
        </w:rPr>
      </w:pPr>
      <w:r w:rsidRPr="009F763F">
        <w:rPr>
          <w:rFonts w:ascii="Arial" w:hAnsi="Arial" w:cs="Arial"/>
        </w:rPr>
        <w:t xml:space="preserve">Most of </w:t>
      </w:r>
      <w:r>
        <w:rPr>
          <w:rFonts w:ascii="Arial" w:hAnsi="Arial" w:cs="Arial"/>
        </w:rPr>
        <w:t xml:space="preserve">the </w:t>
      </w:r>
      <w:r w:rsidR="006E1B58">
        <w:rPr>
          <w:rFonts w:ascii="Arial" w:hAnsi="Arial" w:cs="Arial"/>
        </w:rPr>
        <w:t>t</w:t>
      </w:r>
      <w:r w:rsidRPr="009F763F">
        <w:rPr>
          <w:rFonts w:ascii="Arial" w:hAnsi="Arial" w:cs="Arial"/>
        </w:rPr>
        <w:t xml:space="preserve">rust’s activity is reimbursed on </w:t>
      </w:r>
      <w:r>
        <w:rPr>
          <w:rFonts w:ascii="Arial" w:hAnsi="Arial" w:cs="Arial"/>
        </w:rPr>
        <w:t>a national tariff</w:t>
      </w:r>
      <w:r w:rsidRPr="009F763F">
        <w:rPr>
          <w:rFonts w:ascii="Arial" w:hAnsi="Arial" w:cs="Arial"/>
        </w:rPr>
        <w:t xml:space="preserve"> basis including </w:t>
      </w:r>
      <w:r>
        <w:rPr>
          <w:rFonts w:ascii="Arial" w:hAnsi="Arial" w:cs="Arial"/>
        </w:rPr>
        <w:t xml:space="preserve">the </w:t>
      </w:r>
      <w:r w:rsidRPr="009F763F">
        <w:rPr>
          <w:rFonts w:ascii="Arial" w:hAnsi="Arial" w:cs="Arial"/>
        </w:rPr>
        <w:t xml:space="preserve">MFF uplift. In </w:t>
      </w:r>
      <w:r>
        <w:rPr>
          <w:rFonts w:ascii="Arial" w:hAnsi="Arial" w:cs="Arial"/>
        </w:rPr>
        <w:t>FY20</w:t>
      </w:r>
      <w:r w:rsidRPr="009F763F">
        <w:rPr>
          <w:rFonts w:ascii="Arial" w:hAnsi="Arial" w:cs="Arial"/>
        </w:rPr>
        <w:t xml:space="preserve"> there </w:t>
      </w:r>
      <w:r w:rsidR="006E1B58">
        <w:rPr>
          <w:rFonts w:ascii="Arial" w:hAnsi="Arial" w:cs="Arial"/>
        </w:rPr>
        <w:t xml:space="preserve">has been </w:t>
      </w:r>
      <w:r w:rsidRPr="009F763F">
        <w:rPr>
          <w:rFonts w:ascii="Arial" w:hAnsi="Arial" w:cs="Arial"/>
        </w:rPr>
        <w:t xml:space="preserve">a </w:t>
      </w:r>
      <w:r>
        <w:rPr>
          <w:rFonts w:ascii="Arial" w:hAnsi="Arial" w:cs="Arial"/>
        </w:rPr>
        <w:t>significant</w:t>
      </w:r>
      <w:r w:rsidRPr="009F763F">
        <w:rPr>
          <w:rFonts w:ascii="Arial" w:hAnsi="Arial" w:cs="Arial"/>
        </w:rPr>
        <w:t xml:space="preserve"> change in prices compared to previous years. Apart from tariff inflationary increase, there was an increase in A&amp;E prices related to change in tariffs and distribution</w:t>
      </w:r>
      <w:r w:rsidR="00DA6AE4">
        <w:rPr>
          <w:rFonts w:ascii="Arial" w:hAnsi="Arial" w:cs="Arial"/>
        </w:rPr>
        <w:t xml:space="preserve"> </w:t>
      </w:r>
      <w:r w:rsidRPr="009F763F">
        <w:rPr>
          <w:rFonts w:ascii="Arial" w:hAnsi="Arial" w:cs="Arial"/>
        </w:rPr>
        <w:t>of PSF funding</w:t>
      </w:r>
      <w:r>
        <w:rPr>
          <w:rFonts w:ascii="Arial" w:hAnsi="Arial" w:cs="Arial"/>
        </w:rPr>
        <w:t xml:space="preserve">.  The </w:t>
      </w:r>
      <w:r w:rsidR="006E1B58">
        <w:rPr>
          <w:rFonts w:ascii="Arial" w:hAnsi="Arial" w:cs="Arial"/>
        </w:rPr>
        <w:t>t</w:t>
      </w:r>
      <w:r>
        <w:rPr>
          <w:rFonts w:ascii="Arial" w:hAnsi="Arial" w:cs="Arial"/>
        </w:rPr>
        <w:t>rust has also incurred the</w:t>
      </w:r>
      <w:r w:rsidRPr="009F763F">
        <w:rPr>
          <w:rFonts w:ascii="Arial" w:hAnsi="Arial" w:cs="Arial"/>
        </w:rPr>
        <w:t xml:space="preserve"> first </w:t>
      </w:r>
      <w:r>
        <w:rPr>
          <w:rFonts w:ascii="Arial" w:hAnsi="Arial" w:cs="Arial"/>
        </w:rPr>
        <w:t xml:space="preserve">year </w:t>
      </w:r>
      <w:r w:rsidRPr="009F763F">
        <w:rPr>
          <w:rFonts w:ascii="Arial" w:hAnsi="Arial" w:cs="Arial"/>
        </w:rPr>
        <w:t xml:space="preserve">impact of </w:t>
      </w:r>
      <w:r>
        <w:rPr>
          <w:rFonts w:ascii="Arial" w:hAnsi="Arial" w:cs="Arial"/>
        </w:rPr>
        <w:t xml:space="preserve">a </w:t>
      </w:r>
      <w:r w:rsidRPr="009F763F">
        <w:rPr>
          <w:rFonts w:ascii="Arial" w:hAnsi="Arial" w:cs="Arial"/>
        </w:rPr>
        <w:t>five year MFF percentage reduction amounting to over £1.5m income loss</w:t>
      </w:r>
      <w:r>
        <w:rPr>
          <w:rFonts w:ascii="Arial" w:hAnsi="Arial" w:cs="Arial"/>
        </w:rPr>
        <w:t xml:space="preserve"> in the year</w:t>
      </w:r>
      <w:r w:rsidRPr="009F763F">
        <w:rPr>
          <w:rFonts w:ascii="Arial" w:hAnsi="Arial" w:cs="Arial"/>
        </w:rPr>
        <w:t>.</w:t>
      </w:r>
    </w:p>
    <w:p w14:paraId="13468A49" w14:textId="24BFF91C" w:rsidR="006E1B58" w:rsidRPr="006E1B58" w:rsidRDefault="006E1B58" w:rsidP="006E1B58">
      <w:pPr>
        <w:pStyle w:val="Caption"/>
        <w:rPr>
          <w:b w:val="0"/>
          <w:bCs w:val="0"/>
        </w:rPr>
      </w:pPr>
      <w:bookmarkStart w:id="294" w:name="_Ref30430426"/>
      <w:r>
        <w:t xml:space="preserve">Table </w:t>
      </w:r>
      <w:r>
        <w:fldChar w:fldCharType="begin"/>
      </w:r>
      <w:r>
        <w:instrText xml:space="preserve"> SEQ Table \* ARABIC </w:instrText>
      </w:r>
      <w:r>
        <w:fldChar w:fldCharType="separate"/>
      </w:r>
      <w:r w:rsidR="00A936CD">
        <w:rPr>
          <w:noProof/>
        </w:rPr>
        <w:t>25</w:t>
      </w:r>
      <w:r>
        <w:fldChar w:fldCharType="end"/>
      </w:r>
      <w:bookmarkEnd w:id="294"/>
      <w:r>
        <w:t xml:space="preserve">: </w:t>
      </w:r>
      <w:r w:rsidRPr="006E1B58">
        <w:rPr>
          <w:b w:val="0"/>
          <w:bCs w:val="0"/>
        </w:rPr>
        <w:t>Moorfields’ NHS income FY17 - FY20</w:t>
      </w:r>
    </w:p>
    <w:tbl>
      <w:tblPr>
        <w:tblW w:w="912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982"/>
        <w:gridCol w:w="1285"/>
        <w:gridCol w:w="1285"/>
        <w:gridCol w:w="1288"/>
        <w:gridCol w:w="1006"/>
      </w:tblGrid>
      <w:tr w:rsidR="0058157E" w:rsidRPr="00147EDA" w14:paraId="0DD3D58F" w14:textId="77777777" w:rsidTr="003F5081">
        <w:trPr>
          <w:trHeight w:val="286"/>
        </w:trPr>
        <w:tc>
          <w:tcPr>
            <w:tcW w:w="3276" w:type="dxa"/>
            <w:vMerge w:val="restart"/>
            <w:shd w:val="clear" w:color="auto" w:fill="4F81BD"/>
            <w:vAlign w:val="center"/>
            <w:hideMark/>
          </w:tcPr>
          <w:p w14:paraId="58EA85CC" w14:textId="77777777" w:rsidR="0058157E" w:rsidRPr="00147EDA" w:rsidRDefault="0058157E" w:rsidP="003F5081">
            <w:pPr>
              <w:spacing w:after="0" w:line="240" w:lineRule="auto"/>
              <w:rPr>
                <w:rFonts w:ascii="Arial" w:eastAsia="Times New Roman" w:hAnsi="Arial" w:cs="Arial"/>
                <w:b/>
                <w:bCs/>
                <w:i/>
                <w:iCs/>
                <w:color w:val="FFFFFF"/>
              </w:rPr>
            </w:pPr>
            <w:r w:rsidRPr="00147EDA">
              <w:rPr>
                <w:rFonts w:ascii="Arial" w:eastAsia="Times New Roman" w:hAnsi="Arial" w:cs="Arial"/>
                <w:b/>
                <w:bCs/>
                <w:i/>
                <w:iCs/>
                <w:color w:val="FFFFFF"/>
              </w:rPr>
              <w:t>NHS Income £m</w:t>
            </w:r>
          </w:p>
        </w:tc>
        <w:tc>
          <w:tcPr>
            <w:tcW w:w="4840" w:type="dxa"/>
            <w:gridSpan w:val="4"/>
            <w:shd w:val="clear" w:color="auto" w:fill="4F81BD"/>
            <w:noWrap/>
            <w:vAlign w:val="center"/>
            <w:hideMark/>
          </w:tcPr>
          <w:p w14:paraId="381BD91F" w14:textId="77777777" w:rsidR="0058157E" w:rsidRPr="00147EDA" w:rsidRDefault="0058157E" w:rsidP="003F5081">
            <w:pPr>
              <w:spacing w:after="0" w:line="240" w:lineRule="auto"/>
              <w:rPr>
                <w:rFonts w:ascii="Arial" w:eastAsia="Times New Roman" w:hAnsi="Arial" w:cs="Arial"/>
                <w:b/>
                <w:bCs/>
                <w:color w:val="FFFFFF"/>
              </w:rPr>
            </w:pPr>
            <w:r w:rsidRPr="00147EDA">
              <w:rPr>
                <w:rFonts w:ascii="Arial" w:eastAsia="Times New Roman" w:hAnsi="Arial" w:cs="Arial"/>
                <w:b/>
                <w:bCs/>
                <w:color w:val="FFFFFF"/>
              </w:rPr>
              <w:t>Income</w:t>
            </w:r>
          </w:p>
        </w:tc>
        <w:tc>
          <w:tcPr>
            <w:tcW w:w="1006" w:type="dxa"/>
            <w:vMerge w:val="restart"/>
            <w:shd w:val="clear" w:color="auto" w:fill="4F81BD"/>
            <w:vAlign w:val="center"/>
            <w:hideMark/>
          </w:tcPr>
          <w:p w14:paraId="1F655753" w14:textId="77777777" w:rsidR="0058157E" w:rsidRPr="00147EDA" w:rsidRDefault="0058157E" w:rsidP="003F5081">
            <w:pPr>
              <w:spacing w:after="0" w:line="240" w:lineRule="auto"/>
              <w:rPr>
                <w:rFonts w:ascii="Arial" w:eastAsia="Times New Roman" w:hAnsi="Arial" w:cs="Arial"/>
                <w:b/>
                <w:bCs/>
                <w:color w:val="FFFFFF"/>
                <w:sz w:val="20"/>
                <w:szCs w:val="20"/>
              </w:rPr>
            </w:pPr>
            <w:r w:rsidRPr="00147EDA">
              <w:rPr>
                <w:rFonts w:ascii="Arial" w:eastAsia="Times New Roman" w:hAnsi="Arial" w:cs="Arial"/>
                <w:b/>
                <w:bCs/>
                <w:color w:val="FFFFFF"/>
                <w:sz w:val="20"/>
                <w:szCs w:val="20"/>
              </w:rPr>
              <w:t>Average growth %</w:t>
            </w:r>
          </w:p>
        </w:tc>
      </w:tr>
      <w:tr w:rsidR="0058157E" w:rsidRPr="00147EDA" w14:paraId="265F3216" w14:textId="77777777" w:rsidTr="003F5081">
        <w:trPr>
          <w:trHeight w:val="512"/>
        </w:trPr>
        <w:tc>
          <w:tcPr>
            <w:tcW w:w="3276" w:type="dxa"/>
            <w:vMerge/>
            <w:shd w:val="clear" w:color="auto" w:fill="4F81BD"/>
            <w:vAlign w:val="center"/>
            <w:hideMark/>
          </w:tcPr>
          <w:p w14:paraId="12B49097" w14:textId="77777777" w:rsidR="0058157E" w:rsidRPr="00147EDA" w:rsidRDefault="0058157E" w:rsidP="003F5081">
            <w:pPr>
              <w:spacing w:after="0" w:line="240" w:lineRule="auto"/>
              <w:rPr>
                <w:rFonts w:ascii="Arial" w:eastAsia="Times New Roman" w:hAnsi="Arial" w:cs="Arial"/>
                <w:b/>
                <w:bCs/>
                <w:i/>
                <w:iCs/>
                <w:color w:val="FFFFFF"/>
              </w:rPr>
            </w:pPr>
          </w:p>
        </w:tc>
        <w:tc>
          <w:tcPr>
            <w:tcW w:w="982" w:type="dxa"/>
            <w:shd w:val="clear" w:color="auto" w:fill="4F81BD"/>
            <w:vAlign w:val="center"/>
            <w:hideMark/>
          </w:tcPr>
          <w:p w14:paraId="341BA8D4" w14:textId="77777777" w:rsidR="0058157E" w:rsidRPr="00147EDA" w:rsidRDefault="0058157E" w:rsidP="003F5081">
            <w:pPr>
              <w:spacing w:after="0" w:line="240" w:lineRule="auto"/>
              <w:rPr>
                <w:rFonts w:ascii="Arial" w:eastAsia="Times New Roman" w:hAnsi="Arial" w:cs="Arial"/>
                <w:b/>
                <w:bCs/>
                <w:color w:val="FFFFFF"/>
                <w:sz w:val="20"/>
                <w:szCs w:val="20"/>
              </w:rPr>
            </w:pPr>
            <w:r>
              <w:rPr>
                <w:rFonts w:ascii="Arial" w:eastAsia="Times New Roman" w:hAnsi="Arial" w:cs="Arial"/>
                <w:b/>
                <w:bCs/>
                <w:color w:val="FFFFFF"/>
                <w:sz w:val="20"/>
                <w:szCs w:val="20"/>
              </w:rPr>
              <w:t>FY17</w:t>
            </w:r>
          </w:p>
        </w:tc>
        <w:tc>
          <w:tcPr>
            <w:tcW w:w="1285" w:type="dxa"/>
            <w:shd w:val="clear" w:color="auto" w:fill="4F81BD"/>
            <w:vAlign w:val="center"/>
            <w:hideMark/>
          </w:tcPr>
          <w:p w14:paraId="24289ACB" w14:textId="77777777" w:rsidR="0058157E" w:rsidRPr="00147EDA" w:rsidRDefault="0058157E" w:rsidP="003F5081">
            <w:pPr>
              <w:spacing w:after="0" w:line="240" w:lineRule="auto"/>
              <w:rPr>
                <w:rFonts w:ascii="Arial" w:eastAsia="Times New Roman" w:hAnsi="Arial" w:cs="Arial"/>
                <w:b/>
                <w:bCs/>
                <w:color w:val="FFFFFF"/>
                <w:sz w:val="20"/>
                <w:szCs w:val="20"/>
              </w:rPr>
            </w:pPr>
            <w:r>
              <w:rPr>
                <w:rFonts w:ascii="Arial" w:eastAsia="Times New Roman" w:hAnsi="Arial" w:cs="Arial"/>
                <w:b/>
                <w:bCs/>
                <w:color w:val="FFFFFF"/>
                <w:sz w:val="20"/>
                <w:szCs w:val="20"/>
              </w:rPr>
              <w:t>FY18</w:t>
            </w:r>
          </w:p>
        </w:tc>
        <w:tc>
          <w:tcPr>
            <w:tcW w:w="1285" w:type="dxa"/>
            <w:shd w:val="clear" w:color="auto" w:fill="4F81BD"/>
            <w:vAlign w:val="center"/>
            <w:hideMark/>
          </w:tcPr>
          <w:p w14:paraId="44C7260D" w14:textId="77777777" w:rsidR="0058157E" w:rsidRPr="00147EDA" w:rsidRDefault="0058157E" w:rsidP="003F5081">
            <w:pPr>
              <w:spacing w:after="0" w:line="240" w:lineRule="auto"/>
              <w:rPr>
                <w:rFonts w:ascii="Arial" w:eastAsia="Times New Roman" w:hAnsi="Arial" w:cs="Arial"/>
                <w:b/>
                <w:bCs/>
                <w:color w:val="FFFFFF"/>
                <w:sz w:val="20"/>
                <w:szCs w:val="20"/>
              </w:rPr>
            </w:pPr>
            <w:r>
              <w:rPr>
                <w:rFonts w:ascii="Arial" w:eastAsia="Times New Roman" w:hAnsi="Arial" w:cs="Arial"/>
                <w:b/>
                <w:bCs/>
                <w:color w:val="FFFFFF"/>
                <w:sz w:val="20"/>
                <w:szCs w:val="20"/>
              </w:rPr>
              <w:t>FY19</w:t>
            </w:r>
            <w:r w:rsidRPr="00147EDA">
              <w:rPr>
                <w:rFonts w:ascii="Arial" w:eastAsia="Times New Roman" w:hAnsi="Arial" w:cs="Arial"/>
                <w:b/>
                <w:bCs/>
                <w:color w:val="FFFFFF"/>
                <w:sz w:val="20"/>
                <w:szCs w:val="20"/>
              </w:rPr>
              <w:t xml:space="preserve"> </w:t>
            </w:r>
          </w:p>
        </w:tc>
        <w:tc>
          <w:tcPr>
            <w:tcW w:w="1288" w:type="dxa"/>
            <w:shd w:val="clear" w:color="auto" w:fill="4F81BD"/>
            <w:vAlign w:val="center"/>
            <w:hideMark/>
          </w:tcPr>
          <w:p w14:paraId="270BA56E" w14:textId="77777777" w:rsidR="0058157E" w:rsidRPr="00147EDA" w:rsidRDefault="0058157E" w:rsidP="003F5081">
            <w:pPr>
              <w:spacing w:after="0" w:line="240" w:lineRule="auto"/>
              <w:rPr>
                <w:rFonts w:ascii="Arial" w:eastAsia="Times New Roman" w:hAnsi="Arial" w:cs="Arial"/>
                <w:b/>
                <w:bCs/>
                <w:color w:val="FFFFFF"/>
                <w:sz w:val="20"/>
                <w:szCs w:val="20"/>
              </w:rPr>
            </w:pPr>
            <w:r>
              <w:rPr>
                <w:rFonts w:ascii="Arial" w:eastAsia="Times New Roman" w:hAnsi="Arial" w:cs="Arial"/>
                <w:b/>
                <w:bCs/>
                <w:color w:val="FFFFFF"/>
                <w:sz w:val="20"/>
                <w:szCs w:val="20"/>
              </w:rPr>
              <w:t>FY20</w:t>
            </w:r>
            <w:r w:rsidRPr="00147EDA">
              <w:rPr>
                <w:rFonts w:ascii="Arial" w:eastAsia="Times New Roman" w:hAnsi="Arial" w:cs="Arial"/>
                <w:b/>
                <w:bCs/>
                <w:color w:val="FFFFFF"/>
                <w:sz w:val="20"/>
                <w:szCs w:val="20"/>
              </w:rPr>
              <w:t xml:space="preserve"> forecast </w:t>
            </w:r>
          </w:p>
        </w:tc>
        <w:tc>
          <w:tcPr>
            <w:tcW w:w="1006" w:type="dxa"/>
            <w:vMerge/>
            <w:shd w:val="clear" w:color="auto" w:fill="4F81BD"/>
            <w:vAlign w:val="center"/>
            <w:hideMark/>
          </w:tcPr>
          <w:p w14:paraId="04D6253C" w14:textId="77777777" w:rsidR="0058157E" w:rsidRPr="00147EDA" w:rsidRDefault="0058157E" w:rsidP="003F5081">
            <w:pPr>
              <w:spacing w:after="0" w:line="240" w:lineRule="auto"/>
              <w:rPr>
                <w:rFonts w:ascii="Arial" w:eastAsia="Times New Roman" w:hAnsi="Arial" w:cs="Arial"/>
                <w:b/>
                <w:bCs/>
                <w:color w:val="FFFFFF"/>
                <w:sz w:val="20"/>
                <w:szCs w:val="20"/>
              </w:rPr>
            </w:pPr>
          </w:p>
        </w:tc>
      </w:tr>
      <w:tr w:rsidR="0058157E" w:rsidRPr="00147EDA" w14:paraId="123D1DED" w14:textId="77777777" w:rsidTr="003F5081">
        <w:trPr>
          <w:trHeight w:val="286"/>
        </w:trPr>
        <w:tc>
          <w:tcPr>
            <w:tcW w:w="3276" w:type="dxa"/>
            <w:shd w:val="clear" w:color="000000" w:fill="FFFFFF"/>
            <w:noWrap/>
            <w:vAlign w:val="center"/>
            <w:hideMark/>
          </w:tcPr>
          <w:p w14:paraId="2D112DD1" w14:textId="77777777" w:rsidR="0058157E" w:rsidRPr="009B1CE8" w:rsidRDefault="0058157E" w:rsidP="003F5081">
            <w:pPr>
              <w:spacing w:after="0" w:line="240" w:lineRule="auto"/>
              <w:rPr>
                <w:rFonts w:ascii="Arial" w:eastAsia="Times New Roman" w:hAnsi="Arial" w:cs="Arial"/>
                <w:sz w:val="18"/>
                <w:szCs w:val="18"/>
              </w:rPr>
            </w:pPr>
            <w:r w:rsidRPr="009B1CE8">
              <w:rPr>
                <w:rFonts w:ascii="Arial" w:eastAsia="Times New Roman" w:hAnsi="Arial" w:cs="Arial"/>
                <w:sz w:val="18"/>
                <w:szCs w:val="18"/>
              </w:rPr>
              <w:t>A&amp;E</w:t>
            </w:r>
          </w:p>
        </w:tc>
        <w:tc>
          <w:tcPr>
            <w:tcW w:w="982" w:type="dxa"/>
            <w:shd w:val="clear" w:color="000000" w:fill="FFFFFF"/>
            <w:noWrap/>
            <w:vAlign w:val="center"/>
            <w:hideMark/>
          </w:tcPr>
          <w:p w14:paraId="07176AC5" w14:textId="77777777" w:rsidR="0058157E" w:rsidRPr="009B1CE8" w:rsidRDefault="0058157E" w:rsidP="003F5081">
            <w:pPr>
              <w:spacing w:after="0" w:line="240" w:lineRule="auto"/>
              <w:rPr>
                <w:rFonts w:ascii="Arial" w:eastAsia="Times New Roman" w:hAnsi="Arial" w:cs="Arial"/>
                <w:sz w:val="18"/>
                <w:szCs w:val="18"/>
              </w:rPr>
            </w:pPr>
            <w:r>
              <w:rPr>
                <w:rFonts w:ascii="Arial" w:hAnsi="Arial" w:cs="Arial"/>
                <w:sz w:val="18"/>
                <w:szCs w:val="18"/>
              </w:rPr>
              <w:t>10.8</w:t>
            </w:r>
          </w:p>
        </w:tc>
        <w:tc>
          <w:tcPr>
            <w:tcW w:w="1285" w:type="dxa"/>
            <w:shd w:val="clear" w:color="000000" w:fill="FFFFFF"/>
            <w:noWrap/>
            <w:vAlign w:val="center"/>
            <w:hideMark/>
          </w:tcPr>
          <w:p w14:paraId="2867B1C1" w14:textId="77777777" w:rsidR="0058157E" w:rsidRPr="009B1CE8" w:rsidRDefault="0058157E" w:rsidP="003F5081">
            <w:pPr>
              <w:spacing w:after="0" w:line="240" w:lineRule="auto"/>
              <w:rPr>
                <w:rFonts w:ascii="Arial" w:eastAsia="Times New Roman" w:hAnsi="Arial" w:cs="Arial"/>
                <w:sz w:val="18"/>
                <w:szCs w:val="18"/>
              </w:rPr>
            </w:pPr>
            <w:r>
              <w:rPr>
                <w:rFonts w:ascii="Arial" w:hAnsi="Arial" w:cs="Arial"/>
                <w:sz w:val="18"/>
                <w:szCs w:val="18"/>
              </w:rPr>
              <w:t>11.2</w:t>
            </w:r>
          </w:p>
        </w:tc>
        <w:tc>
          <w:tcPr>
            <w:tcW w:w="1285" w:type="dxa"/>
            <w:shd w:val="clear" w:color="000000" w:fill="FFFFFF"/>
            <w:noWrap/>
            <w:vAlign w:val="center"/>
            <w:hideMark/>
          </w:tcPr>
          <w:p w14:paraId="2D1AF6B5" w14:textId="77777777" w:rsidR="0058157E" w:rsidRPr="009B1CE8" w:rsidRDefault="0058157E" w:rsidP="003F5081">
            <w:pPr>
              <w:spacing w:after="0" w:line="240" w:lineRule="auto"/>
              <w:rPr>
                <w:rFonts w:ascii="Arial" w:eastAsia="Times New Roman" w:hAnsi="Arial" w:cs="Arial"/>
                <w:sz w:val="18"/>
                <w:szCs w:val="18"/>
              </w:rPr>
            </w:pPr>
            <w:r>
              <w:rPr>
                <w:rFonts w:ascii="Arial" w:hAnsi="Arial" w:cs="Arial"/>
                <w:sz w:val="18"/>
                <w:szCs w:val="18"/>
              </w:rPr>
              <w:t>11.2</w:t>
            </w:r>
          </w:p>
        </w:tc>
        <w:tc>
          <w:tcPr>
            <w:tcW w:w="1288" w:type="dxa"/>
            <w:shd w:val="clear" w:color="000000" w:fill="FFFFFF"/>
            <w:noWrap/>
            <w:vAlign w:val="center"/>
            <w:hideMark/>
          </w:tcPr>
          <w:p w14:paraId="7E773D11" w14:textId="77777777" w:rsidR="0058157E" w:rsidRPr="009B1CE8" w:rsidRDefault="0058157E" w:rsidP="003F5081">
            <w:pPr>
              <w:spacing w:after="0" w:line="240" w:lineRule="auto"/>
              <w:rPr>
                <w:rFonts w:ascii="Arial" w:eastAsia="Times New Roman" w:hAnsi="Arial" w:cs="Arial"/>
                <w:sz w:val="18"/>
                <w:szCs w:val="18"/>
              </w:rPr>
            </w:pPr>
            <w:r>
              <w:rPr>
                <w:rFonts w:ascii="Arial" w:hAnsi="Arial" w:cs="Arial"/>
                <w:sz w:val="18"/>
                <w:szCs w:val="18"/>
              </w:rPr>
              <w:t>15.9</w:t>
            </w:r>
          </w:p>
        </w:tc>
        <w:tc>
          <w:tcPr>
            <w:tcW w:w="1006" w:type="dxa"/>
            <w:shd w:val="clear" w:color="000000" w:fill="FFFFFF"/>
            <w:vAlign w:val="center"/>
            <w:hideMark/>
          </w:tcPr>
          <w:p w14:paraId="3F6EA1AC" w14:textId="77777777" w:rsidR="0058157E" w:rsidRPr="009B1CE8" w:rsidRDefault="0058157E" w:rsidP="003F5081">
            <w:pPr>
              <w:spacing w:after="0" w:line="240" w:lineRule="auto"/>
              <w:rPr>
                <w:rFonts w:ascii="Arial" w:eastAsia="Times New Roman" w:hAnsi="Arial" w:cs="Arial"/>
                <w:i/>
                <w:iCs/>
                <w:color w:val="000000"/>
                <w:sz w:val="18"/>
                <w:szCs w:val="18"/>
              </w:rPr>
            </w:pPr>
            <w:r>
              <w:rPr>
                <w:rFonts w:ascii="Arial" w:hAnsi="Arial" w:cs="Arial"/>
                <w:i/>
                <w:iCs/>
                <w:color w:val="000000"/>
                <w:sz w:val="18"/>
                <w:szCs w:val="18"/>
              </w:rPr>
              <w:t>13.7%</w:t>
            </w:r>
          </w:p>
        </w:tc>
      </w:tr>
      <w:tr w:rsidR="0058157E" w:rsidRPr="00147EDA" w14:paraId="02035958" w14:textId="77777777" w:rsidTr="003F5081">
        <w:trPr>
          <w:trHeight w:val="286"/>
        </w:trPr>
        <w:tc>
          <w:tcPr>
            <w:tcW w:w="3276" w:type="dxa"/>
            <w:shd w:val="clear" w:color="000000" w:fill="FFFFFF"/>
            <w:noWrap/>
            <w:vAlign w:val="center"/>
            <w:hideMark/>
          </w:tcPr>
          <w:p w14:paraId="4DB1C9CA" w14:textId="77777777" w:rsidR="0058157E" w:rsidRPr="009B1CE8" w:rsidRDefault="0058157E" w:rsidP="003F5081">
            <w:pPr>
              <w:spacing w:after="0" w:line="240" w:lineRule="auto"/>
              <w:rPr>
                <w:rFonts w:ascii="Arial" w:eastAsia="Times New Roman" w:hAnsi="Arial" w:cs="Arial"/>
                <w:sz w:val="18"/>
                <w:szCs w:val="18"/>
              </w:rPr>
            </w:pPr>
            <w:r w:rsidRPr="009B1CE8">
              <w:rPr>
                <w:rFonts w:ascii="Arial" w:eastAsia="Times New Roman" w:hAnsi="Arial" w:cs="Arial"/>
                <w:sz w:val="18"/>
                <w:szCs w:val="18"/>
              </w:rPr>
              <w:t>Day case / Inpatients</w:t>
            </w:r>
          </w:p>
        </w:tc>
        <w:tc>
          <w:tcPr>
            <w:tcW w:w="982" w:type="dxa"/>
            <w:shd w:val="clear" w:color="000000" w:fill="FFFFFF"/>
            <w:noWrap/>
            <w:vAlign w:val="center"/>
            <w:hideMark/>
          </w:tcPr>
          <w:p w14:paraId="3897292B" w14:textId="77777777" w:rsidR="0058157E" w:rsidRPr="009B1CE8" w:rsidRDefault="0058157E" w:rsidP="003F5081">
            <w:pPr>
              <w:spacing w:after="0" w:line="240" w:lineRule="auto"/>
              <w:rPr>
                <w:rFonts w:ascii="Arial" w:eastAsia="Times New Roman" w:hAnsi="Arial" w:cs="Arial"/>
                <w:sz w:val="18"/>
                <w:szCs w:val="18"/>
              </w:rPr>
            </w:pPr>
            <w:r>
              <w:rPr>
                <w:rFonts w:ascii="Arial" w:hAnsi="Arial" w:cs="Arial"/>
                <w:sz w:val="18"/>
                <w:szCs w:val="18"/>
              </w:rPr>
              <w:t>36.6</w:t>
            </w:r>
          </w:p>
        </w:tc>
        <w:tc>
          <w:tcPr>
            <w:tcW w:w="1285" w:type="dxa"/>
            <w:shd w:val="clear" w:color="000000" w:fill="FFFFFF"/>
            <w:noWrap/>
            <w:vAlign w:val="center"/>
            <w:hideMark/>
          </w:tcPr>
          <w:p w14:paraId="1A1327D9" w14:textId="77777777" w:rsidR="0058157E" w:rsidRPr="009B1CE8" w:rsidRDefault="0058157E" w:rsidP="003F5081">
            <w:pPr>
              <w:spacing w:after="0" w:line="240" w:lineRule="auto"/>
              <w:rPr>
                <w:rFonts w:ascii="Arial" w:eastAsia="Times New Roman" w:hAnsi="Arial" w:cs="Arial"/>
                <w:sz w:val="18"/>
                <w:szCs w:val="18"/>
              </w:rPr>
            </w:pPr>
            <w:r>
              <w:rPr>
                <w:rFonts w:ascii="Arial" w:hAnsi="Arial" w:cs="Arial"/>
                <w:sz w:val="18"/>
                <w:szCs w:val="18"/>
              </w:rPr>
              <w:t>37.6</w:t>
            </w:r>
          </w:p>
        </w:tc>
        <w:tc>
          <w:tcPr>
            <w:tcW w:w="1285" w:type="dxa"/>
            <w:shd w:val="clear" w:color="000000" w:fill="FFFFFF"/>
            <w:noWrap/>
            <w:vAlign w:val="center"/>
            <w:hideMark/>
          </w:tcPr>
          <w:p w14:paraId="6BEC5F69" w14:textId="77777777" w:rsidR="0058157E" w:rsidRPr="009B1CE8" w:rsidRDefault="0058157E" w:rsidP="003F5081">
            <w:pPr>
              <w:spacing w:after="0" w:line="240" w:lineRule="auto"/>
              <w:rPr>
                <w:rFonts w:ascii="Arial" w:eastAsia="Times New Roman" w:hAnsi="Arial" w:cs="Arial"/>
                <w:sz w:val="18"/>
                <w:szCs w:val="18"/>
              </w:rPr>
            </w:pPr>
            <w:r>
              <w:rPr>
                <w:rFonts w:ascii="Arial" w:hAnsi="Arial" w:cs="Arial"/>
                <w:sz w:val="18"/>
                <w:szCs w:val="18"/>
              </w:rPr>
              <w:t>39.2</w:t>
            </w:r>
          </w:p>
        </w:tc>
        <w:tc>
          <w:tcPr>
            <w:tcW w:w="1288" w:type="dxa"/>
            <w:shd w:val="clear" w:color="000000" w:fill="FFFFFF"/>
            <w:noWrap/>
            <w:vAlign w:val="center"/>
            <w:hideMark/>
          </w:tcPr>
          <w:p w14:paraId="66152618" w14:textId="77777777" w:rsidR="0058157E" w:rsidRPr="009B1CE8" w:rsidRDefault="0058157E" w:rsidP="003F5081">
            <w:pPr>
              <w:spacing w:after="0" w:line="240" w:lineRule="auto"/>
              <w:rPr>
                <w:rFonts w:ascii="Arial" w:eastAsia="Times New Roman" w:hAnsi="Arial" w:cs="Arial"/>
                <w:sz w:val="18"/>
                <w:szCs w:val="18"/>
              </w:rPr>
            </w:pPr>
            <w:r>
              <w:rPr>
                <w:rFonts w:ascii="Arial" w:hAnsi="Arial" w:cs="Arial"/>
                <w:sz w:val="18"/>
                <w:szCs w:val="18"/>
              </w:rPr>
              <w:t>40.6</w:t>
            </w:r>
          </w:p>
        </w:tc>
        <w:tc>
          <w:tcPr>
            <w:tcW w:w="1006" w:type="dxa"/>
            <w:shd w:val="clear" w:color="000000" w:fill="FFFFFF"/>
            <w:vAlign w:val="center"/>
            <w:hideMark/>
          </w:tcPr>
          <w:p w14:paraId="546356BC" w14:textId="77777777" w:rsidR="0058157E" w:rsidRPr="009B1CE8" w:rsidRDefault="0058157E" w:rsidP="003F5081">
            <w:pPr>
              <w:spacing w:after="0" w:line="240" w:lineRule="auto"/>
              <w:rPr>
                <w:rFonts w:ascii="Arial" w:eastAsia="Times New Roman" w:hAnsi="Arial" w:cs="Arial"/>
                <w:i/>
                <w:iCs/>
                <w:color w:val="000000"/>
                <w:sz w:val="18"/>
                <w:szCs w:val="18"/>
              </w:rPr>
            </w:pPr>
            <w:r>
              <w:rPr>
                <w:rFonts w:ascii="Arial" w:hAnsi="Arial" w:cs="Arial"/>
                <w:i/>
                <w:iCs/>
                <w:color w:val="000000"/>
                <w:sz w:val="18"/>
                <w:szCs w:val="18"/>
              </w:rPr>
              <w:t>3.5%</w:t>
            </w:r>
          </w:p>
        </w:tc>
      </w:tr>
      <w:tr w:rsidR="0058157E" w:rsidRPr="00147EDA" w14:paraId="1FF200CD" w14:textId="77777777" w:rsidTr="003F5081">
        <w:trPr>
          <w:trHeight w:val="286"/>
        </w:trPr>
        <w:tc>
          <w:tcPr>
            <w:tcW w:w="3276" w:type="dxa"/>
            <w:shd w:val="clear" w:color="000000" w:fill="FFFFFF"/>
            <w:noWrap/>
            <w:vAlign w:val="center"/>
            <w:hideMark/>
          </w:tcPr>
          <w:p w14:paraId="55873FC9" w14:textId="77777777" w:rsidR="0058157E" w:rsidRPr="009B1CE8" w:rsidRDefault="0058157E" w:rsidP="003F5081">
            <w:pPr>
              <w:spacing w:after="0" w:line="240" w:lineRule="auto"/>
              <w:rPr>
                <w:rFonts w:ascii="Arial" w:eastAsia="Times New Roman" w:hAnsi="Arial" w:cs="Arial"/>
                <w:sz w:val="18"/>
                <w:szCs w:val="18"/>
              </w:rPr>
            </w:pPr>
            <w:r w:rsidRPr="009B1CE8">
              <w:rPr>
                <w:rFonts w:ascii="Arial" w:eastAsia="Times New Roman" w:hAnsi="Arial" w:cs="Arial"/>
                <w:sz w:val="18"/>
                <w:szCs w:val="18"/>
              </w:rPr>
              <w:t>High Cost Drugs</w:t>
            </w:r>
          </w:p>
        </w:tc>
        <w:tc>
          <w:tcPr>
            <w:tcW w:w="982" w:type="dxa"/>
            <w:shd w:val="clear" w:color="000000" w:fill="FFFFFF"/>
            <w:vAlign w:val="center"/>
            <w:hideMark/>
          </w:tcPr>
          <w:p w14:paraId="40A6F26A" w14:textId="77777777" w:rsidR="0058157E" w:rsidRPr="009B1CE8" w:rsidRDefault="0058157E" w:rsidP="003F5081">
            <w:pPr>
              <w:spacing w:after="0" w:line="240" w:lineRule="auto"/>
              <w:rPr>
                <w:rFonts w:ascii="Arial" w:eastAsia="Times New Roman" w:hAnsi="Arial" w:cs="Arial"/>
                <w:color w:val="000000"/>
                <w:sz w:val="18"/>
                <w:szCs w:val="18"/>
              </w:rPr>
            </w:pPr>
            <w:r>
              <w:rPr>
                <w:rFonts w:ascii="Arial" w:hAnsi="Arial" w:cs="Arial"/>
                <w:color w:val="000000"/>
                <w:sz w:val="18"/>
                <w:szCs w:val="18"/>
              </w:rPr>
              <w:t>28.9</w:t>
            </w:r>
          </w:p>
        </w:tc>
        <w:tc>
          <w:tcPr>
            <w:tcW w:w="1285" w:type="dxa"/>
            <w:shd w:val="clear" w:color="000000" w:fill="FFFFFF"/>
            <w:vAlign w:val="center"/>
            <w:hideMark/>
          </w:tcPr>
          <w:p w14:paraId="5FAEA8AB" w14:textId="77777777" w:rsidR="0058157E" w:rsidRPr="009B1CE8" w:rsidRDefault="0058157E" w:rsidP="003F5081">
            <w:pPr>
              <w:spacing w:after="0" w:line="240" w:lineRule="auto"/>
              <w:rPr>
                <w:rFonts w:ascii="Arial" w:eastAsia="Times New Roman" w:hAnsi="Arial" w:cs="Arial"/>
                <w:color w:val="000000"/>
                <w:sz w:val="18"/>
                <w:szCs w:val="18"/>
              </w:rPr>
            </w:pPr>
            <w:r>
              <w:rPr>
                <w:rFonts w:ascii="Arial" w:hAnsi="Arial" w:cs="Arial"/>
                <w:color w:val="000000"/>
                <w:sz w:val="18"/>
                <w:szCs w:val="18"/>
              </w:rPr>
              <w:t>31.9</w:t>
            </w:r>
          </w:p>
        </w:tc>
        <w:tc>
          <w:tcPr>
            <w:tcW w:w="1285" w:type="dxa"/>
            <w:shd w:val="clear" w:color="000000" w:fill="FFFFFF"/>
            <w:vAlign w:val="center"/>
            <w:hideMark/>
          </w:tcPr>
          <w:p w14:paraId="4A8991FF" w14:textId="77777777" w:rsidR="0058157E" w:rsidRPr="009B1CE8" w:rsidRDefault="0058157E" w:rsidP="003F5081">
            <w:pPr>
              <w:spacing w:after="0" w:line="240" w:lineRule="auto"/>
              <w:rPr>
                <w:rFonts w:ascii="Arial" w:eastAsia="Times New Roman" w:hAnsi="Arial" w:cs="Arial"/>
                <w:color w:val="000000"/>
                <w:sz w:val="18"/>
                <w:szCs w:val="18"/>
              </w:rPr>
            </w:pPr>
            <w:r>
              <w:rPr>
                <w:rFonts w:ascii="Arial" w:hAnsi="Arial" w:cs="Arial"/>
                <w:color w:val="000000"/>
                <w:sz w:val="18"/>
                <w:szCs w:val="18"/>
              </w:rPr>
              <w:t>35.5</w:t>
            </w:r>
          </w:p>
        </w:tc>
        <w:tc>
          <w:tcPr>
            <w:tcW w:w="1288" w:type="dxa"/>
            <w:shd w:val="clear" w:color="000000" w:fill="FFFFFF"/>
            <w:vAlign w:val="center"/>
            <w:hideMark/>
          </w:tcPr>
          <w:p w14:paraId="1AB2B05E" w14:textId="77777777" w:rsidR="0058157E" w:rsidRPr="009B1CE8" w:rsidRDefault="0058157E" w:rsidP="003F5081">
            <w:pPr>
              <w:spacing w:after="0" w:line="240" w:lineRule="auto"/>
              <w:rPr>
                <w:rFonts w:ascii="Arial" w:eastAsia="Times New Roman" w:hAnsi="Arial" w:cs="Arial"/>
                <w:color w:val="000000"/>
                <w:sz w:val="18"/>
                <w:szCs w:val="18"/>
              </w:rPr>
            </w:pPr>
            <w:r>
              <w:rPr>
                <w:rFonts w:ascii="Arial" w:hAnsi="Arial" w:cs="Arial"/>
                <w:color w:val="000000"/>
                <w:sz w:val="18"/>
                <w:szCs w:val="18"/>
              </w:rPr>
              <w:t>38.8</w:t>
            </w:r>
          </w:p>
        </w:tc>
        <w:tc>
          <w:tcPr>
            <w:tcW w:w="1006" w:type="dxa"/>
            <w:shd w:val="clear" w:color="000000" w:fill="FFFFFF"/>
            <w:vAlign w:val="center"/>
            <w:hideMark/>
          </w:tcPr>
          <w:p w14:paraId="5424B9A0" w14:textId="77777777" w:rsidR="0058157E" w:rsidRPr="009B1CE8" w:rsidRDefault="0058157E" w:rsidP="003F5081">
            <w:pPr>
              <w:spacing w:after="0" w:line="240" w:lineRule="auto"/>
              <w:rPr>
                <w:rFonts w:ascii="Arial" w:eastAsia="Times New Roman" w:hAnsi="Arial" w:cs="Arial"/>
                <w:i/>
                <w:iCs/>
                <w:color w:val="000000"/>
                <w:sz w:val="18"/>
                <w:szCs w:val="18"/>
              </w:rPr>
            </w:pPr>
            <w:r>
              <w:rPr>
                <w:rFonts w:ascii="Arial" w:hAnsi="Arial" w:cs="Arial"/>
                <w:i/>
                <w:iCs/>
                <w:color w:val="000000"/>
                <w:sz w:val="18"/>
                <w:szCs w:val="18"/>
              </w:rPr>
              <w:t>10.4%</w:t>
            </w:r>
          </w:p>
        </w:tc>
      </w:tr>
      <w:tr w:rsidR="0058157E" w:rsidRPr="00147EDA" w14:paraId="3E62820D" w14:textId="77777777" w:rsidTr="003F5081">
        <w:trPr>
          <w:trHeight w:val="286"/>
        </w:trPr>
        <w:tc>
          <w:tcPr>
            <w:tcW w:w="3276" w:type="dxa"/>
            <w:shd w:val="clear" w:color="000000" w:fill="FFFFFF"/>
            <w:noWrap/>
            <w:vAlign w:val="center"/>
            <w:hideMark/>
          </w:tcPr>
          <w:p w14:paraId="22156B80" w14:textId="77777777" w:rsidR="0058157E" w:rsidRPr="009B1CE8" w:rsidRDefault="0058157E" w:rsidP="003F5081">
            <w:pPr>
              <w:spacing w:after="0" w:line="240" w:lineRule="auto"/>
              <w:rPr>
                <w:rFonts w:ascii="Arial" w:eastAsia="Times New Roman" w:hAnsi="Arial" w:cs="Arial"/>
                <w:sz w:val="18"/>
                <w:szCs w:val="18"/>
              </w:rPr>
            </w:pPr>
            <w:r w:rsidRPr="009B1CE8">
              <w:rPr>
                <w:rFonts w:ascii="Arial" w:eastAsia="Times New Roman" w:hAnsi="Arial" w:cs="Arial"/>
                <w:sz w:val="18"/>
                <w:szCs w:val="18"/>
              </w:rPr>
              <w:t>Non Elective</w:t>
            </w:r>
          </w:p>
        </w:tc>
        <w:tc>
          <w:tcPr>
            <w:tcW w:w="982" w:type="dxa"/>
            <w:shd w:val="clear" w:color="000000" w:fill="FFFFFF"/>
            <w:vAlign w:val="center"/>
            <w:hideMark/>
          </w:tcPr>
          <w:p w14:paraId="2AC9DBBA" w14:textId="77777777" w:rsidR="0058157E" w:rsidRPr="009B1CE8" w:rsidRDefault="0058157E" w:rsidP="003F5081">
            <w:pPr>
              <w:spacing w:after="0" w:line="240" w:lineRule="auto"/>
              <w:rPr>
                <w:rFonts w:ascii="Arial" w:eastAsia="Times New Roman" w:hAnsi="Arial" w:cs="Arial"/>
                <w:color w:val="000000"/>
                <w:sz w:val="18"/>
                <w:szCs w:val="18"/>
              </w:rPr>
            </w:pPr>
            <w:r>
              <w:rPr>
                <w:rFonts w:ascii="Arial" w:hAnsi="Arial" w:cs="Arial"/>
                <w:color w:val="000000"/>
                <w:sz w:val="18"/>
                <w:szCs w:val="18"/>
              </w:rPr>
              <w:t>5.4</w:t>
            </w:r>
          </w:p>
        </w:tc>
        <w:tc>
          <w:tcPr>
            <w:tcW w:w="1285" w:type="dxa"/>
            <w:shd w:val="clear" w:color="000000" w:fill="FFFFFF"/>
            <w:vAlign w:val="center"/>
            <w:hideMark/>
          </w:tcPr>
          <w:p w14:paraId="1CFF3A53" w14:textId="77777777" w:rsidR="0058157E" w:rsidRPr="009B1CE8" w:rsidRDefault="0058157E" w:rsidP="003F5081">
            <w:pPr>
              <w:spacing w:after="0" w:line="240" w:lineRule="auto"/>
              <w:rPr>
                <w:rFonts w:ascii="Arial" w:eastAsia="Times New Roman" w:hAnsi="Arial" w:cs="Arial"/>
                <w:color w:val="000000"/>
                <w:sz w:val="18"/>
                <w:szCs w:val="18"/>
              </w:rPr>
            </w:pPr>
            <w:r>
              <w:rPr>
                <w:rFonts w:ascii="Arial" w:hAnsi="Arial" w:cs="Arial"/>
                <w:color w:val="000000"/>
                <w:sz w:val="18"/>
                <w:szCs w:val="18"/>
              </w:rPr>
              <w:t>6.1</w:t>
            </w:r>
          </w:p>
        </w:tc>
        <w:tc>
          <w:tcPr>
            <w:tcW w:w="1285" w:type="dxa"/>
            <w:shd w:val="clear" w:color="000000" w:fill="FFFFFF"/>
            <w:vAlign w:val="center"/>
            <w:hideMark/>
          </w:tcPr>
          <w:p w14:paraId="066D4E22" w14:textId="77777777" w:rsidR="0058157E" w:rsidRPr="009B1CE8" w:rsidRDefault="0058157E" w:rsidP="003F5081">
            <w:pPr>
              <w:spacing w:after="0" w:line="240" w:lineRule="auto"/>
              <w:rPr>
                <w:rFonts w:ascii="Arial" w:eastAsia="Times New Roman" w:hAnsi="Arial" w:cs="Arial"/>
                <w:color w:val="000000"/>
                <w:sz w:val="18"/>
                <w:szCs w:val="18"/>
              </w:rPr>
            </w:pPr>
            <w:r>
              <w:rPr>
                <w:rFonts w:ascii="Arial" w:hAnsi="Arial" w:cs="Arial"/>
                <w:color w:val="000000"/>
                <w:sz w:val="18"/>
                <w:szCs w:val="18"/>
              </w:rPr>
              <w:t>5.6</w:t>
            </w:r>
          </w:p>
        </w:tc>
        <w:tc>
          <w:tcPr>
            <w:tcW w:w="1288" w:type="dxa"/>
            <w:shd w:val="clear" w:color="000000" w:fill="FFFFFF"/>
            <w:vAlign w:val="center"/>
            <w:hideMark/>
          </w:tcPr>
          <w:p w14:paraId="2A5B28DF" w14:textId="77777777" w:rsidR="0058157E" w:rsidRPr="009B1CE8" w:rsidRDefault="0058157E" w:rsidP="003F5081">
            <w:pPr>
              <w:spacing w:after="0" w:line="240" w:lineRule="auto"/>
              <w:rPr>
                <w:rFonts w:ascii="Arial" w:eastAsia="Times New Roman" w:hAnsi="Arial" w:cs="Arial"/>
                <w:color w:val="000000"/>
                <w:sz w:val="18"/>
                <w:szCs w:val="18"/>
              </w:rPr>
            </w:pPr>
            <w:r>
              <w:rPr>
                <w:rFonts w:ascii="Arial" w:hAnsi="Arial" w:cs="Arial"/>
                <w:color w:val="000000"/>
                <w:sz w:val="18"/>
                <w:szCs w:val="18"/>
              </w:rPr>
              <w:t>5.6</w:t>
            </w:r>
          </w:p>
        </w:tc>
        <w:tc>
          <w:tcPr>
            <w:tcW w:w="1006" w:type="dxa"/>
            <w:shd w:val="clear" w:color="000000" w:fill="FFFFFF"/>
            <w:vAlign w:val="center"/>
            <w:hideMark/>
          </w:tcPr>
          <w:p w14:paraId="063BC789" w14:textId="77777777" w:rsidR="0058157E" w:rsidRPr="009B1CE8" w:rsidRDefault="0058157E" w:rsidP="003F5081">
            <w:pPr>
              <w:spacing w:after="0" w:line="240" w:lineRule="auto"/>
              <w:rPr>
                <w:rFonts w:ascii="Arial" w:eastAsia="Times New Roman" w:hAnsi="Arial" w:cs="Arial"/>
                <w:i/>
                <w:iCs/>
                <w:color w:val="000000"/>
                <w:sz w:val="18"/>
                <w:szCs w:val="18"/>
              </w:rPr>
            </w:pPr>
            <w:r>
              <w:rPr>
                <w:rFonts w:ascii="Arial" w:hAnsi="Arial" w:cs="Arial"/>
                <w:i/>
                <w:iCs/>
                <w:color w:val="000000"/>
                <w:sz w:val="18"/>
                <w:szCs w:val="18"/>
              </w:rPr>
              <w:t>1.3%</w:t>
            </w:r>
          </w:p>
        </w:tc>
      </w:tr>
      <w:tr w:rsidR="0058157E" w:rsidRPr="00147EDA" w14:paraId="2A84CDE2" w14:textId="77777777" w:rsidTr="003F5081">
        <w:trPr>
          <w:trHeight w:val="286"/>
        </w:trPr>
        <w:tc>
          <w:tcPr>
            <w:tcW w:w="3276" w:type="dxa"/>
            <w:shd w:val="clear" w:color="000000" w:fill="FFFFFF"/>
            <w:noWrap/>
            <w:vAlign w:val="center"/>
            <w:hideMark/>
          </w:tcPr>
          <w:p w14:paraId="6423F7CD" w14:textId="77777777" w:rsidR="0058157E" w:rsidRPr="009B1CE8" w:rsidRDefault="0058157E" w:rsidP="003F5081">
            <w:pPr>
              <w:spacing w:after="0" w:line="240" w:lineRule="auto"/>
              <w:rPr>
                <w:rFonts w:ascii="Arial" w:eastAsia="Times New Roman" w:hAnsi="Arial" w:cs="Arial"/>
                <w:sz w:val="18"/>
                <w:szCs w:val="18"/>
              </w:rPr>
            </w:pPr>
            <w:r w:rsidRPr="009B1CE8">
              <w:rPr>
                <w:rFonts w:ascii="Arial" w:eastAsia="Times New Roman" w:hAnsi="Arial" w:cs="Arial"/>
                <w:sz w:val="18"/>
                <w:szCs w:val="18"/>
              </w:rPr>
              <w:t>Outpatient</w:t>
            </w:r>
          </w:p>
        </w:tc>
        <w:tc>
          <w:tcPr>
            <w:tcW w:w="982" w:type="dxa"/>
            <w:shd w:val="clear" w:color="000000" w:fill="FFFFFF"/>
            <w:vAlign w:val="center"/>
            <w:hideMark/>
          </w:tcPr>
          <w:p w14:paraId="52E64D76" w14:textId="77777777" w:rsidR="0058157E" w:rsidRPr="009B1CE8" w:rsidRDefault="0058157E" w:rsidP="003F5081">
            <w:pPr>
              <w:spacing w:after="0" w:line="240" w:lineRule="auto"/>
              <w:rPr>
                <w:rFonts w:ascii="Arial" w:eastAsia="Times New Roman" w:hAnsi="Arial" w:cs="Arial"/>
                <w:color w:val="000000"/>
                <w:sz w:val="18"/>
                <w:szCs w:val="18"/>
              </w:rPr>
            </w:pPr>
            <w:r>
              <w:rPr>
                <w:rFonts w:ascii="Arial" w:hAnsi="Arial" w:cs="Arial"/>
                <w:color w:val="000000"/>
                <w:sz w:val="18"/>
                <w:szCs w:val="18"/>
              </w:rPr>
              <w:t>62.9</w:t>
            </w:r>
          </w:p>
        </w:tc>
        <w:tc>
          <w:tcPr>
            <w:tcW w:w="1285" w:type="dxa"/>
            <w:shd w:val="clear" w:color="000000" w:fill="FFFFFF"/>
            <w:vAlign w:val="center"/>
            <w:hideMark/>
          </w:tcPr>
          <w:p w14:paraId="68368779" w14:textId="77777777" w:rsidR="0058157E" w:rsidRPr="009B1CE8" w:rsidRDefault="0058157E" w:rsidP="003F5081">
            <w:pPr>
              <w:spacing w:after="0" w:line="240" w:lineRule="auto"/>
              <w:rPr>
                <w:rFonts w:ascii="Arial" w:eastAsia="Times New Roman" w:hAnsi="Arial" w:cs="Arial"/>
                <w:color w:val="000000"/>
                <w:sz w:val="18"/>
                <w:szCs w:val="18"/>
              </w:rPr>
            </w:pPr>
            <w:r>
              <w:rPr>
                <w:rFonts w:ascii="Arial" w:hAnsi="Arial" w:cs="Arial"/>
                <w:color w:val="000000"/>
                <w:sz w:val="18"/>
                <w:szCs w:val="18"/>
              </w:rPr>
              <w:t>61.6</w:t>
            </w:r>
          </w:p>
        </w:tc>
        <w:tc>
          <w:tcPr>
            <w:tcW w:w="1285" w:type="dxa"/>
            <w:shd w:val="clear" w:color="000000" w:fill="FFFFFF"/>
            <w:vAlign w:val="center"/>
            <w:hideMark/>
          </w:tcPr>
          <w:p w14:paraId="0EF82479" w14:textId="77777777" w:rsidR="0058157E" w:rsidRPr="009B1CE8" w:rsidRDefault="0058157E" w:rsidP="003F5081">
            <w:pPr>
              <w:spacing w:after="0" w:line="240" w:lineRule="auto"/>
              <w:rPr>
                <w:rFonts w:ascii="Arial" w:eastAsia="Times New Roman" w:hAnsi="Arial" w:cs="Arial"/>
                <w:color w:val="000000"/>
                <w:sz w:val="18"/>
                <w:szCs w:val="18"/>
              </w:rPr>
            </w:pPr>
            <w:r>
              <w:rPr>
                <w:rFonts w:ascii="Arial" w:hAnsi="Arial" w:cs="Arial"/>
                <w:color w:val="000000"/>
                <w:sz w:val="18"/>
                <w:szCs w:val="18"/>
              </w:rPr>
              <w:t>66.4</w:t>
            </w:r>
          </w:p>
        </w:tc>
        <w:tc>
          <w:tcPr>
            <w:tcW w:w="1288" w:type="dxa"/>
            <w:shd w:val="clear" w:color="000000" w:fill="FFFFFF"/>
            <w:vAlign w:val="center"/>
            <w:hideMark/>
          </w:tcPr>
          <w:p w14:paraId="609BDE91" w14:textId="77777777" w:rsidR="0058157E" w:rsidRPr="009B1CE8" w:rsidRDefault="0058157E" w:rsidP="003F5081">
            <w:pPr>
              <w:spacing w:after="0" w:line="240" w:lineRule="auto"/>
              <w:rPr>
                <w:rFonts w:ascii="Arial" w:eastAsia="Times New Roman" w:hAnsi="Arial" w:cs="Arial"/>
                <w:color w:val="000000"/>
                <w:sz w:val="18"/>
                <w:szCs w:val="18"/>
              </w:rPr>
            </w:pPr>
            <w:r>
              <w:rPr>
                <w:rFonts w:ascii="Arial" w:hAnsi="Arial" w:cs="Arial"/>
                <w:color w:val="000000"/>
                <w:sz w:val="18"/>
                <w:szCs w:val="18"/>
              </w:rPr>
              <w:t>71.2</w:t>
            </w:r>
          </w:p>
        </w:tc>
        <w:tc>
          <w:tcPr>
            <w:tcW w:w="1006" w:type="dxa"/>
            <w:shd w:val="clear" w:color="000000" w:fill="FFFFFF"/>
            <w:vAlign w:val="center"/>
            <w:hideMark/>
          </w:tcPr>
          <w:p w14:paraId="56B64BBF" w14:textId="77777777" w:rsidR="0058157E" w:rsidRPr="009B1CE8" w:rsidRDefault="0058157E" w:rsidP="003F5081">
            <w:pPr>
              <w:spacing w:after="0" w:line="240" w:lineRule="auto"/>
              <w:rPr>
                <w:rFonts w:ascii="Arial" w:eastAsia="Times New Roman" w:hAnsi="Arial" w:cs="Arial"/>
                <w:i/>
                <w:iCs/>
                <w:color w:val="000000"/>
                <w:sz w:val="18"/>
                <w:szCs w:val="18"/>
              </w:rPr>
            </w:pPr>
            <w:r>
              <w:rPr>
                <w:rFonts w:ascii="Arial" w:hAnsi="Arial" w:cs="Arial"/>
                <w:i/>
                <w:iCs/>
                <w:color w:val="000000"/>
                <w:sz w:val="18"/>
                <w:szCs w:val="18"/>
              </w:rPr>
              <w:t>4.2%</w:t>
            </w:r>
          </w:p>
        </w:tc>
      </w:tr>
      <w:tr w:rsidR="0058157E" w:rsidRPr="00147EDA" w14:paraId="6F5F66F0" w14:textId="77777777" w:rsidTr="003F5081">
        <w:trPr>
          <w:trHeight w:val="286"/>
        </w:trPr>
        <w:tc>
          <w:tcPr>
            <w:tcW w:w="3276" w:type="dxa"/>
            <w:shd w:val="clear" w:color="000000" w:fill="FFFFFF"/>
            <w:noWrap/>
            <w:vAlign w:val="center"/>
            <w:hideMark/>
          </w:tcPr>
          <w:p w14:paraId="43DB155E" w14:textId="77777777" w:rsidR="0058157E" w:rsidRPr="009B1CE8" w:rsidRDefault="0058157E" w:rsidP="003F5081">
            <w:pPr>
              <w:spacing w:after="0" w:line="240" w:lineRule="auto"/>
              <w:rPr>
                <w:rFonts w:ascii="Arial" w:eastAsia="Times New Roman" w:hAnsi="Arial" w:cs="Arial"/>
                <w:sz w:val="18"/>
                <w:szCs w:val="18"/>
              </w:rPr>
            </w:pPr>
            <w:r w:rsidRPr="009B1CE8">
              <w:rPr>
                <w:rFonts w:ascii="Arial" w:eastAsia="Times New Roman" w:hAnsi="Arial" w:cs="Arial"/>
                <w:sz w:val="18"/>
                <w:szCs w:val="18"/>
              </w:rPr>
              <w:t>Other NHS Clinical Income</w:t>
            </w:r>
          </w:p>
        </w:tc>
        <w:tc>
          <w:tcPr>
            <w:tcW w:w="982" w:type="dxa"/>
            <w:shd w:val="clear" w:color="000000" w:fill="FFFFFF"/>
            <w:vAlign w:val="center"/>
            <w:hideMark/>
          </w:tcPr>
          <w:p w14:paraId="46CF8ED0" w14:textId="77777777" w:rsidR="0058157E" w:rsidRPr="009B1CE8" w:rsidRDefault="0058157E" w:rsidP="003F5081">
            <w:pPr>
              <w:spacing w:after="0" w:line="240" w:lineRule="auto"/>
              <w:rPr>
                <w:rFonts w:ascii="Arial" w:eastAsia="Times New Roman" w:hAnsi="Arial" w:cs="Arial"/>
                <w:color w:val="000000"/>
                <w:sz w:val="18"/>
                <w:szCs w:val="18"/>
              </w:rPr>
            </w:pPr>
            <w:r>
              <w:rPr>
                <w:rFonts w:ascii="Arial" w:hAnsi="Arial" w:cs="Arial"/>
                <w:color w:val="000000"/>
                <w:sz w:val="18"/>
                <w:szCs w:val="18"/>
              </w:rPr>
              <w:t>18.9</w:t>
            </w:r>
          </w:p>
        </w:tc>
        <w:tc>
          <w:tcPr>
            <w:tcW w:w="1285" w:type="dxa"/>
            <w:shd w:val="clear" w:color="000000" w:fill="FFFFFF"/>
            <w:vAlign w:val="center"/>
            <w:hideMark/>
          </w:tcPr>
          <w:p w14:paraId="23A6AF56" w14:textId="77777777" w:rsidR="0058157E" w:rsidRPr="009B1CE8" w:rsidRDefault="0058157E" w:rsidP="003F5081">
            <w:pPr>
              <w:spacing w:after="0" w:line="240" w:lineRule="auto"/>
              <w:rPr>
                <w:rFonts w:ascii="Arial" w:eastAsia="Times New Roman" w:hAnsi="Arial" w:cs="Arial"/>
                <w:color w:val="000000"/>
                <w:sz w:val="18"/>
                <w:szCs w:val="18"/>
              </w:rPr>
            </w:pPr>
            <w:r>
              <w:rPr>
                <w:rFonts w:ascii="Arial" w:hAnsi="Arial" w:cs="Arial"/>
                <w:color w:val="000000"/>
                <w:sz w:val="18"/>
                <w:szCs w:val="18"/>
              </w:rPr>
              <w:t>16.4</w:t>
            </w:r>
          </w:p>
        </w:tc>
        <w:tc>
          <w:tcPr>
            <w:tcW w:w="1285" w:type="dxa"/>
            <w:shd w:val="clear" w:color="000000" w:fill="FFFFFF"/>
            <w:vAlign w:val="center"/>
            <w:hideMark/>
          </w:tcPr>
          <w:p w14:paraId="4CA12DB0" w14:textId="77777777" w:rsidR="0058157E" w:rsidRPr="009B1CE8" w:rsidRDefault="0058157E" w:rsidP="003F5081">
            <w:pPr>
              <w:spacing w:after="0" w:line="240" w:lineRule="auto"/>
              <w:rPr>
                <w:rFonts w:ascii="Arial" w:eastAsia="Times New Roman" w:hAnsi="Arial" w:cs="Arial"/>
                <w:color w:val="000000"/>
                <w:sz w:val="18"/>
                <w:szCs w:val="18"/>
              </w:rPr>
            </w:pPr>
            <w:r>
              <w:rPr>
                <w:rFonts w:ascii="Arial" w:hAnsi="Arial" w:cs="Arial"/>
                <w:color w:val="000000"/>
                <w:sz w:val="18"/>
                <w:szCs w:val="18"/>
              </w:rPr>
              <w:t>16.1</w:t>
            </w:r>
          </w:p>
        </w:tc>
        <w:tc>
          <w:tcPr>
            <w:tcW w:w="1288" w:type="dxa"/>
            <w:shd w:val="clear" w:color="000000" w:fill="FFFFFF"/>
            <w:vAlign w:val="center"/>
            <w:hideMark/>
          </w:tcPr>
          <w:p w14:paraId="5E62A2A9" w14:textId="77777777" w:rsidR="0058157E" w:rsidRPr="009B1CE8" w:rsidRDefault="0058157E" w:rsidP="003F5081">
            <w:pPr>
              <w:spacing w:after="0" w:line="240" w:lineRule="auto"/>
              <w:rPr>
                <w:rFonts w:ascii="Arial" w:eastAsia="Times New Roman" w:hAnsi="Arial" w:cs="Arial"/>
                <w:color w:val="000000"/>
                <w:sz w:val="18"/>
                <w:szCs w:val="18"/>
              </w:rPr>
            </w:pPr>
            <w:r>
              <w:rPr>
                <w:rFonts w:ascii="Arial" w:hAnsi="Arial" w:cs="Arial"/>
                <w:color w:val="000000"/>
                <w:sz w:val="18"/>
                <w:szCs w:val="18"/>
              </w:rPr>
              <w:t>15.1</w:t>
            </w:r>
          </w:p>
        </w:tc>
        <w:tc>
          <w:tcPr>
            <w:tcW w:w="1006" w:type="dxa"/>
            <w:shd w:val="clear" w:color="000000" w:fill="FFFFFF"/>
            <w:vAlign w:val="center"/>
            <w:hideMark/>
          </w:tcPr>
          <w:p w14:paraId="0907128D" w14:textId="77777777" w:rsidR="0058157E" w:rsidRPr="009B1CE8" w:rsidRDefault="0058157E" w:rsidP="003F5081">
            <w:pPr>
              <w:spacing w:after="0" w:line="240" w:lineRule="auto"/>
              <w:rPr>
                <w:rFonts w:ascii="Arial" w:eastAsia="Times New Roman" w:hAnsi="Arial" w:cs="Arial"/>
                <w:i/>
                <w:iCs/>
                <w:color w:val="000000"/>
                <w:sz w:val="18"/>
                <w:szCs w:val="18"/>
              </w:rPr>
            </w:pPr>
            <w:r>
              <w:rPr>
                <w:rFonts w:ascii="Arial" w:hAnsi="Arial" w:cs="Arial"/>
                <w:i/>
                <w:iCs/>
                <w:color w:val="000000"/>
                <w:sz w:val="18"/>
                <w:szCs w:val="18"/>
              </w:rPr>
              <w:t>-7.2%</w:t>
            </w:r>
          </w:p>
        </w:tc>
      </w:tr>
      <w:tr w:rsidR="0058157E" w:rsidRPr="00147EDA" w14:paraId="30387CB5" w14:textId="77777777" w:rsidTr="003F5081">
        <w:trPr>
          <w:trHeight w:val="286"/>
        </w:trPr>
        <w:tc>
          <w:tcPr>
            <w:tcW w:w="3276" w:type="dxa"/>
            <w:shd w:val="clear" w:color="000000" w:fill="FFFFFF"/>
            <w:noWrap/>
            <w:vAlign w:val="center"/>
            <w:hideMark/>
          </w:tcPr>
          <w:p w14:paraId="39FCFC79" w14:textId="77777777" w:rsidR="0058157E" w:rsidRPr="009B1CE8" w:rsidRDefault="0058157E" w:rsidP="003F5081">
            <w:pPr>
              <w:spacing w:after="0" w:line="240" w:lineRule="auto"/>
              <w:rPr>
                <w:rFonts w:ascii="Arial" w:eastAsia="Times New Roman" w:hAnsi="Arial" w:cs="Arial"/>
                <w:b/>
                <w:bCs/>
                <w:sz w:val="18"/>
                <w:szCs w:val="18"/>
              </w:rPr>
            </w:pPr>
            <w:r w:rsidRPr="009B1CE8">
              <w:rPr>
                <w:rFonts w:ascii="Arial" w:eastAsia="Times New Roman" w:hAnsi="Arial" w:cs="Arial"/>
                <w:b/>
                <w:bCs/>
                <w:sz w:val="18"/>
                <w:szCs w:val="18"/>
              </w:rPr>
              <w:t>Total NHS Clinical income</w:t>
            </w:r>
          </w:p>
        </w:tc>
        <w:tc>
          <w:tcPr>
            <w:tcW w:w="982" w:type="dxa"/>
            <w:shd w:val="clear" w:color="000000" w:fill="FFFFFF"/>
            <w:vAlign w:val="center"/>
            <w:hideMark/>
          </w:tcPr>
          <w:p w14:paraId="396E8E64" w14:textId="77777777" w:rsidR="0058157E" w:rsidRPr="002408B0" w:rsidRDefault="0058157E" w:rsidP="003F5081">
            <w:pPr>
              <w:spacing w:after="0" w:line="240" w:lineRule="auto"/>
              <w:rPr>
                <w:rFonts w:ascii="Arial" w:eastAsia="Times New Roman" w:hAnsi="Arial" w:cs="Arial"/>
                <w:b/>
                <w:color w:val="000000"/>
                <w:sz w:val="18"/>
                <w:szCs w:val="18"/>
              </w:rPr>
            </w:pPr>
            <w:r>
              <w:rPr>
                <w:rFonts w:ascii="Arial" w:hAnsi="Arial" w:cs="Arial"/>
                <w:b/>
                <w:bCs/>
                <w:color w:val="000000"/>
                <w:sz w:val="18"/>
                <w:szCs w:val="18"/>
              </w:rPr>
              <w:t>163.4</w:t>
            </w:r>
          </w:p>
        </w:tc>
        <w:tc>
          <w:tcPr>
            <w:tcW w:w="1285" w:type="dxa"/>
            <w:shd w:val="clear" w:color="000000" w:fill="FFFFFF"/>
            <w:vAlign w:val="center"/>
            <w:hideMark/>
          </w:tcPr>
          <w:p w14:paraId="61596366" w14:textId="77777777" w:rsidR="0058157E" w:rsidRPr="002408B0" w:rsidRDefault="0058157E" w:rsidP="003F5081">
            <w:pPr>
              <w:spacing w:after="0" w:line="240" w:lineRule="auto"/>
              <w:rPr>
                <w:rFonts w:ascii="Arial" w:eastAsia="Times New Roman" w:hAnsi="Arial" w:cs="Arial"/>
                <w:b/>
                <w:color w:val="000000"/>
                <w:sz w:val="18"/>
                <w:szCs w:val="18"/>
              </w:rPr>
            </w:pPr>
            <w:r>
              <w:rPr>
                <w:rFonts w:ascii="Arial" w:hAnsi="Arial" w:cs="Arial"/>
                <w:b/>
                <w:bCs/>
                <w:color w:val="000000"/>
                <w:sz w:val="18"/>
                <w:szCs w:val="18"/>
              </w:rPr>
              <w:t>164.9</w:t>
            </w:r>
          </w:p>
        </w:tc>
        <w:tc>
          <w:tcPr>
            <w:tcW w:w="1285" w:type="dxa"/>
            <w:shd w:val="clear" w:color="000000" w:fill="FFFFFF"/>
            <w:vAlign w:val="center"/>
            <w:hideMark/>
          </w:tcPr>
          <w:p w14:paraId="3D472E6D" w14:textId="77777777" w:rsidR="0058157E" w:rsidRPr="002408B0" w:rsidRDefault="0058157E" w:rsidP="003F5081">
            <w:pPr>
              <w:spacing w:after="0" w:line="240" w:lineRule="auto"/>
              <w:rPr>
                <w:rFonts w:ascii="Arial" w:eastAsia="Times New Roman" w:hAnsi="Arial" w:cs="Arial"/>
                <w:b/>
                <w:color w:val="000000"/>
                <w:sz w:val="18"/>
                <w:szCs w:val="18"/>
              </w:rPr>
            </w:pPr>
            <w:r>
              <w:rPr>
                <w:rFonts w:ascii="Arial" w:hAnsi="Arial" w:cs="Arial"/>
                <w:b/>
                <w:bCs/>
                <w:color w:val="000000"/>
                <w:sz w:val="18"/>
                <w:szCs w:val="18"/>
              </w:rPr>
              <w:t>174.1</w:t>
            </w:r>
          </w:p>
        </w:tc>
        <w:tc>
          <w:tcPr>
            <w:tcW w:w="1288" w:type="dxa"/>
            <w:shd w:val="clear" w:color="000000" w:fill="FFFFFF"/>
            <w:vAlign w:val="center"/>
            <w:hideMark/>
          </w:tcPr>
          <w:p w14:paraId="6ECCD46D" w14:textId="77777777" w:rsidR="0058157E" w:rsidRPr="002408B0" w:rsidRDefault="0058157E" w:rsidP="003F5081">
            <w:pPr>
              <w:spacing w:after="0" w:line="240" w:lineRule="auto"/>
              <w:rPr>
                <w:rFonts w:ascii="Arial" w:eastAsia="Times New Roman" w:hAnsi="Arial" w:cs="Arial"/>
                <w:b/>
                <w:color w:val="000000"/>
                <w:sz w:val="18"/>
                <w:szCs w:val="18"/>
              </w:rPr>
            </w:pPr>
            <w:r>
              <w:rPr>
                <w:rFonts w:ascii="Arial" w:hAnsi="Arial" w:cs="Arial"/>
                <w:b/>
                <w:bCs/>
                <w:color w:val="000000"/>
                <w:sz w:val="18"/>
                <w:szCs w:val="18"/>
              </w:rPr>
              <w:t>187.1</w:t>
            </w:r>
          </w:p>
        </w:tc>
        <w:tc>
          <w:tcPr>
            <w:tcW w:w="1006" w:type="dxa"/>
            <w:shd w:val="clear" w:color="000000" w:fill="FFFFFF"/>
            <w:vAlign w:val="center"/>
            <w:hideMark/>
          </w:tcPr>
          <w:p w14:paraId="42FE48B7" w14:textId="77777777" w:rsidR="0058157E" w:rsidRPr="009B1CE8" w:rsidRDefault="0058157E" w:rsidP="003F5081">
            <w:pPr>
              <w:spacing w:after="0" w:line="240" w:lineRule="auto"/>
              <w:rPr>
                <w:rFonts w:ascii="Arial" w:eastAsia="Times New Roman" w:hAnsi="Arial" w:cs="Arial"/>
                <w:b/>
                <w:bCs/>
                <w:i/>
                <w:iCs/>
                <w:color w:val="000000"/>
                <w:sz w:val="18"/>
                <w:szCs w:val="18"/>
              </w:rPr>
            </w:pPr>
            <w:r>
              <w:rPr>
                <w:rFonts w:ascii="Arial" w:hAnsi="Arial" w:cs="Arial"/>
                <w:b/>
                <w:bCs/>
                <w:i/>
                <w:iCs/>
                <w:color w:val="000000"/>
                <w:sz w:val="18"/>
                <w:szCs w:val="18"/>
              </w:rPr>
              <w:t>4.6%</w:t>
            </w:r>
          </w:p>
        </w:tc>
      </w:tr>
      <w:tr w:rsidR="0058157E" w:rsidRPr="00147EDA" w14:paraId="472EB7D2" w14:textId="77777777" w:rsidTr="003F5081">
        <w:trPr>
          <w:trHeight w:val="286"/>
        </w:trPr>
        <w:tc>
          <w:tcPr>
            <w:tcW w:w="3276" w:type="dxa"/>
            <w:shd w:val="clear" w:color="000000" w:fill="FFFFFF"/>
            <w:noWrap/>
            <w:vAlign w:val="center"/>
            <w:hideMark/>
          </w:tcPr>
          <w:p w14:paraId="0214F8A2" w14:textId="77777777" w:rsidR="0058157E" w:rsidRPr="009B1CE8" w:rsidRDefault="0058157E" w:rsidP="003F5081">
            <w:pPr>
              <w:spacing w:after="0" w:line="240" w:lineRule="auto"/>
              <w:rPr>
                <w:rFonts w:ascii="Arial" w:eastAsia="Times New Roman" w:hAnsi="Arial" w:cs="Arial"/>
                <w:i/>
                <w:iCs/>
                <w:color w:val="000000"/>
                <w:sz w:val="18"/>
                <w:szCs w:val="18"/>
              </w:rPr>
            </w:pPr>
            <w:r w:rsidRPr="009B1CE8">
              <w:rPr>
                <w:rFonts w:ascii="Arial" w:eastAsia="Times New Roman" w:hAnsi="Arial" w:cs="Arial"/>
                <w:i/>
                <w:iCs/>
                <w:color w:val="000000"/>
                <w:sz w:val="18"/>
                <w:szCs w:val="18"/>
              </w:rPr>
              <w:t>Annual growth</w:t>
            </w:r>
          </w:p>
        </w:tc>
        <w:tc>
          <w:tcPr>
            <w:tcW w:w="982" w:type="dxa"/>
            <w:shd w:val="clear" w:color="000000" w:fill="FFFFFF"/>
            <w:vAlign w:val="center"/>
            <w:hideMark/>
          </w:tcPr>
          <w:p w14:paraId="79932043" w14:textId="77777777" w:rsidR="0058157E" w:rsidRPr="009B1CE8" w:rsidRDefault="0058157E" w:rsidP="003F5081">
            <w:pPr>
              <w:spacing w:after="0" w:line="240" w:lineRule="auto"/>
              <w:rPr>
                <w:rFonts w:ascii="Arial" w:eastAsia="Times New Roman" w:hAnsi="Arial" w:cs="Arial"/>
                <w:color w:val="000000"/>
                <w:sz w:val="18"/>
                <w:szCs w:val="18"/>
              </w:rPr>
            </w:pPr>
            <w:r>
              <w:rPr>
                <w:rFonts w:ascii="Arial" w:hAnsi="Arial" w:cs="Arial"/>
                <w:color w:val="000000"/>
                <w:sz w:val="18"/>
                <w:szCs w:val="18"/>
              </w:rPr>
              <w:t> </w:t>
            </w:r>
          </w:p>
        </w:tc>
        <w:tc>
          <w:tcPr>
            <w:tcW w:w="1285" w:type="dxa"/>
            <w:shd w:val="clear" w:color="000000" w:fill="FFFFFF"/>
            <w:noWrap/>
            <w:vAlign w:val="center"/>
            <w:hideMark/>
          </w:tcPr>
          <w:p w14:paraId="1C499A23" w14:textId="77777777" w:rsidR="0058157E" w:rsidRPr="009B1CE8" w:rsidRDefault="0058157E" w:rsidP="003F5081">
            <w:pPr>
              <w:spacing w:after="0" w:line="240" w:lineRule="auto"/>
              <w:rPr>
                <w:rFonts w:ascii="Arial" w:eastAsia="Times New Roman" w:hAnsi="Arial" w:cs="Arial"/>
                <w:i/>
                <w:iCs/>
                <w:color w:val="000000"/>
                <w:sz w:val="18"/>
                <w:szCs w:val="18"/>
              </w:rPr>
            </w:pPr>
            <w:r>
              <w:rPr>
                <w:rFonts w:ascii="Arial" w:hAnsi="Arial" w:cs="Arial"/>
                <w:i/>
                <w:iCs/>
                <w:color w:val="000000"/>
                <w:sz w:val="18"/>
                <w:szCs w:val="18"/>
              </w:rPr>
              <w:t>0.9%</w:t>
            </w:r>
          </w:p>
        </w:tc>
        <w:tc>
          <w:tcPr>
            <w:tcW w:w="1285" w:type="dxa"/>
            <w:shd w:val="clear" w:color="000000" w:fill="FFFFFF"/>
            <w:vAlign w:val="center"/>
            <w:hideMark/>
          </w:tcPr>
          <w:p w14:paraId="4EAAFB91" w14:textId="77777777" w:rsidR="0058157E" w:rsidRPr="009B1CE8" w:rsidRDefault="0058157E" w:rsidP="003F5081">
            <w:pPr>
              <w:spacing w:after="0" w:line="240" w:lineRule="auto"/>
              <w:rPr>
                <w:rFonts w:ascii="Arial" w:eastAsia="Times New Roman" w:hAnsi="Arial" w:cs="Arial"/>
                <w:i/>
                <w:iCs/>
                <w:color w:val="000000"/>
                <w:sz w:val="18"/>
                <w:szCs w:val="18"/>
              </w:rPr>
            </w:pPr>
            <w:r>
              <w:rPr>
                <w:rFonts w:ascii="Arial" w:hAnsi="Arial" w:cs="Arial"/>
                <w:i/>
                <w:iCs/>
                <w:color w:val="000000"/>
                <w:sz w:val="18"/>
                <w:szCs w:val="18"/>
              </w:rPr>
              <w:t>5.6%</w:t>
            </w:r>
          </w:p>
        </w:tc>
        <w:tc>
          <w:tcPr>
            <w:tcW w:w="1288" w:type="dxa"/>
            <w:shd w:val="clear" w:color="000000" w:fill="FFFFFF"/>
            <w:vAlign w:val="center"/>
            <w:hideMark/>
          </w:tcPr>
          <w:p w14:paraId="1081D520" w14:textId="77777777" w:rsidR="0058157E" w:rsidRPr="009B1CE8" w:rsidRDefault="0058157E" w:rsidP="003F5081">
            <w:pPr>
              <w:spacing w:after="0" w:line="240" w:lineRule="auto"/>
              <w:rPr>
                <w:rFonts w:ascii="Arial" w:eastAsia="Times New Roman" w:hAnsi="Arial" w:cs="Arial"/>
                <w:i/>
                <w:iCs/>
                <w:color w:val="000000"/>
                <w:sz w:val="18"/>
                <w:szCs w:val="18"/>
              </w:rPr>
            </w:pPr>
            <w:r>
              <w:rPr>
                <w:rFonts w:ascii="Arial" w:hAnsi="Arial" w:cs="Arial"/>
                <w:i/>
                <w:iCs/>
                <w:color w:val="000000"/>
                <w:sz w:val="18"/>
                <w:szCs w:val="18"/>
              </w:rPr>
              <w:t>7.5%</w:t>
            </w:r>
          </w:p>
        </w:tc>
        <w:tc>
          <w:tcPr>
            <w:tcW w:w="1006" w:type="dxa"/>
            <w:shd w:val="clear" w:color="000000" w:fill="FFFFFF"/>
            <w:vAlign w:val="center"/>
            <w:hideMark/>
          </w:tcPr>
          <w:p w14:paraId="5FD9F23B" w14:textId="77777777" w:rsidR="0058157E" w:rsidRPr="009B1CE8" w:rsidRDefault="0058157E" w:rsidP="003F5081">
            <w:pPr>
              <w:spacing w:after="0" w:line="240" w:lineRule="auto"/>
              <w:rPr>
                <w:rFonts w:ascii="Arial" w:eastAsia="Times New Roman" w:hAnsi="Arial" w:cs="Arial"/>
                <w:b/>
                <w:bCs/>
                <w:i/>
                <w:iCs/>
                <w:color w:val="000000"/>
                <w:sz w:val="18"/>
                <w:szCs w:val="18"/>
              </w:rPr>
            </w:pPr>
            <w:r>
              <w:rPr>
                <w:rFonts w:ascii="Arial" w:hAnsi="Arial" w:cs="Arial"/>
                <w:b/>
                <w:bCs/>
                <w:i/>
                <w:iCs/>
                <w:color w:val="000000"/>
                <w:sz w:val="18"/>
                <w:szCs w:val="18"/>
              </w:rPr>
              <w:t> </w:t>
            </w:r>
          </w:p>
        </w:tc>
      </w:tr>
      <w:tr w:rsidR="0058157E" w:rsidRPr="00147EDA" w14:paraId="254E300E" w14:textId="77777777" w:rsidTr="003F5081">
        <w:trPr>
          <w:trHeight w:val="286"/>
        </w:trPr>
        <w:tc>
          <w:tcPr>
            <w:tcW w:w="3276" w:type="dxa"/>
            <w:shd w:val="clear" w:color="000000" w:fill="FFFFFF"/>
            <w:noWrap/>
            <w:vAlign w:val="center"/>
            <w:hideMark/>
          </w:tcPr>
          <w:p w14:paraId="664ECCD4" w14:textId="77777777" w:rsidR="0058157E" w:rsidRPr="009B1CE8" w:rsidRDefault="0058157E" w:rsidP="003F5081">
            <w:pPr>
              <w:spacing w:after="0" w:line="240" w:lineRule="auto"/>
              <w:rPr>
                <w:rFonts w:ascii="Arial" w:eastAsia="Times New Roman" w:hAnsi="Arial" w:cs="Arial"/>
                <w:b/>
                <w:bCs/>
                <w:sz w:val="18"/>
                <w:szCs w:val="18"/>
              </w:rPr>
            </w:pPr>
            <w:r w:rsidRPr="009B1CE8">
              <w:rPr>
                <w:rFonts w:ascii="Arial" w:eastAsia="Times New Roman" w:hAnsi="Arial" w:cs="Arial"/>
                <w:b/>
                <w:bCs/>
                <w:sz w:val="18"/>
                <w:szCs w:val="18"/>
              </w:rPr>
              <w:t>Total excl. high cost drugs/</w:t>
            </w:r>
            <w:r>
              <w:rPr>
                <w:rFonts w:ascii="Arial" w:eastAsia="Times New Roman" w:hAnsi="Arial" w:cs="Arial"/>
                <w:b/>
                <w:bCs/>
                <w:sz w:val="18"/>
                <w:szCs w:val="18"/>
              </w:rPr>
              <w:t xml:space="preserve"> </w:t>
            </w:r>
            <w:r w:rsidRPr="009B1CE8">
              <w:rPr>
                <w:rFonts w:ascii="Arial" w:eastAsia="Times New Roman" w:hAnsi="Arial" w:cs="Arial"/>
                <w:b/>
                <w:bCs/>
                <w:sz w:val="18"/>
                <w:szCs w:val="18"/>
              </w:rPr>
              <w:t>injections</w:t>
            </w:r>
          </w:p>
        </w:tc>
        <w:tc>
          <w:tcPr>
            <w:tcW w:w="982" w:type="dxa"/>
            <w:shd w:val="clear" w:color="000000" w:fill="FFFFFF"/>
            <w:vAlign w:val="center"/>
            <w:hideMark/>
          </w:tcPr>
          <w:p w14:paraId="7814BD2D" w14:textId="77777777" w:rsidR="0058157E" w:rsidRPr="002408B0" w:rsidRDefault="0058157E" w:rsidP="003F5081">
            <w:pPr>
              <w:spacing w:after="0" w:line="240" w:lineRule="auto"/>
              <w:rPr>
                <w:rFonts w:ascii="Arial" w:eastAsia="Times New Roman" w:hAnsi="Arial" w:cs="Arial"/>
                <w:b/>
                <w:color w:val="000000"/>
                <w:sz w:val="18"/>
                <w:szCs w:val="18"/>
              </w:rPr>
            </w:pPr>
            <w:r>
              <w:rPr>
                <w:rFonts w:ascii="Arial" w:hAnsi="Arial" w:cs="Arial"/>
                <w:color w:val="000000"/>
                <w:sz w:val="18"/>
                <w:szCs w:val="18"/>
              </w:rPr>
              <w:t>134.5</w:t>
            </w:r>
          </w:p>
        </w:tc>
        <w:tc>
          <w:tcPr>
            <w:tcW w:w="1285" w:type="dxa"/>
            <w:shd w:val="clear" w:color="000000" w:fill="FFFFFF"/>
            <w:vAlign w:val="center"/>
            <w:hideMark/>
          </w:tcPr>
          <w:p w14:paraId="4EAA5139" w14:textId="77777777" w:rsidR="0058157E" w:rsidRPr="002408B0" w:rsidRDefault="0058157E" w:rsidP="003F5081">
            <w:pPr>
              <w:spacing w:after="0" w:line="240" w:lineRule="auto"/>
              <w:rPr>
                <w:rFonts w:ascii="Arial" w:eastAsia="Times New Roman" w:hAnsi="Arial" w:cs="Arial"/>
                <w:b/>
                <w:color w:val="000000"/>
                <w:sz w:val="18"/>
                <w:szCs w:val="18"/>
              </w:rPr>
            </w:pPr>
            <w:r>
              <w:rPr>
                <w:rFonts w:ascii="Arial" w:hAnsi="Arial" w:cs="Arial"/>
                <w:color w:val="000000"/>
                <w:sz w:val="18"/>
                <w:szCs w:val="18"/>
              </w:rPr>
              <w:t>133.0</w:t>
            </w:r>
          </w:p>
        </w:tc>
        <w:tc>
          <w:tcPr>
            <w:tcW w:w="1285" w:type="dxa"/>
            <w:shd w:val="clear" w:color="000000" w:fill="FFFFFF"/>
            <w:vAlign w:val="center"/>
            <w:hideMark/>
          </w:tcPr>
          <w:p w14:paraId="76FAC481" w14:textId="77777777" w:rsidR="0058157E" w:rsidRPr="002408B0" w:rsidRDefault="0058157E" w:rsidP="003F5081">
            <w:pPr>
              <w:spacing w:after="0" w:line="240" w:lineRule="auto"/>
              <w:rPr>
                <w:rFonts w:ascii="Arial" w:eastAsia="Times New Roman" w:hAnsi="Arial" w:cs="Arial"/>
                <w:b/>
                <w:color w:val="000000"/>
                <w:sz w:val="18"/>
                <w:szCs w:val="18"/>
              </w:rPr>
            </w:pPr>
            <w:r>
              <w:rPr>
                <w:rFonts w:ascii="Arial" w:hAnsi="Arial" w:cs="Arial"/>
                <w:color w:val="000000"/>
                <w:sz w:val="18"/>
                <w:szCs w:val="18"/>
              </w:rPr>
              <w:t>138.5</w:t>
            </w:r>
          </w:p>
        </w:tc>
        <w:tc>
          <w:tcPr>
            <w:tcW w:w="1288" w:type="dxa"/>
            <w:shd w:val="clear" w:color="000000" w:fill="FFFFFF"/>
            <w:vAlign w:val="center"/>
            <w:hideMark/>
          </w:tcPr>
          <w:p w14:paraId="0D51900A" w14:textId="77777777" w:rsidR="0058157E" w:rsidRPr="002408B0" w:rsidRDefault="0058157E" w:rsidP="003F5081">
            <w:pPr>
              <w:spacing w:after="0" w:line="240" w:lineRule="auto"/>
              <w:rPr>
                <w:rFonts w:ascii="Arial" w:eastAsia="Times New Roman" w:hAnsi="Arial" w:cs="Arial"/>
                <w:b/>
                <w:color w:val="000000"/>
                <w:sz w:val="18"/>
                <w:szCs w:val="18"/>
              </w:rPr>
            </w:pPr>
            <w:r>
              <w:rPr>
                <w:rFonts w:ascii="Arial" w:hAnsi="Arial" w:cs="Arial"/>
                <w:color w:val="000000"/>
                <w:sz w:val="18"/>
                <w:szCs w:val="18"/>
              </w:rPr>
              <w:t>148.3</w:t>
            </w:r>
          </w:p>
        </w:tc>
        <w:tc>
          <w:tcPr>
            <w:tcW w:w="1006" w:type="dxa"/>
            <w:shd w:val="clear" w:color="000000" w:fill="FFFFFF"/>
            <w:vAlign w:val="center"/>
            <w:hideMark/>
          </w:tcPr>
          <w:p w14:paraId="0D0F76D3" w14:textId="77777777" w:rsidR="0058157E" w:rsidRPr="009B1CE8" w:rsidRDefault="0058157E" w:rsidP="003F5081">
            <w:pPr>
              <w:spacing w:after="0" w:line="240" w:lineRule="auto"/>
              <w:rPr>
                <w:rFonts w:ascii="Arial" w:eastAsia="Times New Roman" w:hAnsi="Arial" w:cs="Arial"/>
                <w:b/>
                <w:bCs/>
                <w:i/>
                <w:iCs/>
                <w:color w:val="000000"/>
                <w:sz w:val="18"/>
                <w:szCs w:val="18"/>
              </w:rPr>
            </w:pPr>
            <w:r>
              <w:rPr>
                <w:rFonts w:ascii="Arial" w:hAnsi="Arial" w:cs="Arial"/>
                <w:b/>
                <w:bCs/>
                <w:i/>
                <w:iCs/>
                <w:color w:val="000000"/>
                <w:sz w:val="18"/>
                <w:szCs w:val="18"/>
              </w:rPr>
              <w:t>3.3%</w:t>
            </w:r>
          </w:p>
        </w:tc>
      </w:tr>
      <w:tr w:rsidR="0058157E" w:rsidRPr="00147EDA" w14:paraId="1BF0F265" w14:textId="77777777" w:rsidTr="003F5081">
        <w:trPr>
          <w:trHeight w:val="286"/>
        </w:trPr>
        <w:tc>
          <w:tcPr>
            <w:tcW w:w="3276" w:type="dxa"/>
            <w:shd w:val="clear" w:color="000000" w:fill="FFFFFF"/>
            <w:noWrap/>
            <w:vAlign w:val="center"/>
            <w:hideMark/>
          </w:tcPr>
          <w:p w14:paraId="439653CA" w14:textId="77777777" w:rsidR="0058157E" w:rsidRPr="009B1CE8" w:rsidRDefault="0058157E" w:rsidP="003F5081">
            <w:pPr>
              <w:spacing w:after="0" w:line="240" w:lineRule="auto"/>
              <w:rPr>
                <w:rFonts w:ascii="Arial" w:eastAsia="Times New Roman" w:hAnsi="Arial" w:cs="Arial"/>
                <w:i/>
                <w:iCs/>
                <w:color w:val="000000"/>
                <w:sz w:val="18"/>
                <w:szCs w:val="18"/>
              </w:rPr>
            </w:pPr>
            <w:r w:rsidRPr="009B1CE8">
              <w:rPr>
                <w:rFonts w:ascii="Arial" w:eastAsia="Times New Roman" w:hAnsi="Arial" w:cs="Arial"/>
                <w:i/>
                <w:iCs/>
                <w:color w:val="000000"/>
                <w:sz w:val="18"/>
                <w:szCs w:val="18"/>
              </w:rPr>
              <w:t>Annual growth</w:t>
            </w:r>
          </w:p>
        </w:tc>
        <w:tc>
          <w:tcPr>
            <w:tcW w:w="982" w:type="dxa"/>
            <w:shd w:val="clear" w:color="000000" w:fill="FFFFFF"/>
            <w:vAlign w:val="center"/>
            <w:hideMark/>
          </w:tcPr>
          <w:p w14:paraId="791949E4" w14:textId="77777777" w:rsidR="0058157E" w:rsidRPr="009B1CE8" w:rsidRDefault="0058157E" w:rsidP="003F5081">
            <w:pPr>
              <w:spacing w:after="0" w:line="240" w:lineRule="auto"/>
              <w:rPr>
                <w:rFonts w:ascii="Arial" w:eastAsia="Times New Roman" w:hAnsi="Arial" w:cs="Arial"/>
                <w:color w:val="000000"/>
                <w:sz w:val="18"/>
                <w:szCs w:val="18"/>
              </w:rPr>
            </w:pPr>
            <w:r>
              <w:rPr>
                <w:rFonts w:ascii="Arial" w:hAnsi="Arial" w:cs="Arial"/>
                <w:color w:val="000000"/>
                <w:sz w:val="18"/>
                <w:szCs w:val="18"/>
              </w:rPr>
              <w:t> </w:t>
            </w:r>
          </w:p>
        </w:tc>
        <w:tc>
          <w:tcPr>
            <w:tcW w:w="1285" w:type="dxa"/>
            <w:shd w:val="clear" w:color="000000" w:fill="FFFFFF"/>
            <w:noWrap/>
            <w:vAlign w:val="center"/>
            <w:hideMark/>
          </w:tcPr>
          <w:p w14:paraId="5A34A40A" w14:textId="77777777" w:rsidR="0058157E" w:rsidRPr="009B1CE8" w:rsidRDefault="0058157E" w:rsidP="003F5081">
            <w:pPr>
              <w:spacing w:after="0" w:line="240" w:lineRule="auto"/>
              <w:rPr>
                <w:rFonts w:ascii="Arial" w:eastAsia="Times New Roman" w:hAnsi="Arial" w:cs="Arial"/>
                <w:i/>
                <w:iCs/>
                <w:color w:val="000000"/>
                <w:sz w:val="18"/>
                <w:szCs w:val="18"/>
              </w:rPr>
            </w:pPr>
            <w:r>
              <w:rPr>
                <w:rFonts w:ascii="Arial" w:hAnsi="Arial" w:cs="Arial"/>
                <w:i/>
                <w:iCs/>
                <w:color w:val="000000"/>
                <w:sz w:val="18"/>
                <w:szCs w:val="18"/>
              </w:rPr>
              <w:t>-1.1%</w:t>
            </w:r>
          </w:p>
        </w:tc>
        <w:tc>
          <w:tcPr>
            <w:tcW w:w="1285" w:type="dxa"/>
            <w:shd w:val="clear" w:color="000000" w:fill="FFFFFF"/>
            <w:vAlign w:val="center"/>
            <w:hideMark/>
          </w:tcPr>
          <w:p w14:paraId="30860959" w14:textId="77777777" w:rsidR="0058157E" w:rsidRPr="009B1CE8" w:rsidRDefault="0058157E" w:rsidP="003F5081">
            <w:pPr>
              <w:spacing w:after="0" w:line="240" w:lineRule="auto"/>
              <w:rPr>
                <w:rFonts w:ascii="Arial" w:eastAsia="Times New Roman" w:hAnsi="Arial" w:cs="Arial"/>
                <w:i/>
                <w:iCs/>
                <w:color w:val="000000"/>
                <w:sz w:val="18"/>
                <w:szCs w:val="18"/>
              </w:rPr>
            </w:pPr>
            <w:r>
              <w:rPr>
                <w:rFonts w:ascii="Arial" w:hAnsi="Arial" w:cs="Arial"/>
                <w:i/>
                <w:iCs/>
                <w:color w:val="000000"/>
                <w:sz w:val="18"/>
                <w:szCs w:val="18"/>
              </w:rPr>
              <w:t>4.2%</w:t>
            </w:r>
          </w:p>
        </w:tc>
        <w:tc>
          <w:tcPr>
            <w:tcW w:w="1288" w:type="dxa"/>
            <w:shd w:val="clear" w:color="000000" w:fill="FFFFFF"/>
            <w:vAlign w:val="center"/>
            <w:hideMark/>
          </w:tcPr>
          <w:p w14:paraId="21215C86" w14:textId="77777777" w:rsidR="0058157E" w:rsidRPr="009B1CE8" w:rsidRDefault="0058157E" w:rsidP="003F5081">
            <w:pPr>
              <w:spacing w:after="0" w:line="240" w:lineRule="auto"/>
              <w:rPr>
                <w:rFonts w:ascii="Arial" w:eastAsia="Times New Roman" w:hAnsi="Arial" w:cs="Arial"/>
                <w:i/>
                <w:iCs/>
                <w:color w:val="000000"/>
                <w:sz w:val="18"/>
                <w:szCs w:val="18"/>
              </w:rPr>
            </w:pPr>
            <w:r>
              <w:rPr>
                <w:rFonts w:ascii="Arial" w:hAnsi="Arial" w:cs="Arial"/>
                <w:i/>
                <w:iCs/>
                <w:color w:val="000000"/>
                <w:sz w:val="18"/>
                <w:szCs w:val="18"/>
              </w:rPr>
              <w:t>7.0%</w:t>
            </w:r>
          </w:p>
        </w:tc>
        <w:tc>
          <w:tcPr>
            <w:tcW w:w="1006" w:type="dxa"/>
            <w:shd w:val="clear" w:color="000000" w:fill="FFFFFF"/>
            <w:vAlign w:val="center"/>
            <w:hideMark/>
          </w:tcPr>
          <w:p w14:paraId="17E73535" w14:textId="77777777" w:rsidR="0058157E" w:rsidRPr="009B1CE8" w:rsidRDefault="0058157E" w:rsidP="003F5081">
            <w:pPr>
              <w:spacing w:after="0" w:line="240" w:lineRule="auto"/>
              <w:rPr>
                <w:rFonts w:ascii="Arial" w:eastAsia="Times New Roman" w:hAnsi="Arial" w:cs="Arial"/>
                <w:b/>
                <w:bCs/>
                <w:i/>
                <w:iCs/>
                <w:color w:val="000000"/>
                <w:sz w:val="18"/>
                <w:szCs w:val="18"/>
              </w:rPr>
            </w:pPr>
            <w:r>
              <w:rPr>
                <w:rFonts w:ascii="Arial" w:hAnsi="Arial" w:cs="Arial"/>
                <w:b/>
                <w:bCs/>
                <w:i/>
                <w:iCs/>
                <w:color w:val="000000"/>
                <w:sz w:val="18"/>
                <w:szCs w:val="18"/>
              </w:rPr>
              <w:t> </w:t>
            </w:r>
          </w:p>
        </w:tc>
      </w:tr>
    </w:tbl>
    <w:p w14:paraId="6C38B3ED" w14:textId="77777777" w:rsidR="005E30EF" w:rsidRDefault="005E30EF" w:rsidP="00B72F95">
      <w:pPr>
        <w:rPr>
          <w:b/>
        </w:rPr>
      </w:pPr>
    </w:p>
    <w:p w14:paraId="565B7DBD" w14:textId="24D650FB" w:rsidR="005E30EF" w:rsidRPr="006E1B58" w:rsidRDefault="005E30EF" w:rsidP="005E0D57">
      <w:pPr>
        <w:pStyle w:val="Heading2"/>
        <w:numPr>
          <w:ilvl w:val="2"/>
          <w:numId w:val="1"/>
        </w:numPr>
        <w:rPr>
          <w:rFonts w:ascii="Arial" w:eastAsia="Arial" w:hAnsi="Arial" w:cs="Arial"/>
        </w:rPr>
      </w:pPr>
      <w:bookmarkStart w:id="295" w:name="_Toc30670715"/>
      <w:bookmarkStart w:id="296" w:name="_Toc32842734"/>
      <w:r w:rsidRPr="006E1B58">
        <w:rPr>
          <w:rFonts w:ascii="Arial" w:eastAsia="Arial" w:hAnsi="Arial" w:cs="Arial"/>
        </w:rPr>
        <w:t xml:space="preserve">Moorfields Private </w:t>
      </w:r>
      <w:r w:rsidR="006E1B58">
        <w:rPr>
          <w:rFonts w:ascii="Arial" w:eastAsia="Arial" w:hAnsi="Arial" w:cs="Arial"/>
        </w:rPr>
        <w:t>(</w:t>
      </w:r>
      <w:r w:rsidRPr="006E1B58">
        <w:rPr>
          <w:rFonts w:ascii="Arial" w:eastAsia="Arial" w:hAnsi="Arial" w:cs="Arial"/>
        </w:rPr>
        <w:t>London</w:t>
      </w:r>
      <w:r w:rsidR="006E1B58">
        <w:rPr>
          <w:rFonts w:ascii="Arial" w:eastAsia="Arial" w:hAnsi="Arial" w:cs="Arial"/>
        </w:rPr>
        <w:t>)</w:t>
      </w:r>
      <w:bookmarkEnd w:id="295"/>
      <w:bookmarkEnd w:id="296"/>
    </w:p>
    <w:p w14:paraId="75CF7D64" w14:textId="77777777" w:rsidR="006E1B58" w:rsidRDefault="006E1B58" w:rsidP="006E1B58">
      <w:pPr>
        <w:spacing w:after="0"/>
        <w:rPr>
          <w:rFonts w:ascii="Arial" w:hAnsi="Arial" w:cs="Arial"/>
        </w:rPr>
      </w:pPr>
    </w:p>
    <w:p w14:paraId="380D1648" w14:textId="13BEC942" w:rsidR="00F218B5" w:rsidRPr="005A7607" w:rsidRDefault="005A7607" w:rsidP="00B72F95">
      <w:pPr>
        <w:rPr>
          <w:rFonts w:ascii="Arial" w:hAnsi="Arial" w:cs="Arial"/>
        </w:rPr>
      </w:pPr>
      <w:bookmarkStart w:id="297" w:name="_Hlk30772757"/>
      <w:r w:rsidRPr="005A7607">
        <w:rPr>
          <w:rFonts w:ascii="Arial" w:hAnsi="Arial" w:cs="Arial"/>
        </w:rPr>
        <w:t>[Redacted]</w:t>
      </w:r>
    </w:p>
    <w:p w14:paraId="234A40DA" w14:textId="023C8B38" w:rsidR="005E30EF" w:rsidRPr="00F510EC" w:rsidRDefault="005E30EF" w:rsidP="005E0D57">
      <w:pPr>
        <w:pStyle w:val="Heading2"/>
        <w:numPr>
          <w:ilvl w:val="2"/>
          <w:numId w:val="1"/>
        </w:numPr>
        <w:rPr>
          <w:rFonts w:ascii="Arial" w:eastAsia="Arial" w:hAnsi="Arial" w:cs="Arial"/>
        </w:rPr>
      </w:pPr>
      <w:bookmarkStart w:id="298" w:name="_Toc30670716"/>
      <w:bookmarkStart w:id="299" w:name="_Toc32842735"/>
      <w:bookmarkEnd w:id="297"/>
      <w:r w:rsidRPr="00F510EC">
        <w:rPr>
          <w:rFonts w:ascii="Arial" w:eastAsia="Arial" w:hAnsi="Arial" w:cs="Arial"/>
        </w:rPr>
        <w:t xml:space="preserve">Moorfields Private </w:t>
      </w:r>
      <w:r w:rsidR="00F510EC">
        <w:rPr>
          <w:rFonts w:ascii="Arial" w:eastAsia="Arial" w:hAnsi="Arial" w:cs="Arial"/>
        </w:rPr>
        <w:t>(</w:t>
      </w:r>
      <w:r w:rsidRPr="00F510EC">
        <w:rPr>
          <w:rFonts w:ascii="Arial" w:eastAsia="Arial" w:hAnsi="Arial" w:cs="Arial"/>
        </w:rPr>
        <w:t>UAE</w:t>
      </w:r>
      <w:r w:rsidR="00F510EC">
        <w:rPr>
          <w:rFonts w:ascii="Arial" w:eastAsia="Arial" w:hAnsi="Arial" w:cs="Arial"/>
        </w:rPr>
        <w:t>)</w:t>
      </w:r>
      <w:bookmarkEnd w:id="298"/>
      <w:bookmarkEnd w:id="299"/>
    </w:p>
    <w:p w14:paraId="3BF3929E" w14:textId="77777777" w:rsidR="00F510EC" w:rsidRDefault="00F510EC" w:rsidP="00F510EC">
      <w:pPr>
        <w:spacing w:after="0"/>
        <w:rPr>
          <w:rFonts w:ascii="Arial" w:hAnsi="Arial" w:cs="Arial"/>
        </w:rPr>
      </w:pPr>
    </w:p>
    <w:p w14:paraId="0851ECE3" w14:textId="505C1E3B" w:rsidR="005A7607" w:rsidRPr="005A7607" w:rsidRDefault="005A7607" w:rsidP="00B72F95">
      <w:pPr>
        <w:rPr>
          <w:rFonts w:ascii="Arial" w:hAnsi="Arial" w:cs="Arial"/>
        </w:rPr>
      </w:pPr>
      <w:r w:rsidRPr="005A7607">
        <w:rPr>
          <w:rFonts w:ascii="Arial" w:hAnsi="Arial" w:cs="Arial"/>
        </w:rPr>
        <w:t>[Redacted]</w:t>
      </w:r>
    </w:p>
    <w:p w14:paraId="27AF2A15" w14:textId="77777777" w:rsidR="005E30EF" w:rsidRPr="00F510EC" w:rsidRDefault="005E30EF" w:rsidP="005E0D57">
      <w:pPr>
        <w:pStyle w:val="Heading2"/>
        <w:numPr>
          <w:ilvl w:val="2"/>
          <w:numId w:val="1"/>
        </w:numPr>
        <w:rPr>
          <w:rFonts w:ascii="Arial" w:eastAsia="Arial" w:hAnsi="Arial" w:cs="Arial"/>
        </w:rPr>
      </w:pPr>
      <w:bookmarkStart w:id="300" w:name="_Toc30670717"/>
      <w:bookmarkStart w:id="301" w:name="_Toc32842736"/>
      <w:r w:rsidRPr="00F510EC">
        <w:rPr>
          <w:rFonts w:ascii="Arial" w:eastAsia="Arial" w:hAnsi="Arial" w:cs="Arial"/>
        </w:rPr>
        <w:t>Efficiency programme</w:t>
      </w:r>
      <w:bookmarkEnd w:id="300"/>
      <w:bookmarkEnd w:id="301"/>
    </w:p>
    <w:p w14:paraId="3C3DE879" w14:textId="77777777" w:rsidR="00F510EC" w:rsidRDefault="00F510EC" w:rsidP="00F510EC">
      <w:pPr>
        <w:spacing w:after="0"/>
        <w:rPr>
          <w:rFonts w:ascii="Arial" w:hAnsi="Arial" w:cs="Arial"/>
        </w:rPr>
      </w:pPr>
    </w:p>
    <w:p w14:paraId="1F6DB283" w14:textId="2937AE1D" w:rsidR="00FF6E56" w:rsidRDefault="005E30EF" w:rsidP="00B72F95">
      <w:pPr>
        <w:rPr>
          <w:rFonts w:ascii="Arial" w:hAnsi="Arial" w:cs="Arial"/>
        </w:rPr>
      </w:pPr>
      <w:r>
        <w:rPr>
          <w:rFonts w:ascii="Arial" w:hAnsi="Arial" w:cs="Arial"/>
        </w:rPr>
        <w:t>Over the last four</w:t>
      </w:r>
      <w:r w:rsidRPr="00237844">
        <w:rPr>
          <w:rFonts w:ascii="Arial" w:hAnsi="Arial" w:cs="Arial"/>
        </w:rPr>
        <w:t xml:space="preserve"> years the </w:t>
      </w:r>
      <w:r w:rsidR="00F510EC">
        <w:rPr>
          <w:rFonts w:ascii="Arial" w:hAnsi="Arial" w:cs="Arial"/>
        </w:rPr>
        <w:t>t</w:t>
      </w:r>
      <w:r w:rsidRPr="00237844">
        <w:rPr>
          <w:rFonts w:ascii="Arial" w:hAnsi="Arial" w:cs="Arial"/>
        </w:rPr>
        <w:t xml:space="preserve">rust has planned £31.8m of efficiencies across various </w:t>
      </w:r>
      <w:r w:rsidRPr="00F510EC">
        <w:rPr>
          <w:rFonts w:ascii="Arial" w:hAnsi="Arial" w:cs="Arial"/>
        </w:rPr>
        <w:t xml:space="preserve">schemes. </w:t>
      </w:r>
      <w:r w:rsidR="00F510EC" w:rsidRPr="00F510EC">
        <w:rPr>
          <w:rFonts w:ascii="Arial" w:hAnsi="Arial" w:cs="Arial"/>
        </w:rPr>
        <w:fldChar w:fldCharType="begin"/>
      </w:r>
      <w:r w:rsidR="00F510EC" w:rsidRPr="00F510EC">
        <w:rPr>
          <w:rFonts w:ascii="Arial" w:hAnsi="Arial" w:cs="Arial"/>
        </w:rPr>
        <w:instrText xml:space="preserve"> REF _Ref30431881 \h </w:instrText>
      </w:r>
      <w:r w:rsidR="00F510EC">
        <w:rPr>
          <w:rFonts w:ascii="Arial" w:hAnsi="Arial" w:cs="Arial"/>
        </w:rPr>
        <w:instrText xml:space="preserve"> \* MERGEFORMAT </w:instrText>
      </w:r>
      <w:r w:rsidR="00F510EC" w:rsidRPr="00F510EC">
        <w:rPr>
          <w:rFonts w:ascii="Arial" w:hAnsi="Arial" w:cs="Arial"/>
        </w:rPr>
      </w:r>
      <w:r w:rsidR="00F510EC" w:rsidRPr="00F510EC">
        <w:rPr>
          <w:rFonts w:ascii="Arial" w:hAnsi="Arial" w:cs="Arial"/>
        </w:rPr>
        <w:fldChar w:fldCharType="separate"/>
      </w:r>
      <w:r w:rsidR="00A936CD" w:rsidRPr="00A936CD">
        <w:rPr>
          <w:rFonts w:ascii="Arial" w:hAnsi="Arial" w:cs="Arial"/>
        </w:rPr>
        <w:t xml:space="preserve">Table </w:t>
      </w:r>
      <w:r w:rsidR="00A936CD" w:rsidRPr="00A936CD">
        <w:rPr>
          <w:rFonts w:ascii="Arial" w:hAnsi="Arial" w:cs="Arial"/>
          <w:noProof/>
        </w:rPr>
        <w:t>26</w:t>
      </w:r>
      <w:r w:rsidR="00F510EC" w:rsidRPr="00F510EC">
        <w:rPr>
          <w:rFonts w:ascii="Arial" w:hAnsi="Arial" w:cs="Arial"/>
        </w:rPr>
        <w:fldChar w:fldCharType="end"/>
      </w:r>
      <w:r w:rsidR="00F510EC" w:rsidRPr="00F510EC">
        <w:rPr>
          <w:rFonts w:ascii="Arial" w:hAnsi="Arial" w:cs="Arial"/>
        </w:rPr>
        <w:t xml:space="preserve"> </w:t>
      </w:r>
      <w:r w:rsidRPr="00F510EC">
        <w:rPr>
          <w:rFonts w:ascii="Arial" w:hAnsi="Arial" w:cs="Arial"/>
        </w:rPr>
        <w:t>shows planned efficiencies between FY17 and FY20. Planned schemes</w:t>
      </w:r>
      <w:r w:rsidRPr="00237844">
        <w:rPr>
          <w:rFonts w:ascii="Arial" w:hAnsi="Arial" w:cs="Arial"/>
        </w:rPr>
        <w:t xml:space="preserve"> include £6.6m (21%) </w:t>
      </w:r>
      <w:r>
        <w:rPr>
          <w:rFonts w:ascii="Arial" w:hAnsi="Arial" w:cs="Arial"/>
        </w:rPr>
        <w:t xml:space="preserve">of </w:t>
      </w:r>
      <w:r w:rsidRPr="00237844">
        <w:rPr>
          <w:rFonts w:ascii="Arial" w:hAnsi="Arial" w:cs="Arial"/>
        </w:rPr>
        <w:t>corporate savings.</w:t>
      </w:r>
    </w:p>
    <w:p w14:paraId="1EA5133E" w14:textId="18DAE822" w:rsidR="00F510EC" w:rsidRDefault="00F510EC" w:rsidP="00F510EC">
      <w:pPr>
        <w:pStyle w:val="Caption"/>
      </w:pPr>
      <w:bookmarkStart w:id="302" w:name="_Ref30431881"/>
      <w:r>
        <w:t xml:space="preserve">Table </w:t>
      </w:r>
      <w:r>
        <w:fldChar w:fldCharType="begin"/>
      </w:r>
      <w:r>
        <w:instrText xml:space="preserve"> SEQ Table \* ARABIC </w:instrText>
      </w:r>
      <w:r>
        <w:fldChar w:fldCharType="separate"/>
      </w:r>
      <w:r w:rsidR="00A936CD">
        <w:rPr>
          <w:noProof/>
        </w:rPr>
        <w:t>26</w:t>
      </w:r>
      <w:r>
        <w:fldChar w:fldCharType="end"/>
      </w:r>
      <w:bookmarkEnd w:id="302"/>
      <w:r>
        <w:t xml:space="preserve">: </w:t>
      </w:r>
      <w:r w:rsidRPr="00F510EC">
        <w:rPr>
          <w:b w:val="0"/>
          <w:bCs w:val="0"/>
        </w:rPr>
        <w:t xml:space="preserve">Efficiency schemes </w:t>
      </w:r>
      <w:r>
        <w:rPr>
          <w:b w:val="0"/>
          <w:bCs w:val="0"/>
        </w:rPr>
        <w:t xml:space="preserve">planned </w:t>
      </w:r>
      <w:r w:rsidRPr="00F510EC">
        <w:rPr>
          <w:b w:val="0"/>
          <w:bCs w:val="0"/>
        </w:rPr>
        <w:t>FY17 - FY20</w:t>
      </w:r>
    </w:p>
    <w:tbl>
      <w:tblPr>
        <w:tblW w:w="92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5"/>
        <w:gridCol w:w="1459"/>
        <w:gridCol w:w="1459"/>
        <w:gridCol w:w="1459"/>
        <w:gridCol w:w="1461"/>
      </w:tblGrid>
      <w:tr w:rsidR="0058157E" w:rsidRPr="00CA6C1A" w14:paraId="5AB0705C" w14:textId="77777777" w:rsidTr="003F5081">
        <w:trPr>
          <w:trHeight w:val="273"/>
        </w:trPr>
        <w:tc>
          <w:tcPr>
            <w:tcW w:w="3375" w:type="dxa"/>
            <w:vMerge w:val="restart"/>
            <w:shd w:val="clear" w:color="auto" w:fill="4F81BD"/>
            <w:vAlign w:val="center"/>
            <w:hideMark/>
          </w:tcPr>
          <w:p w14:paraId="3A110DCF" w14:textId="77777777" w:rsidR="0058157E" w:rsidRPr="00B22EBA" w:rsidRDefault="0058157E" w:rsidP="003F5081">
            <w:pPr>
              <w:spacing w:after="0" w:line="240" w:lineRule="auto"/>
              <w:rPr>
                <w:rFonts w:ascii="Arial" w:eastAsia="Times New Roman" w:hAnsi="Arial" w:cs="Arial"/>
                <w:b/>
                <w:bCs/>
                <w:i/>
                <w:iCs/>
                <w:color w:val="FFFFFF"/>
                <w:sz w:val="20"/>
                <w:szCs w:val="20"/>
              </w:rPr>
            </w:pPr>
            <w:r w:rsidRPr="00B22EBA">
              <w:rPr>
                <w:rFonts w:ascii="Arial" w:eastAsia="Times New Roman" w:hAnsi="Arial" w:cs="Arial"/>
                <w:b/>
                <w:bCs/>
                <w:i/>
                <w:iCs/>
                <w:color w:val="FFFFFF"/>
                <w:sz w:val="20"/>
                <w:szCs w:val="20"/>
              </w:rPr>
              <w:t>Efficiency Schemes</w:t>
            </w:r>
            <w:r w:rsidRPr="00B22EBA">
              <w:rPr>
                <w:rFonts w:ascii="Arial" w:eastAsia="Times New Roman" w:hAnsi="Arial" w:cs="Arial"/>
                <w:b/>
                <w:bCs/>
                <w:i/>
                <w:iCs/>
                <w:color w:val="FFFFFF"/>
                <w:sz w:val="20"/>
                <w:szCs w:val="20"/>
              </w:rPr>
              <w:br/>
              <w:t>£m</w:t>
            </w:r>
          </w:p>
        </w:tc>
        <w:tc>
          <w:tcPr>
            <w:tcW w:w="5838" w:type="dxa"/>
            <w:gridSpan w:val="4"/>
            <w:shd w:val="clear" w:color="auto" w:fill="4F81BD"/>
            <w:noWrap/>
            <w:vAlign w:val="center"/>
            <w:hideMark/>
          </w:tcPr>
          <w:p w14:paraId="3B4B8169" w14:textId="77777777" w:rsidR="0058157E" w:rsidRPr="00B22EBA" w:rsidRDefault="0058157E" w:rsidP="003F5081">
            <w:pPr>
              <w:spacing w:after="0" w:line="240" w:lineRule="auto"/>
              <w:rPr>
                <w:rFonts w:ascii="Arial" w:eastAsia="Times New Roman" w:hAnsi="Arial" w:cs="Arial"/>
                <w:b/>
                <w:bCs/>
                <w:color w:val="FFFFFF"/>
                <w:sz w:val="20"/>
                <w:szCs w:val="20"/>
              </w:rPr>
            </w:pPr>
            <w:r w:rsidRPr="00B22EBA">
              <w:rPr>
                <w:rFonts w:ascii="Arial" w:eastAsia="Times New Roman" w:hAnsi="Arial" w:cs="Arial"/>
                <w:b/>
                <w:bCs/>
                <w:color w:val="FFFFFF"/>
                <w:sz w:val="20"/>
                <w:szCs w:val="20"/>
              </w:rPr>
              <w:t>Planned</w:t>
            </w:r>
          </w:p>
        </w:tc>
      </w:tr>
      <w:tr w:rsidR="0058157E" w:rsidRPr="00CA6C1A" w14:paraId="0BD72758" w14:textId="77777777" w:rsidTr="003F5081">
        <w:trPr>
          <w:trHeight w:val="273"/>
        </w:trPr>
        <w:tc>
          <w:tcPr>
            <w:tcW w:w="3375" w:type="dxa"/>
            <w:vMerge/>
            <w:shd w:val="clear" w:color="auto" w:fill="4F81BD"/>
            <w:vAlign w:val="center"/>
            <w:hideMark/>
          </w:tcPr>
          <w:p w14:paraId="3DD363BF" w14:textId="77777777" w:rsidR="0058157E" w:rsidRPr="00CA6C1A" w:rsidRDefault="0058157E" w:rsidP="003F5081">
            <w:pPr>
              <w:spacing w:after="0" w:line="240" w:lineRule="auto"/>
              <w:rPr>
                <w:rFonts w:ascii="Arial" w:eastAsia="Times New Roman" w:hAnsi="Arial" w:cs="Arial"/>
                <w:b/>
                <w:bCs/>
                <w:i/>
                <w:iCs/>
                <w:color w:val="FFFFFF"/>
                <w:sz w:val="24"/>
                <w:szCs w:val="24"/>
              </w:rPr>
            </w:pPr>
          </w:p>
        </w:tc>
        <w:tc>
          <w:tcPr>
            <w:tcW w:w="1459" w:type="dxa"/>
            <w:shd w:val="clear" w:color="auto" w:fill="4F81BD"/>
            <w:vAlign w:val="center"/>
            <w:hideMark/>
          </w:tcPr>
          <w:p w14:paraId="71A6668F" w14:textId="77777777" w:rsidR="0058157E" w:rsidRPr="00B22EBA" w:rsidRDefault="0058157E" w:rsidP="003F5081">
            <w:pPr>
              <w:spacing w:after="0" w:line="240" w:lineRule="auto"/>
              <w:rPr>
                <w:rFonts w:ascii="Arial" w:eastAsia="Times New Roman" w:hAnsi="Arial" w:cs="Arial"/>
                <w:b/>
                <w:bCs/>
                <w:color w:val="FFFFFF"/>
                <w:sz w:val="20"/>
                <w:szCs w:val="20"/>
              </w:rPr>
            </w:pPr>
            <w:r w:rsidRPr="00B22EBA">
              <w:rPr>
                <w:rFonts w:ascii="Arial" w:eastAsia="Times New Roman" w:hAnsi="Arial" w:cs="Arial"/>
                <w:b/>
                <w:bCs/>
                <w:color w:val="FFFFFF"/>
                <w:sz w:val="20"/>
                <w:szCs w:val="20"/>
              </w:rPr>
              <w:t>FY17</w:t>
            </w:r>
          </w:p>
        </w:tc>
        <w:tc>
          <w:tcPr>
            <w:tcW w:w="1459" w:type="dxa"/>
            <w:shd w:val="clear" w:color="auto" w:fill="4F81BD"/>
            <w:vAlign w:val="center"/>
            <w:hideMark/>
          </w:tcPr>
          <w:p w14:paraId="17B9636E" w14:textId="77777777" w:rsidR="0058157E" w:rsidRPr="00B22EBA" w:rsidRDefault="0058157E" w:rsidP="003F5081">
            <w:pPr>
              <w:spacing w:after="0" w:line="240" w:lineRule="auto"/>
              <w:rPr>
                <w:rFonts w:ascii="Arial" w:eastAsia="Times New Roman" w:hAnsi="Arial" w:cs="Arial"/>
                <w:b/>
                <w:bCs/>
                <w:color w:val="FFFFFF"/>
                <w:sz w:val="20"/>
                <w:szCs w:val="20"/>
              </w:rPr>
            </w:pPr>
            <w:r w:rsidRPr="00B22EBA">
              <w:rPr>
                <w:rFonts w:ascii="Arial" w:eastAsia="Times New Roman" w:hAnsi="Arial" w:cs="Arial"/>
                <w:b/>
                <w:bCs/>
                <w:color w:val="FFFFFF"/>
                <w:sz w:val="20"/>
                <w:szCs w:val="20"/>
              </w:rPr>
              <w:t>FY18</w:t>
            </w:r>
          </w:p>
        </w:tc>
        <w:tc>
          <w:tcPr>
            <w:tcW w:w="1459" w:type="dxa"/>
            <w:shd w:val="clear" w:color="auto" w:fill="4F81BD"/>
            <w:vAlign w:val="center"/>
            <w:hideMark/>
          </w:tcPr>
          <w:p w14:paraId="3E282098" w14:textId="77777777" w:rsidR="0058157E" w:rsidRPr="00B22EBA" w:rsidRDefault="0058157E" w:rsidP="003F5081">
            <w:pPr>
              <w:spacing w:after="0" w:line="240" w:lineRule="auto"/>
              <w:rPr>
                <w:rFonts w:ascii="Arial" w:eastAsia="Times New Roman" w:hAnsi="Arial" w:cs="Arial"/>
                <w:b/>
                <w:bCs/>
                <w:color w:val="FFFFFF"/>
                <w:sz w:val="20"/>
                <w:szCs w:val="20"/>
              </w:rPr>
            </w:pPr>
            <w:r w:rsidRPr="00B22EBA">
              <w:rPr>
                <w:rFonts w:ascii="Arial" w:eastAsia="Times New Roman" w:hAnsi="Arial" w:cs="Arial"/>
                <w:b/>
                <w:bCs/>
                <w:color w:val="FFFFFF"/>
                <w:sz w:val="20"/>
                <w:szCs w:val="20"/>
              </w:rPr>
              <w:t xml:space="preserve">FY19 </w:t>
            </w:r>
          </w:p>
        </w:tc>
        <w:tc>
          <w:tcPr>
            <w:tcW w:w="1461" w:type="dxa"/>
            <w:shd w:val="clear" w:color="auto" w:fill="4F81BD"/>
            <w:vAlign w:val="center"/>
            <w:hideMark/>
          </w:tcPr>
          <w:p w14:paraId="24773273" w14:textId="77777777" w:rsidR="0058157E" w:rsidRPr="00B22EBA" w:rsidRDefault="0058157E" w:rsidP="003F5081">
            <w:pPr>
              <w:spacing w:after="0" w:line="240" w:lineRule="auto"/>
              <w:rPr>
                <w:rFonts w:ascii="Arial" w:eastAsia="Times New Roman" w:hAnsi="Arial" w:cs="Arial"/>
                <w:b/>
                <w:bCs/>
                <w:color w:val="FFFFFF"/>
                <w:sz w:val="20"/>
                <w:szCs w:val="20"/>
              </w:rPr>
            </w:pPr>
            <w:r w:rsidRPr="00B22EBA">
              <w:rPr>
                <w:rFonts w:ascii="Arial" w:eastAsia="Times New Roman" w:hAnsi="Arial" w:cs="Arial"/>
                <w:b/>
                <w:bCs/>
                <w:color w:val="FFFFFF"/>
                <w:sz w:val="20"/>
                <w:szCs w:val="20"/>
              </w:rPr>
              <w:t>FY20</w:t>
            </w:r>
          </w:p>
        </w:tc>
      </w:tr>
      <w:tr w:rsidR="0058157E" w:rsidRPr="00CA6C1A" w14:paraId="665B6CA1" w14:textId="77777777" w:rsidTr="003F5081">
        <w:trPr>
          <w:trHeight w:val="273"/>
        </w:trPr>
        <w:tc>
          <w:tcPr>
            <w:tcW w:w="3375" w:type="dxa"/>
            <w:shd w:val="clear" w:color="000000" w:fill="FFFFFF"/>
            <w:noWrap/>
            <w:vAlign w:val="center"/>
            <w:hideMark/>
          </w:tcPr>
          <w:p w14:paraId="580D0BF9" w14:textId="77777777" w:rsidR="0058157E" w:rsidRPr="009D6776" w:rsidRDefault="0058157E" w:rsidP="003F5081">
            <w:pPr>
              <w:spacing w:after="0" w:line="240" w:lineRule="auto"/>
              <w:rPr>
                <w:rFonts w:ascii="Arial" w:eastAsia="Times New Roman" w:hAnsi="Arial" w:cs="Arial"/>
                <w:sz w:val="18"/>
                <w:szCs w:val="18"/>
              </w:rPr>
            </w:pPr>
            <w:r w:rsidRPr="009D6776">
              <w:rPr>
                <w:rFonts w:ascii="Arial" w:eastAsia="Times New Roman" w:hAnsi="Arial" w:cs="Arial"/>
                <w:sz w:val="18"/>
                <w:szCs w:val="18"/>
              </w:rPr>
              <w:t>City Road</w:t>
            </w:r>
          </w:p>
        </w:tc>
        <w:tc>
          <w:tcPr>
            <w:tcW w:w="1459" w:type="dxa"/>
            <w:shd w:val="clear" w:color="000000" w:fill="FFFFFF"/>
            <w:noWrap/>
            <w:vAlign w:val="center"/>
            <w:hideMark/>
          </w:tcPr>
          <w:p w14:paraId="0791215C" w14:textId="77777777" w:rsidR="0058157E" w:rsidRPr="00CA6C1A" w:rsidRDefault="0058157E" w:rsidP="003F5081">
            <w:pPr>
              <w:spacing w:after="0" w:line="240" w:lineRule="auto"/>
              <w:rPr>
                <w:rFonts w:ascii="Arial" w:eastAsia="Times New Roman" w:hAnsi="Arial" w:cs="Arial"/>
                <w:sz w:val="20"/>
                <w:szCs w:val="20"/>
              </w:rPr>
            </w:pPr>
            <w:r>
              <w:rPr>
                <w:rFonts w:ascii="Arial" w:hAnsi="Arial" w:cs="Arial"/>
                <w:sz w:val="18"/>
                <w:szCs w:val="18"/>
              </w:rPr>
              <w:t>4.3</w:t>
            </w:r>
          </w:p>
        </w:tc>
        <w:tc>
          <w:tcPr>
            <w:tcW w:w="1459" w:type="dxa"/>
            <w:shd w:val="clear" w:color="000000" w:fill="FFFFFF"/>
            <w:noWrap/>
            <w:vAlign w:val="center"/>
            <w:hideMark/>
          </w:tcPr>
          <w:p w14:paraId="65B967FD" w14:textId="77777777" w:rsidR="0058157E" w:rsidRPr="00CA6C1A" w:rsidRDefault="0058157E" w:rsidP="003F5081">
            <w:pPr>
              <w:spacing w:after="0" w:line="240" w:lineRule="auto"/>
              <w:rPr>
                <w:rFonts w:ascii="Arial" w:eastAsia="Times New Roman" w:hAnsi="Arial" w:cs="Arial"/>
                <w:sz w:val="20"/>
                <w:szCs w:val="20"/>
              </w:rPr>
            </w:pPr>
            <w:r>
              <w:rPr>
                <w:rFonts w:ascii="Arial" w:hAnsi="Arial" w:cs="Arial"/>
                <w:sz w:val="18"/>
                <w:szCs w:val="18"/>
              </w:rPr>
              <w:t>3.9</w:t>
            </w:r>
          </w:p>
        </w:tc>
        <w:tc>
          <w:tcPr>
            <w:tcW w:w="1459" w:type="dxa"/>
            <w:shd w:val="clear" w:color="000000" w:fill="FFFFFF"/>
            <w:noWrap/>
            <w:vAlign w:val="center"/>
            <w:hideMark/>
          </w:tcPr>
          <w:p w14:paraId="14D73D23" w14:textId="77777777" w:rsidR="0058157E" w:rsidRPr="00CA6C1A" w:rsidRDefault="0058157E" w:rsidP="003F5081">
            <w:pPr>
              <w:spacing w:after="0" w:line="240" w:lineRule="auto"/>
              <w:rPr>
                <w:rFonts w:ascii="Arial" w:eastAsia="Times New Roman" w:hAnsi="Arial" w:cs="Arial"/>
                <w:sz w:val="20"/>
                <w:szCs w:val="20"/>
              </w:rPr>
            </w:pPr>
            <w:r>
              <w:rPr>
                <w:rFonts w:ascii="Arial" w:hAnsi="Arial" w:cs="Arial"/>
                <w:sz w:val="18"/>
                <w:szCs w:val="18"/>
              </w:rPr>
              <w:t>3.7</w:t>
            </w:r>
          </w:p>
        </w:tc>
        <w:tc>
          <w:tcPr>
            <w:tcW w:w="1461" w:type="dxa"/>
            <w:shd w:val="clear" w:color="000000" w:fill="FFFFFF"/>
            <w:noWrap/>
            <w:vAlign w:val="center"/>
            <w:hideMark/>
          </w:tcPr>
          <w:p w14:paraId="20513498" w14:textId="77777777" w:rsidR="0058157E" w:rsidRPr="00CA6C1A" w:rsidRDefault="0058157E" w:rsidP="003F5081">
            <w:pPr>
              <w:spacing w:after="0" w:line="240" w:lineRule="auto"/>
              <w:rPr>
                <w:rFonts w:ascii="Arial" w:eastAsia="Times New Roman" w:hAnsi="Arial" w:cs="Arial"/>
                <w:sz w:val="20"/>
                <w:szCs w:val="20"/>
              </w:rPr>
            </w:pPr>
            <w:r>
              <w:rPr>
                <w:rFonts w:ascii="Arial" w:hAnsi="Arial" w:cs="Arial"/>
                <w:sz w:val="18"/>
                <w:szCs w:val="18"/>
              </w:rPr>
              <w:t>3.4</w:t>
            </w:r>
          </w:p>
        </w:tc>
      </w:tr>
      <w:tr w:rsidR="0058157E" w:rsidRPr="00CA6C1A" w14:paraId="5F3D9B5C" w14:textId="77777777" w:rsidTr="003F5081">
        <w:trPr>
          <w:trHeight w:val="273"/>
        </w:trPr>
        <w:tc>
          <w:tcPr>
            <w:tcW w:w="3375" w:type="dxa"/>
            <w:shd w:val="clear" w:color="000000" w:fill="FFFFFF"/>
            <w:noWrap/>
            <w:vAlign w:val="center"/>
            <w:hideMark/>
          </w:tcPr>
          <w:p w14:paraId="5C634C48" w14:textId="77777777" w:rsidR="0058157E" w:rsidRPr="009D6776" w:rsidRDefault="0058157E" w:rsidP="003F5081">
            <w:pPr>
              <w:spacing w:after="0" w:line="240" w:lineRule="auto"/>
              <w:rPr>
                <w:rFonts w:ascii="Arial" w:eastAsia="Times New Roman" w:hAnsi="Arial" w:cs="Arial"/>
                <w:sz w:val="18"/>
                <w:szCs w:val="18"/>
              </w:rPr>
            </w:pPr>
            <w:r w:rsidRPr="009D6776">
              <w:rPr>
                <w:rFonts w:ascii="Arial" w:eastAsia="Times New Roman" w:hAnsi="Arial" w:cs="Arial"/>
                <w:sz w:val="18"/>
                <w:szCs w:val="18"/>
              </w:rPr>
              <w:t xml:space="preserve">North </w:t>
            </w:r>
          </w:p>
        </w:tc>
        <w:tc>
          <w:tcPr>
            <w:tcW w:w="1459" w:type="dxa"/>
            <w:shd w:val="clear" w:color="000000" w:fill="FFFFFF"/>
            <w:noWrap/>
            <w:vAlign w:val="center"/>
            <w:hideMark/>
          </w:tcPr>
          <w:p w14:paraId="6872404B" w14:textId="77777777" w:rsidR="0058157E" w:rsidRPr="00CA6C1A" w:rsidRDefault="0058157E" w:rsidP="003F5081">
            <w:pPr>
              <w:spacing w:after="0" w:line="240" w:lineRule="auto"/>
              <w:rPr>
                <w:rFonts w:ascii="Arial" w:eastAsia="Times New Roman" w:hAnsi="Arial" w:cs="Arial"/>
                <w:sz w:val="20"/>
                <w:szCs w:val="20"/>
              </w:rPr>
            </w:pPr>
            <w:r>
              <w:rPr>
                <w:rFonts w:ascii="Arial" w:hAnsi="Arial" w:cs="Arial"/>
                <w:sz w:val="18"/>
                <w:szCs w:val="18"/>
              </w:rPr>
              <w:t>1.2</w:t>
            </w:r>
          </w:p>
        </w:tc>
        <w:tc>
          <w:tcPr>
            <w:tcW w:w="1459" w:type="dxa"/>
            <w:shd w:val="clear" w:color="000000" w:fill="FFFFFF"/>
            <w:noWrap/>
            <w:vAlign w:val="center"/>
            <w:hideMark/>
          </w:tcPr>
          <w:p w14:paraId="02196ACC" w14:textId="77777777" w:rsidR="0058157E" w:rsidRPr="00CA6C1A" w:rsidRDefault="0058157E" w:rsidP="003F5081">
            <w:pPr>
              <w:spacing w:after="0" w:line="240" w:lineRule="auto"/>
              <w:rPr>
                <w:rFonts w:ascii="Arial" w:eastAsia="Times New Roman" w:hAnsi="Arial" w:cs="Arial"/>
                <w:sz w:val="20"/>
                <w:szCs w:val="20"/>
              </w:rPr>
            </w:pPr>
            <w:r>
              <w:rPr>
                <w:rFonts w:ascii="Arial" w:hAnsi="Arial" w:cs="Arial"/>
                <w:sz w:val="18"/>
                <w:szCs w:val="18"/>
              </w:rPr>
              <w:t>1.2</w:t>
            </w:r>
          </w:p>
        </w:tc>
        <w:tc>
          <w:tcPr>
            <w:tcW w:w="1459" w:type="dxa"/>
            <w:shd w:val="clear" w:color="000000" w:fill="FFFFFF"/>
            <w:noWrap/>
            <w:vAlign w:val="center"/>
            <w:hideMark/>
          </w:tcPr>
          <w:p w14:paraId="2422B6A7" w14:textId="77777777" w:rsidR="0058157E" w:rsidRPr="00CA6C1A" w:rsidRDefault="0058157E" w:rsidP="003F5081">
            <w:pPr>
              <w:spacing w:after="0" w:line="240" w:lineRule="auto"/>
              <w:rPr>
                <w:rFonts w:ascii="Arial" w:eastAsia="Times New Roman" w:hAnsi="Arial" w:cs="Arial"/>
                <w:sz w:val="20"/>
                <w:szCs w:val="20"/>
              </w:rPr>
            </w:pPr>
            <w:r>
              <w:rPr>
                <w:rFonts w:ascii="Arial" w:hAnsi="Arial" w:cs="Arial"/>
                <w:sz w:val="18"/>
                <w:szCs w:val="18"/>
              </w:rPr>
              <w:t>1.5</w:t>
            </w:r>
          </w:p>
        </w:tc>
        <w:tc>
          <w:tcPr>
            <w:tcW w:w="1461" w:type="dxa"/>
            <w:shd w:val="clear" w:color="000000" w:fill="FFFFFF"/>
            <w:noWrap/>
            <w:vAlign w:val="center"/>
            <w:hideMark/>
          </w:tcPr>
          <w:p w14:paraId="62C5F464" w14:textId="77777777" w:rsidR="0058157E" w:rsidRPr="00CA6C1A" w:rsidRDefault="0058157E" w:rsidP="003F5081">
            <w:pPr>
              <w:spacing w:after="0" w:line="240" w:lineRule="auto"/>
              <w:rPr>
                <w:rFonts w:ascii="Arial" w:eastAsia="Times New Roman" w:hAnsi="Arial" w:cs="Arial"/>
                <w:sz w:val="20"/>
                <w:szCs w:val="20"/>
              </w:rPr>
            </w:pPr>
            <w:r>
              <w:rPr>
                <w:rFonts w:ascii="Arial" w:hAnsi="Arial" w:cs="Arial"/>
                <w:sz w:val="18"/>
                <w:szCs w:val="18"/>
              </w:rPr>
              <w:t>1.2</w:t>
            </w:r>
          </w:p>
        </w:tc>
      </w:tr>
      <w:tr w:rsidR="0058157E" w:rsidRPr="00CA6C1A" w14:paraId="25566AF2" w14:textId="77777777" w:rsidTr="003F5081">
        <w:trPr>
          <w:trHeight w:val="273"/>
        </w:trPr>
        <w:tc>
          <w:tcPr>
            <w:tcW w:w="3375" w:type="dxa"/>
            <w:shd w:val="clear" w:color="000000" w:fill="FFFFFF"/>
            <w:noWrap/>
            <w:vAlign w:val="center"/>
            <w:hideMark/>
          </w:tcPr>
          <w:p w14:paraId="597DFC00" w14:textId="77777777" w:rsidR="0058157E" w:rsidRPr="009D6776" w:rsidRDefault="0058157E" w:rsidP="003F5081">
            <w:pPr>
              <w:spacing w:after="0" w:line="240" w:lineRule="auto"/>
              <w:rPr>
                <w:rFonts w:ascii="Arial" w:eastAsia="Times New Roman" w:hAnsi="Arial" w:cs="Arial"/>
                <w:sz w:val="18"/>
                <w:szCs w:val="18"/>
              </w:rPr>
            </w:pPr>
            <w:r w:rsidRPr="009D6776">
              <w:rPr>
                <w:rFonts w:ascii="Arial" w:eastAsia="Times New Roman" w:hAnsi="Arial" w:cs="Arial"/>
                <w:sz w:val="18"/>
                <w:szCs w:val="18"/>
              </w:rPr>
              <w:t>South</w:t>
            </w:r>
          </w:p>
        </w:tc>
        <w:tc>
          <w:tcPr>
            <w:tcW w:w="1459" w:type="dxa"/>
            <w:shd w:val="clear" w:color="000000" w:fill="FFFFFF"/>
            <w:noWrap/>
            <w:vAlign w:val="center"/>
            <w:hideMark/>
          </w:tcPr>
          <w:p w14:paraId="51397533" w14:textId="77777777" w:rsidR="0058157E" w:rsidRPr="00CA6C1A" w:rsidRDefault="0058157E" w:rsidP="003F5081">
            <w:pPr>
              <w:spacing w:after="0" w:line="240" w:lineRule="auto"/>
              <w:rPr>
                <w:rFonts w:ascii="Arial" w:eastAsia="Times New Roman" w:hAnsi="Arial" w:cs="Arial"/>
                <w:sz w:val="20"/>
                <w:szCs w:val="20"/>
              </w:rPr>
            </w:pPr>
            <w:r>
              <w:rPr>
                <w:rFonts w:ascii="Arial" w:hAnsi="Arial" w:cs="Arial"/>
                <w:sz w:val="18"/>
                <w:szCs w:val="18"/>
              </w:rPr>
              <w:t>1.2</w:t>
            </w:r>
          </w:p>
        </w:tc>
        <w:tc>
          <w:tcPr>
            <w:tcW w:w="1459" w:type="dxa"/>
            <w:shd w:val="clear" w:color="000000" w:fill="FFFFFF"/>
            <w:noWrap/>
            <w:vAlign w:val="center"/>
            <w:hideMark/>
          </w:tcPr>
          <w:p w14:paraId="24520044" w14:textId="77777777" w:rsidR="0058157E" w:rsidRPr="00CA6C1A" w:rsidRDefault="0058157E" w:rsidP="003F5081">
            <w:pPr>
              <w:spacing w:after="0" w:line="240" w:lineRule="auto"/>
              <w:rPr>
                <w:rFonts w:ascii="Arial" w:eastAsia="Times New Roman" w:hAnsi="Arial" w:cs="Arial"/>
                <w:sz w:val="20"/>
                <w:szCs w:val="20"/>
              </w:rPr>
            </w:pPr>
            <w:r>
              <w:rPr>
                <w:rFonts w:ascii="Arial" w:hAnsi="Arial" w:cs="Arial"/>
                <w:sz w:val="18"/>
                <w:szCs w:val="18"/>
              </w:rPr>
              <w:t>0.9</w:t>
            </w:r>
          </w:p>
        </w:tc>
        <w:tc>
          <w:tcPr>
            <w:tcW w:w="1459" w:type="dxa"/>
            <w:shd w:val="clear" w:color="000000" w:fill="FFFFFF"/>
            <w:noWrap/>
            <w:vAlign w:val="center"/>
            <w:hideMark/>
          </w:tcPr>
          <w:p w14:paraId="78E10944" w14:textId="77777777" w:rsidR="0058157E" w:rsidRPr="00CA6C1A" w:rsidRDefault="0058157E" w:rsidP="003F5081">
            <w:pPr>
              <w:spacing w:after="0" w:line="240" w:lineRule="auto"/>
              <w:rPr>
                <w:rFonts w:ascii="Arial" w:eastAsia="Times New Roman" w:hAnsi="Arial" w:cs="Arial"/>
                <w:sz w:val="20"/>
                <w:szCs w:val="20"/>
              </w:rPr>
            </w:pPr>
            <w:r>
              <w:rPr>
                <w:rFonts w:ascii="Arial" w:hAnsi="Arial" w:cs="Arial"/>
                <w:sz w:val="18"/>
                <w:szCs w:val="18"/>
              </w:rPr>
              <w:t>0.9</w:t>
            </w:r>
          </w:p>
        </w:tc>
        <w:tc>
          <w:tcPr>
            <w:tcW w:w="1461" w:type="dxa"/>
            <w:shd w:val="clear" w:color="000000" w:fill="FFFFFF"/>
            <w:noWrap/>
            <w:vAlign w:val="center"/>
            <w:hideMark/>
          </w:tcPr>
          <w:p w14:paraId="6C2D6A5D" w14:textId="77777777" w:rsidR="0058157E" w:rsidRPr="00CA6C1A" w:rsidRDefault="0058157E" w:rsidP="003F5081">
            <w:pPr>
              <w:spacing w:after="0" w:line="240" w:lineRule="auto"/>
              <w:rPr>
                <w:rFonts w:ascii="Arial" w:eastAsia="Times New Roman" w:hAnsi="Arial" w:cs="Arial"/>
                <w:sz w:val="20"/>
                <w:szCs w:val="20"/>
              </w:rPr>
            </w:pPr>
            <w:r>
              <w:rPr>
                <w:rFonts w:ascii="Arial" w:hAnsi="Arial" w:cs="Arial"/>
                <w:sz w:val="18"/>
                <w:szCs w:val="18"/>
              </w:rPr>
              <w:t>0.8</w:t>
            </w:r>
          </w:p>
        </w:tc>
      </w:tr>
      <w:tr w:rsidR="0058157E" w:rsidRPr="00CA6C1A" w14:paraId="6760D861" w14:textId="77777777" w:rsidTr="003F5081">
        <w:trPr>
          <w:trHeight w:val="273"/>
        </w:trPr>
        <w:tc>
          <w:tcPr>
            <w:tcW w:w="3375" w:type="dxa"/>
            <w:shd w:val="clear" w:color="000000" w:fill="FFFFFF"/>
            <w:noWrap/>
            <w:vAlign w:val="center"/>
            <w:hideMark/>
          </w:tcPr>
          <w:p w14:paraId="7F5194CF" w14:textId="77777777" w:rsidR="0058157E" w:rsidRPr="009D6776" w:rsidRDefault="0058157E" w:rsidP="003F5081">
            <w:pPr>
              <w:spacing w:after="0" w:line="240" w:lineRule="auto"/>
              <w:rPr>
                <w:rFonts w:ascii="Arial" w:eastAsia="Times New Roman" w:hAnsi="Arial" w:cs="Arial"/>
                <w:sz w:val="18"/>
                <w:szCs w:val="18"/>
              </w:rPr>
            </w:pPr>
            <w:r w:rsidRPr="009D6776">
              <w:rPr>
                <w:rFonts w:ascii="Arial" w:eastAsia="Times New Roman" w:hAnsi="Arial" w:cs="Arial"/>
                <w:sz w:val="18"/>
                <w:szCs w:val="18"/>
              </w:rPr>
              <w:t>Access</w:t>
            </w:r>
          </w:p>
        </w:tc>
        <w:tc>
          <w:tcPr>
            <w:tcW w:w="1459" w:type="dxa"/>
            <w:shd w:val="clear" w:color="000000" w:fill="FFFFFF"/>
            <w:noWrap/>
            <w:vAlign w:val="center"/>
            <w:hideMark/>
          </w:tcPr>
          <w:p w14:paraId="77C6D3AA" w14:textId="77777777" w:rsidR="0058157E" w:rsidRPr="00CA6C1A" w:rsidRDefault="0058157E" w:rsidP="003F5081">
            <w:pPr>
              <w:spacing w:after="0" w:line="240" w:lineRule="auto"/>
              <w:rPr>
                <w:rFonts w:ascii="Arial" w:eastAsia="Times New Roman" w:hAnsi="Arial" w:cs="Arial"/>
                <w:sz w:val="20"/>
                <w:szCs w:val="20"/>
              </w:rPr>
            </w:pPr>
            <w:r>
              <w:rPr>
                <w:rFonts w:ascii="Arial" w:hAnsi="Arial" w:cs="Arial"/>
                <w:sz w:val="18"/>
                <w:szCs w:val="18"/>
              </w:rPr>
              <w:t>-</w:t>
            </w:r>
          </w:p>
        </w:tc>
        <w:tc>
          <w:tcPr>
            <w:tcW w:w="1459" w:type="dxa"/>
            <w:shd w:val="clear" w:color="000000" w:fill="FFFFFF"/>
            <w:noWrap/>
            <w:vAlign w:val="center"/>
            <w:hideMark/>
          </w:tcPr>
          <w:p w14:paraId="21B31460" w14:textId="77777777" w:rsidR="0058157E" w:rsidRPr="00CA6C1A" w:rsidRDefault="0058157E" w:rsidP="003F5081">
            <w:pPr>
              <w:spacing w:after="0" w:line="240" w:lineRule="auto"/>
              <w:rPr>
                <w:rFonts w:ascii="Arial" w:eastAsia="Times New Roman" w:hAnsi="Arial" w:cs="Arial"/>
                <w:sz w:val="20"/>
                <w:szCs w:val="20"/>
              </w:rPr>
            </w:pPr>
            <w:r>
              <w:rPr>
                <w:rFonts w:ascii="Arial" w:hAnsi="Arial" w:cs="Arial"/>
                <w:sz w:val="18"/>
                <w:szCs w:val="18"/>
              </w:rPr>
              <w:t>0.4</w:t>
            </w:r>
          </w:p>
        </w:tc>
        <w:tc>
          <w:tcPr>
            <w:tcW w:w="1459" w:type="dxa"/>
            <w:shd w:val="clear" w:color="000000" w:fill="FFFFFF"/>
            <w:noWrap/>
            <w:vAlign w:val="center"/>
            <w:hideMark/>
          </w:tcPr>
          <w:p w14:paraId="6E2164D7" w14:textId="77777777" w:rsidR="0058157E" w:rsidRPr="00CA6C1A" w:rsidRDefault="0058157E" w:rsidP="003F5081">
            <w:pPr>
              <w:spacing w:after="0" w:line="240" w:lineRule="auto"/>
              <w:rPr>
                <w:rFonts w:ascii="Arial" w:eastAsia="Times New Roman" w:hAnsi="Arial" w:cs="Arial"/>
                <w:sz w:val="20"/>
                <w:szCs w:val="20"/>
              </w:rPr>
            </w:pPr>
            <w:r>
              <w:rPr>
                <w:rFonts w:ascii="Arial" w:hAnsi="Arial" w:cs="Arial"/>
                <w:sz w:val="18"/>
                <w:szCs w:val="18"/>
              </w:rPr>
              <w:t>0.2</w:t>
            </w:r>
          </w:p>
        </w:tc>
        <w:tc>
          <w:tcPr>
            <w:tcW w:w="1461" w:type="dxa"/>
            <w:shd w:val="clear" w:color="000000" w:fill="FFFFFF"/>
            <w:noWrap/>
            <w:vAlign w:val="center"/>
            <w:hideMark/>
          </w:tcPr>
          <w:p w14:paraId="12266E44" w14:textId="77777777" w:rsidR="0058157E" w:rsidRPr="00CA6C1A" w:rsidRDefault="0058157E" w:rsidP="003F5081">
            <w:pPr>
              <w:spacing w:after="0" w:line="240" w:lineRule="auto"/>
              <w:rPr>
                <w:rFonts w:ascii="Arial" w:eastAsia="Times New Roman" w:hAnsi="Arial" w:cs="Arial"/>
                <w:sz w:val="20"/>
                <w:szCs w:val="20"/>
              </w:rPr>
            </w:pPr>
            <w:r>
              <w:rPr>
                <w:rFonts w:ascii="Arial" w:hAnsi="Arial" w:cs="Arial"/>
                <w:sz w:val="18"/>
                <w:szCs w:val="18"/>
              </w:rPr>
              <w:t>0.2</w:t>
            </w:r>
          </w:p>
        </w:tc>
      </w:tr>
      <w:tr w:rsidR="0058157E" w:rsidRPr="00CA6C1A" w14:paraId="6D81B307" w14:textId="77777777" w:rsidTr="003F5081">
        <w:trPr>
          <w:trHeight w:val="273"/>
        </w:trPr>
        <w:tc>
          <w:tcPr>
            <w:tcW w:w="3375" w:type="dxa"/>
            <w:shd w:val="clear" w:color="000000" w:fill="FFFFFF"/>
            <w:noWrap/>
            <w:vAlign w:val="center"/>
            <w:hideMark/>
          </w:tcPr>
          <w:p w14:paraId="0959EB7E" w14:textId="77777777" w:rsidR="0058157E" w:rsidRPr="009D6776" w:rsidRDefault="0058157E" w:rsidP="003F5081">
            <w:pPr>
              <w:spacing w:after="0" w:line="240" w:lineRule="auto"/>
              <w:rPr>
                <w:rFonts w:ascii="Arial" w:eastAsia="Times New Roman" w:hAnsi="Arial" w:cs="Arial"/>
                <w:sz w:val="18"/>
                <w:szCs w:val="18"/>
              </w:rPr>
            </w:pPr>
            <w:r w:rsidRPr="009D6776">
              <w:rPr>
                <w:rFonts w:ascii="Arial" w:eastAsia="Times New Roman" w:hAnsi="Arial" w:cs="Arial"/>
                <w:sz w:val="18"/>
                <w:szCs w:val="18"/>
              </w:rPr>
              <w:t>Corporate</w:t>
            </w:r>
          </w:p>
        </w:tc>
        <w:tc>
          <w:tcPr>
            <w:tcW w:w="1459" w:type="dxa"/>
            <w:shd w:val="clear" w:color="000000" w:fill="FFFFFF"/>
            <w:noWrap/>
            <w:vAlign w:val="center"/>
            <w:hideMark/>
          </w:tcPr>
          <w:p w14:paraId="59ABE39D" w14:textId="77777777" w:rsidR="0058157E" w:rsidRPr="00CA6C1A" w:rsidRDefault="0058157E" w:rsidP="003F5081">
            <w:pPr>
              <w:spacing w:after="0" w:line="240" w:lineRule="auto"/>
              <w:rPr>
                <w:rFonts w:ascii="Arial" w:eastAsia="Times New Roman" w:hAnsi="Arial" w:cs="Arial"/>
                <w:sz w:val="20"/>
                <w:szCs w:val="20"/>
              </w:rPr>
            </w:pPr>
            <w:r>
              <w:rPr>
                <w:rFonts w:ascii="Arial" w:hAnsi="Arial" w:cs="Arial"/>
                <w:sz w:val="18"/>
                <w:szCs w:val="18"/>
              </w:rPr>
              <w:t>1.8</w:t>
            </w:r>
          </w:p>
        </w:tc>
        <w:tc>
          <w:tcPr>
            <w:tcW w:w="1459" w:type="dxa"/>
            <w:shd w:val="clear" w:color="000000" w:fill="FFFFFF"/>
            <w:noWrap/>
            <w:vAlign w:val="center"/>
            <w:hideMark/>
          </w:tcPr>
          <w:p w14:paraId="3247E9A2" w14:textId="77777777" w:rsidR="0058157E" w:rsidRPr="00CA6C1A" w:rsidRDefault="0058157E" w:rsidP="003F5081">
            <w:pPr>
              <w:spacing w:after="0" w:line="240" w:lineRule="auto"/>
              <w:rPr>
                <w:rFonts w:ascii="Arial" w:eastAsia="Times New Roman" w:hAnsi="Arial" w:cs="Arial"/>
                <w:sz w:val="20"/>
                <w:szCs w:val="20"/>
              </w:rPr>
            </w:pPr>
            <w:r>
              <w:rPr>
                <w:rFonts w:ascii="Arial" w:hAnsi="Arial" w:cs="Arial"/>
                <w:sz w:val="18"/>
                <w:szCs w:val="18"/>
              </w:rPr>
              <w:t>1.7</w:t>
            </w:r>
          </w:p>
        </w:tc>
        <w:tc>
          <w:tcPr>
            <w:tcW w:w="1459" w:type="dxa"/>
            <w:shd w:val="clear" w:color="000000" w:fill="FFFFFF"/>
            <w:noWrap/>
            <w:vAlign w:val="center"/>
            <w:hideMark/>
          </w:tcPr>
          <w:p w14:paraId="0BDABF66" w14:textId="77777777" w:rsidR="0058157E" w:rsidRPr="00CA6C1A" w:rsidRDefault="0058157E" w:rsidP="003F5081">
            <w:pPr>
              <w:spacing w:after="0" w:line="240" w:lineRule="auto"/>
              <w:rPr>
                <w:rFonts w:ascii="Arial" w:eastAsia="Times New Roman" w:hAnsi="Arial" w:cs="Arial"/>
                <w:sz w:val="20"/>
                <w:szCs w:val="20"/>
              </w:rPr>
            </w:pPr>
            <w:r>
              <w:rPr>
                <w:rFonts w:ascii="Arial" w:hAnsi="Arial" w:cs="Arial"/>
                <w:sz w:val="18"/>
                <w:szCs w:val="18"/>
              </w:rPr>
              <w:t>1.67</w:t>
            </w:r>
          </w:p>
        </w:tc>
        <w:tc>
          <w:tcPr>
            <w:tcW w:w="1461" w:type="dxa"/>
            <w:shd w:val="clear" w:color="000000" w:fill="FFFFFF"/>
            <w:noWrap/>
            <w:vAlign w:val="center"/>
            <w:hideMark/>
          </w:tcPr>
          <w:p w14:paraId="61ED73D6" w14:textId="77777777" w:rsidR="0058157E" w:rsidRPr="00CA6C1A" w:rsidRDefault="0058157E" w:rsidP="003F5081">
            <w:pPr>
              <w:spacing w:after="0" w:line="240" w:lineRule="auto"/>
              <w:rPr>
                <w:rFonts w:ascii="Arial" w:eastAsia="Times New Roman" w:hAnsi="Arial" w:cs="Arial"/>
                <w:sz w:val="20"/>
                <w:szCs w:val="20"/>
              </w:rPr>
            </w:pPr>
            <w:r>
              <w:rPr>
                <w:rFonts w:ascii="Arial" w:hAnsi="Arial" w:cs="Arial"/>
                <w:sz w:val="18"/>
                <w:szCs w:val="18"/>
              </w:rPr>
              <w:t>1.45</w:t>
            </w:r>
          </w:p>
        </w:tc>
      </w:tr>
      <w:tr w:rsidR="0058157E" w:rsidRPr="00CA6C1A" w14:paraId="247C09BA" w14:textId="77777777" w:rsidTr="003F5081">
        <w:trPr>
          <w:trHeight w:val="288"/>
        </w:trPr>
        <w:tc>
          <w:tcPr>
            <w:tcW w:w="3375" w:type="dxa"/>
            <w:shd w:val="clear" w:color="000000" w:fill="FFFFFF"/>
            <w:noWrap/>
            <w:vAlign w:val="center"/>
            <w:hideMark/>
          </w:tcPr>
          <w:p w14:paraId="23BE0F07" w14:textId="77777777" w:rsidR="0058157E" w:rsidRPr="009D6776" w:rsidRDefault="0058157E" w:rsidP="003F5081">
            <w:pPr>
              <w:spacing w:after="0" w:line="240" w:lineRule="auto"/>
              <w:rPr>
                <w:rFonts w:ascii="Arial" w:eastAsia="Times New Roman" w:hAnsi="Arial" w:cs="Arial"/>
                <w:b/>
                <w:bCs/>
                <w:sz w:val="18"/>
                <w:szCs w:val="18"/>
              </w:rPr>
            </w:pPr>
            <w:r w:rsidRPr="009D6776">
              <w:rPr>
                <w:rFonts w:ascii="Arial" w:eastAsia="Times New Roman" w:hAnsi="Arial" w:cs="Arial"/>
                <w:b/>
                <w:bCs/>
                <w:sz w:val="18"/>
                <w:szCs w:val="18"/>
              </w:rPr>
              <w:t>CIP plan</w:t>
            </w:r>
          </w:p>
        </w:tc>
        <w:tc>
          <w:tcPr>
            <w:tcW w:w="1459" w:type="dxa"/>
            <w:shd w:val="clear" w:color="000000" w:fill="F2F2F2"/>
            <w:noWrap/>
            <w:vAlign w:val="center"/>
            <w:hideMark/>
          </w:tcPr>
          <w:p w14:paraId="4D534035" w14:textId="77777777" w:rsidR="0058157E" w:rsidRPr="00CA6C1A" w:rsidRDefault="0058157E" w:rsidP="003F5081">
            <w:pPr>
              <w:spacing w:after="0" w:line="240" w:lineRule="auto"/>
              <w:rPr>
                <w:rFonts w:ascii="Arial" w:eastAsia="Times New Roman" w:hAnsi="Arial" w:cs="Arial"/>
                <w:b/>
                <w:bCs/>
                <w:sz w:val="20"/>
                <w:szCs w:val="20"/>
              </w:rPr>
            </w:pPr>
            <w:r>
              <w:rPr>
                <w:rFonts w:ascii="Arial" w:hAnsi="Arial" w:cs="Arial"/>
                <w:b/>
                <w:bCs/>
                <w:sz w:val="18"/>
                <w:szCs w:val="18"/>
              </w:rPr>
              <w:t>8.5</w:t>
            </w:r>
          </w:p>
        </w:tc>
        <w:tc>
          <w:tcPr>
            <w:tcW w:w="1459" w:type="dxa"/>
            <w:shd w:val="clear" w:color="000000" w:fill="F2F2F2"/>
            <w:noWrap/>
            <w:vAlign w:val="center"/>
            <w:hideMark/>
          </w:tcPr>
          <w:p w14:paraId="0DD301BB" w14:textId="77777777" w:rsidR="0058157E" w:rsidRPr="00CA6C1A" w:rsidRDefault="0058157E" w:rsidP="003F5081">
            <w:pPr>
              <w:spacing w:after="0" w:line="240" w:lineRule="auto"/>
              <w:rPr>
                <w:rFonts w:ascii="Arial" w:eastAsia="Times New Roman" w:hAnsi="Arial" w:cs="Arial"/>
                <w:b/>
                <w:bCs/>
                <w:sz w:val="20"/>
                <w:szCs w:val="20"/>
              </w:rPr>
            </w:pPr>
            <w:r>
              <w:rPr>
                <w:rFonts w:ascii="Arial" w:hAnsi="Arial" w:cs="Arial"/>
                <w:b/>
                <w:bCs/>
                <w:sz w:val="18"/>
                <w:szCs w:val="18"/>
              </w:rPr>
              <w:t>8.2</w:t>
            </w:r>
          </w:p>
        </w:tc>
        <w:tc>
          <w:tcPr>
            <w:tcW w:w="1459" w:type="dxa"/>
            <w:shd w:val="clear" w:color="000000" w:fill="F2F2F2"/>
            <w:noWrap/>
            <w:vAlign w:val="center"/>
            <w:hideMark/>
          </w:tcPr>
          <w:p w14:paraId="72F6198E" w14:textId="77777777" w:rsidR="0058157E" w:rsidRPr="00CA6C1A" w:rsidRDefault="0058157E" w:rsidP="003F5081">
            <w:pPr>
              <w:spacing w:after="0" w:line="240" w:lineRule="auto"/>
              <w:rPr>
                <w:rFonts w:ascii="Arial" w:eastAsia="Times New Roman" w:hAnsi="Arial" w:cs="Arial"/>
                <w:b/>
                <w:bCs/>
                <w:sz w:val="20"/>
                <w:szCs w:val="20"/>
              </w:rPr>
            </w:pPr>
            <w:r>
              <w:rPr>
                <w:rFonts w:ascii="Arial" w:hAnsi="Arial" w:cs="Arial"/>
                <w:b/>
                <w:bCs/>
                <w:sz w:val="18"/>
                <w:szCs w:val="18"/>
              </w:rPr>
              <w:t>8.1</w:t>
            </w:r>
          </w:p>
        </w:tc>
        <w:tc>
          <w:tcPr>
            <w:tcW w:w="1461" w:type="dxa"/>
            <w:shd w:val="clear" w:color="000000" w:fill="F2F2F2"/>
            <w:noWrap/>
            <w:vAlign w:val="center"/>
            <w:hideMark/>
          </w:tcPr>
          <w:p w14:paraId="663F4662" w14:textId="77777777" w:rsidR="0058157E" w:rsidRPr="00CA6C1A" w:rsidRDefault="0058157E" w:rsidP="003F5081">
            <w:pPr>
              <w:spacing w:after="0" w:line="240" w:lineRule="auto"/>
              <w:rPr>
                <w:rFonts w:ascii="Arial" w:eastAsia="Times New Roman" w:hAnsi="Arial" w:cs="Arial"/>
                <w:b/>
                <w:bCs/>
                <w:sz w:val="20"/>
                <w:szCs w:val="20"/>
              </w:rPr>
            </w:pPr>
            <w:r>
              <w:rPr>
                <w:rFonts w:ascii="Arial" w:hAnsi="Arial" w:cs="Arial"/>
                <w:b/>
                <w:bCs/>
                <w:sz w:val="18"/>
                <w:szCs w:val="18"/>
              </w:rPr>
              <w:t>7.0</w:t>
            </w:r>
          </w:p>
        </w:tc>
      </w:tr>
      <w:tr w:rsidR="0058157E" w:rsidRPr="00CA6C1A" w14:paraId="5E7627F7" w14:textId="77777777" w:rsidTr="003F5081">
        <w:trPr>
          <w:trHeight w:val="273"/>
        </w:trPr>
        <w:tc>
          <w:tcPr>
            <w:tcW w:w="3375" w:type="dxa"/>
            <w:shd w:val="clear" w:color="000000" w:fill="FFFFFF"/>
            <w:noWrap/>
            <w:vAlign w:val="bottom"/>
            <w:hideMark/>
          </w:tcPr>
          <w:p w14:paraId="458DDC2B" w14:textId="77777777" w:rsidR="0058157E" w:rsidRPr="009D6776" w:rsidRDefault="0058157E" w:rsidP="003F5081">
            <w:pPr>
              <w:spacing w:after="0" w:line="240" w:lineRule="auto"/>
              <w:rPr>
                <w:rFonts w:ascii="Arial" w:eastAsia="Times New Roman" w:hAnsi="Arial" w:cs="Arial"/>
                <w:i/>
                <w:iCs/>
                <w:color w:val="000000"/>
                <w:sz w:val="18"/>
                <w:szCs w:val="18"/>
              </w:rPr>
            </w:pPr>
            <w:r w:rsidRPr="009D6776">
              <w:rPr>
                <w:rFonts w:ascii="Arial" w:eastAsia="Times New Roman" w:hAnsi="Arial" w:cs="Arial"/>
                <w:i/>
                <w:iCs/>
                <w:color w:val="000000"/>
                <w:sz w:val="18"/>
                <w:szCs w:val="18"/>
              </w:rPr>
              <w:t>CIP % of Operating expenses</w:t>
            </w:r>
          </w:p>
        </w:tc>
        <w:tc>
          <w:tcPr>
            <w:tcW w:w="1459" w:type="dxa"/>
            <w:shd w:val="clear" w:color="000000" w:fill="FFFFFF"/>
            <w:noWrap/>
            <w:vAlign w:val="center"/>
            <w:hideMark/>
          </w:tcPr>
          <w:p w14:paraId="6E442EEA" w14:textId="77777777" w:rsidR="0058157E" w:rsidRPr="00CA6C1A" w:rsidRDefault="0058157E" w:rsidP="003F5081">
            <w:pPr>
              <w:spacing w:after="0" w:line="240" w:lineRule="auto"/>
              <w:rPr>
                <w:rFonts w:ascii="Arial" w:eastAsia="Times New Roman" w:hAnsi="Arial" w:cs="Arial"/>
                <w:i/>
                <w:iCs/>
                <w:sz w:val="20"/>
                <w:szCs w:val="20"/>
              </w:rPr>
            </w:pPr>
            <w:r>
              <w:rPr>
                <w:rFonts w:ascii="Arial" w:hAnsi="Arial" w:cs="Arial"/>
                <w:i/>
                <w:iCs/>
                <w:sz w:val="18"/>
                <w:szCs w:val="18"/>
              </w:rPr>
              <w:t>4.2%</w:t>
            </w:r>
          </w:p>
        </w:tc>
        <w:tc>
          <w:tcPr>
            <w:tcW w:w="1459" w:type="dxa"/>
            <w:shd w:val="clear" w:color="000000" w:fill="FFFFFF"/>
            <w:noWrap/>
            <w:vAlign w:val="center"/>
            <w:hideMark/>
          </w:tcPr>
          <w:p w14:paraId="48C8CA48" w14:textId="77777777" w:rsidR="0058157E" w:rsidRPr="00CA6C1A" w:rsidRDefault="0058157E" w:rsidP="003F5081">
            <w:pPr>
              <w:spacing w:after="0" w:line="240" w:lineRule="auto"/>
              <w:rPr>
                <w:rFonts w:ascii="Arial" w:eastAsia="Times New Roman" w:hAnsi="Arial" w:cs="Arial"/>
                <w:i/>
                <w:iCs/>
                <w:sz w:val="20"/>
                <w:szCs w:val="20"/>
              </w:rPr>
            </w:pPr>
            <w:r>
              <w:rPr>
                <w:rFonts w:ascii="Arial" w:hAnsi="Arial" w:cs="Arial"/>
                <w:i/>
                <w:iCs/>
                <w:sz w:val="18"/>
                <w:szCs w:val="18"/>
              </w:rPr>
              <w:t>4.0%</w:t>
            </w:r>
          </w:p>
        </w:tc>
        <w:tc>
          <w:tcPr>
            <w:tcW w:w="1459" w:type="dxa"/>
            <w:shd w:val="clear" w:color="000000" w:fill="FFFFFF"/>
            <w:noWrap/>
            <w:vAlign w:val="center"/>
            <w:hideMark/>
          </w:tcPr>
          <w:p w14:paraId="5A050EFC" w14:textId="77777777" w:rsidR="0058157E" w:rsidRPr="00CA6C1A" w:rsidRDefault="0058157E" w:rsidP="003F5081">
            <w:pPr>
              <w:spacing w:after="0" w:line="240" w:lineRule="auto"/>
              <w:rPr>
                <w:rFonts w:ascii="Arial" w:eastAsia="Times New Roman" w:hAnsi="Arial" w:cs="Arial"/>
                <w:i/>
                <w:iCs/>
                <w:sz w:val="20"/>
                <w:szCs w:val="20"/>
              </w:rPr>
            </w:pPr>
            <w:r>
              <w:rPr>
                <w:rFonts w:ascii="Arial" w:hAnsi="Arial" w:cs="Arial"/>
                <w:i/>
                <w:iCs/>
                <w:sz w:val="18"/>
                <w:szCs w:val="18"/>
              </w:rPr>
              <w:t>3.7%</w:t>
            </w:r>
          </w:p>
        </w:tc>
        <w:tc>
          <w:tcPr>
            <w:tcW w:w="1461" w:type="dxa"/>
            <w:shd w:val="clear" w:color="000000" w:fill="FFFFFF"/>
            <w:noWrap/>
            <w:vAlign w:val="center"/>
            <w:hideMark/>
          </w:tcPr>
          <w:p w14:paraId="0F1CC9CB" w14:textId="77777777" w:rsidR="0058157E" w:rsidRPr="00CA6C1A" w:rsidRDefault="0058157E" w:rsidP="003F5081">
            <w:pPr>
              <w:spacing w:after="0" w:line="240" w:lineRule="auto"/>
              <w:rPr>
                <w:rFonts w:ascii="Arial" w:eastAsia="Times New Roman" w:hAnsi="Arial" w:cs="Arial"/>
                <w:i/>
                <w:iCs/>
                <w:sz w:val="20"/>
                <w:szCs w:val="20"/>
              </w:rPr>
            </w:pPr>
            <w:r>
              <w:rPr>
                <w:rFonts w:ascii="Arial" w:hAnsi="Arial" w:cs="Arial"/>
                <w:i/>
                <w:iCs/>
                <w:sz w:val="18"/>
                <w:szCs w:val="18"/>
              </w:rPr>
              <w:t>3.0%</w:t>
            </w:r>
          </w:p>
        </w:tc>
      </w:tr>
    </w:tbl>
    <w:p w14:paraId="7CB66B25" w14:textId="77777777" w:rsidR="005E30EF" w:rsidRDefault="005E30EF" w:rsidP="00F510EC">
      <w:pPr>
        <w:spacing w:after="0"/>
        <w:rPr>
          <w:b/>
        </w:rPr>
      </w:pPr>
    </w:p>
    <w:p w14:paraId="7D395E34" w14:textId="63A5E249" w:rsidR="005E30EF" w:rsidRDefault="005E30EF" w:rsidP="00B72F95">
      <w:pPr>
        <w:rPr>
          <w:rFonts w:ascii="Arial" w:hAnsi="Arial" w:cs="Arial"/>
        </w:rPr>
      </w:pPr>
      <w:r w:rsidRPr="00237844">
        <w:rPr>
          <w:rFonts w:ascii="Arial" w:hAnsi="Arial" w:cs="Arial"/>
        </w:rPr>
        <w:t>Out of £31.8m of planned efficiencies</w:t>
      </w:r>
      <w:r>
        <w:rPr>
          <w:rFonts w:ascii="Arial" w:hAnsi="Arial" w:cs="Arial"/>
        </w:rPr>
        <w:t>,</w:t>
      </w:r>
      <w:r w:rsidRPr="00237844">
        <w:rPr>
          <w:rFonts w:ascii="Arial" w:hAnsi="Arial" w:cs="Arial"/>
        </w:rPr>
        <w:t xml:space="preserve"> the </w:t>
      </w:r>
      <w:r w:rsidR="00F510EC">
        <w:rPr>
          <w:rFonts w:ascii="Arial" w:hAnsi="Arial" w:cs="Arial"/>
        </w:rPr>
        <w:t>t</w:t>
      </w:r>
      <w:r w:rsidRPr="00237844">
        <w:rPr>
          <w:rFonts w:ascii="Arial" w:hAnsi="Arial" w:cs="Arial"/>
        </w:rPr>
        <w:t>rust has delivered £25.9m</w:t>
      </w:r>
      <w:r>
        <w:rPr>
          <w:rFonts w:ascii="Arial" w:hAnsi="Arial" w:cs="Arial"/>
        </w:rPr>
        <w:t>, 81% of planned over the last four</w:t>
      </w:r>
      <w:r w:rsidRPr="00237844">
        <w:rPr>
          <w:rFonts w:ascii="Arial" w:hAnsi="Arial" w:cs="Arial"/>
        </w:rPr>
        <w:t xml:space="preserve"> years. Delivery of savings has allowed the </w:t>
      </w:r>
      <w:r w:rsidR="00F510EC">
        <w:rPr>
          <w:rFonts w:ascii="Arial" w:hAnsi="Arial" w:cs="Arial"/>
        </w:rPr>
        <w:t>t</w:t>
      </w:r>
      <w:r w:rsidRPr="00237844">
        <w:rPr>
          <w:rFonts w:ascii="Arial" w:hAnsi="Arial" w:cs="Arial"/>
        </w:rPr>
        <w:t xml:space="preserve">rust to maintain </w:t>
      </w:r>
      <w:r w:rsidR="00DA6AE4">
        <w:rPr>
          <w:rFonts w:ascii="Arial" w:hAnsi="Arial" w:cs="Arial"/>
        </w:rPr>
        <w:t xml:space="preserve">a </w:t>
      </w:r>
      <w:r w:rsidRPr="00237844">
        <w:rPr>
          <w:rFonts w:ascii="Arial" w:hAnsi="Arial" w:cs="Arial"/>
        </w:rPr>
        <w:t xml:space="preserve">surplus position </w:t>
      </w:r>
      <w:r w:rsidRPr="00F510EC">
        <w:rPr>
          <w:rFonts w:ascii="Arial" w:hAnsi="Arial" w:cs="Arial"/>
        </w:rPr>
        <w:t xml:space="preserve">despite the very challenging NHS finance environment. </w:t>
      </w:r>
      <w:r w:rsidR="00F510EC" w:rsidRPr="00F510EC">
        <w:rPr>
          <w:rFonts w:ascii="Arial" w:hAnsi="Arial" w:cs="Arial"/>
        </w:rPr>
        <w:fldChar w:fldCharType="begin"/>
      </w:r>
      <w:r w:rsidR="00F510EC" w:rsidRPr="00F510EC">
        <w:rPr>
          <w:rFonts w:ascii="Arial" w:hAnsi="Arial" w:cs="Arial"/>
        </w:rPr>
        <w:instrText xml:space="preserve"> REF _Ref30431967 \h </w:instrText>
      </w:r>
      <w:r w:rsidR="00F510EC">
        <w:rPr>
          <w:rFonts w:ascii="Arial" w:hAnsi="Arial" w:cs="Arial"/>
        </w:rPr>
        <w:instrText xml:space="preserve"> \* MERGEFORMAT </w:instrText>
      </w:r>
      <w:r w:rsidR="00F510EC" w:rsidRPr="00F510EC">
        <w:rPr>
          <w:rFonts w:ascii="Arial" w:hAnsi="Arial" w:cs="Arial"/>
        </w:rPr>
      </w:r>
      <w:r w:rsidR="00F510EC" w:rsidRPr="00F510EC">
        <w:rPr>
          <w:rFonts w:ascii="Arial" w:hAnsi="Arial" w:cs="Arial"/>
        </w:rPr>
        <w:fldChar w:fldCharType="separate"/>
      </w:r>
      <w:r w:rsidR="00A936CD" w:rsidRPr="00A936CD">
        <w:rPr>
          <w:rFonts w:ascii="Arial" w:hAnsi="Arial" w:cs="Arial"/>
        </w:rPr>
        <w:t xml:space="preserve">Table </w:t>
      </w:r>
      <w:r w:rsidR="00A936CD" w:rsidRPr="00A936CD">
        <w:rPr>
          <w:rFonts w:ascii="Arial" w:hAnsi="Arial" w:cs="Arial"/>
          <w:noProof/>
        </w:rPr>
        <w:t>27</w:t>
      </w:r>
      <w:r w:rsidR="00F510EC" w:rsidRPr="00F510EC">
        <w:rPr>
          <w:rFonts w:ascii="Arial" w:hAnsi="Arial" w:cs="Arial"/>
        </w:rPr>
        <w:fldChar w:fldCharType="end"/>
      </w:r>
      <w:r w:rsidR="00F510EC" w:rsidRPr="00F510EC">
        <w:rPr>
          <w:rFonts w:ascii="Arial" w:hAnsi="Arial" w:cs="Arial"/>
        </w:rPr>
        <w:t xml:space="preserve"> </w:t>
      </w:r>
      <w:r w:rsidRPr="00F510EC">
        <w:rPr>
          <w:rFonts w:ascii="Arial" w:hAnsi="Arial" w:cs="Arial"/>
        </w:rPr>
        <w:t>shows achieved efficiency</w:t>
      </w:r>
      <w:r>
        <w:rPr>
          <w:rFonts w:ascii="Arial" w:hAnsi="Arial" w:cs="Arial"/>
        </w:rPr>
        <w:t xml:space="preserve"> schemes over the last four</w:t>
      </w:r>
      <w:r w:rsidRPr="00237844">
        <w:rPr>
          <w:rFonts w:ascii="Arial" w:hAnsi="Arial" w:cs="Arial"/>
        </w:rPr>
        <w:t xml:space="preserve"> years. In </w:t>
      </w:r>
      <w:r>
        <w:rPr>
          <w:rFonts w:ascii="Arial" w:hAnsi="Arial" w:cs="Arial"/>
        </w:rPr>
        <w:t>FY17</w:t>
      </w:r>
      <w:r w:rsidRPr="00237844">
        <w:rPr>
          <w:rFonts w:ascii="Arial" w:hAnsi="Arial" w:cs="Arial"/>
        </w:rPr>
        <w:t xml:space="preserve"> £6.2m </w:t>
      </w:r>
      <w:r w:rsidR="00F510EC">
        <w:rPr>
          <w:rFonts w:ascii="Arial" w:hAnsi="Arial" w:cs="Arial"/>
        </w:rPr>
        <w:t xml:space="preserve">was achieved, </w:t>
      </w:r>
      <w:r w:rsidRPr="00237844">
        <w:rPr>
          <w:rFonts w:ascii="Arial" w:hAnsi="Arial" w:cs="Arial"/>
        </w:rPr>
        <w:t xml:space="preserve">increasing to £6.8m in </w:t>
      </w:r>
      <w:r>
        <w:rPr>
          <w:rFonts w:ascii="Arial" w:hAnsi="Arial" w:cs="Arial"/>
        </w:rPr>
        <w:t>FY19,</w:t>
      </w:r>
      <w:r w:rsidRPr="00237844">
        <w:rPr>
          <w:rFonts w:ascii="Arial" w:hAnsi="Arial" w:cs="Arial"/>
        </w:rPr>
        <w:t xml:space="preserve"> representing 3.1% of operating expenses. Achievement against p</w:t>
      </w:r>
      <w:r>
        <w:rPr>
          <w:rFonts w:ascii="Arial" w:hAnsi="Arial" w:cs="Arial"/>
        </w:rPr>
        <w:t>lan has improved over the last four</w:t>
      </w:r>
      <w:r w:rsidRPr="00237844">
        <w:rPr>
          <w:rFonts w:ascii="Arial" w:hAnsi="Arial" w:cs="Arial"/>
        </w:rPr>
        <w:t xml:space="preserve"> years from 72.8% to 86.6%.</w:t>
      </w:r>
    </w:p>
    <w:p w14:paraId="3D464E40" w14:textId="1333C1DB" w:rsidR="00F510EC" w:rsidRDefault="00F510EC" w:rsidP="00F510EC">
      <w:pPr>
        <w:pStyle w:val="Caption"/>
      </w:pPr>
      <w:bookmarkStart w:id="303" w:name="_Ref30431967"/>
      <w:r>
        <w:t xml:space="preserve">Table </w:t>
      </w:r>
      <w:r>
        <w:fldChar w:fldCharType="begin"/>
      </w:r>
      <w:r>
        <w:instrText xml:space="preserve"> SEQ Table \* ARABIC </w:instrText>
      </w:r>
      <w:r>
        <w:fldChar w:fldCharType="separate"/>
      </w:r>
      <w:r w:rsidR="00A936CD">
        <w:rPr>
          <w:noProof/>
        </w:rPr>
        <w:t>27</w:t>
      </w:r>
      <w:r>
        <w:fldChar w:fldCharType="end"/>
      </w:r>
      <w:bookmarkEnd w:id="303"/>
      <w:r>
        <w:t xml:space="preserve">: </w:t>
      </w:r>
      <w:r w:rsidRPr="00E4786C">
        <w:rPr>
          <w:b w:val="0"/>
          <w:bCs w:val="0"/>
        </w:rPr>
        <w:t xml:space="preserve">Efficiency schemes </w:t>
      </w:r>
      <w:r>
        <w:rPr>
          <w:b w:val="0"/>
          <w:bCs w:val="0"/>
        </w:rPr>
        <w:t xml:space="preserve">achieved </w:t>
      </w:r>
      <w:r w:rsidRPr="00E4786C">
        <w:rPr>
          <w:b w:val="0"/>
          <w:bCs w:val="0"/>
        </w:rPr>
        <w:t>FY17 - FY20</w:t>
      </w:r>
    </w:p>
    <w:tbl>
      <w:tblPr>
        <w:tblW w:w="93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4"/>
        <w:gridCol w:w="1476"/>
        <w:gridCol w:w="1476"/>
        <w:gridCol w:w="1476"/>
        <w:gridCol w:w="1478"/>
      </w:tblGrid>
      <w:tr w:rsidR="0058157E" w:rsidRPr="0066264B" w14:paraId="41237F06" w14:textId="77777777" w:rsidTr="003F5081">
        <w:trPr>
          <w:trHeight w:val="275"/>
        </w:trPr>
        <w:tc>
          <w:tcPr>
            <w:tcW w:w="3414" w:type="dxa"/>
            <w:vMerge w:val="restart"/>
            <w:shd w:val="clear" w:color="auto" w:fill="4F81BD"/>
            <w:vAlign w:val="center"/>
            <w:hideMark/>
          </w:tcPr>
          <w:p w14:paraId="01F6119E" w14:textId="77777777" w:rsidR="0058157E" w:rsidRPr="00B22EBA" w:rsidRDefault="0058157E" w:rsidP="003F5081">
            <w:pPr>
              <w:spacing w:after="0" w:line="240" w:lineRule="auto"/>
              <w:rPr>
                <w:rFonts w:ascii="Arial" w:eastAsia="Times New Roman" w:hAnsi="Arial" w:cs="Arial"/>
                <w:b/>
                <w:bCs/>
                <w:i/>
                <w:iCs/>
                <w:color w:val="FFFFFF"/>
                <w:sz w:val="20"/>
                <w:szCs w:val="20"/>
              </w:rPr>
            </w:pPr>
            <w:r w:rsidRPr="00B22EBA">
              <w:rPr>
                <w:rFonts w:ascii="Arial" w:eastAsia="Times New Roman" w:hAnsi="Arial" w:cs="Arial"/>
                <w:b/>
                <w:bCs/>
                <w:i/>
                <w:iCs/>
                <w:color w:val="FFFFFF"/>
                <w:sz w:val="20"/>
                <w:szCs w:val="20"/>
              </w:rPr>
              <w:t>Efficiency Schemes</w:t>
            </w:r>
            <w:r w:rsidRPr="00B22EBA">
              <w:rPr>
                <w:rFonts w:ascii="Arial" w:eastAsia="Times New Roman" w:hAnsi="Arial" w:cs="Arial"/>
                <w:b/>
                <w:bCs/>
                <w:i/>
                <w:iCs/>
                <w:color w:val="FFFFFF"/>
                <w:sz w:val="20"/>
                <w:szCs w:val="20"/>
              </w:rPr>
              <w:br/>
              <w:t>£m</w:t>
            </w:r>
          </w:p>
        </w:tc>
        <w:tc>
          <w:tcPr>
            <w:tcW w:w="5906" w:type="dxa"/>
            <w:gridSpan w:val="4"/>
            <w:shd w:val="clear" w:color="auto" w:fill="4F81BD"/>
            <w:noWrap/>
            <w:vAlign w:val="center"/>
            <w:hideMark/>
          </w:tcPr>
          <w:p w14:paraId="580E8C26" w14:textId="77777777" w:rsidR="0058157E" w:rsidRPr="00B22EBA" w:rsidRDefault="0058157E" w:rsidP="003F5081">
            <w:pPr>
              <w:spacing w:after="0" w:line="240" w:lineRule="auto"/>
              <w:rPr>
                <w:rFonts w:ascii="Arial" w:eastAsia="Times New Roman" w:hAnsi="Arial" w:cs="Arial"/>
                <w:b/>
                <w:bCs/>
                <w:color w:val="FFFFFF"/>
                <w:sz w:val="20"/>
                <w:szCs w:val="20"/>
              </w:rPr>
            </w:pPr>
            <w:r w:rsidRPr="00B22EBA">
              <w:rPr>
                <w:rFonts w:ascii="Arial" w:eastAsia="Times New Roman" w:hAnsi="Arial" w:cs="Arial"/>
                <w:b/>
                <w:bCs/>
                <w:color w:val="FFFFFF"/>
                <w:sz w:val="20"/>
                <w:szCs w:val="20"/>
              </w:rPr>
              <w:t>Achieved</w:t>
            </w:r>
          </w:p>
        </w:tc>
      </w:tr>
      <w:tr w:rsidR="0058157E" w:rsidRPr="0066264B" w14:paraId="7523A3D3" w14:textId="77777777" w:rsidTr="003F5081">
        <w:trPr>
          <w:trHeight w:val="275"/>
        </w:trPr>
        <w:tc>
          <w:tcPr>
            <w:tcW w:w="3414" w:type="dxa"/>
            <w:vMerge/>
            <w:shd w:val="clear" w:color="auto" w:fill="4F81BD"/>
            <w:vAlign w:val="center"/>
            <w:hideMark/>
          </w:tcPr>
          <w:p w14:paraId="09CCE545" w14:textId="77777777" w:rsidR="0058157E" w:rsidRPr="0066264B" w:rsidRDefault="0058157E" w:rsidP="003F5081">
            <w:pPr>
              <w:spacing w:after="0" w:line="240" w:lineRule="auto"/>
              <w:rPr>
                <w:rFonts w:ascii="Arial" w:eastAsia="Times New Roman" w:hAnsi="Arial" w:cs="Arial"/>
                <w:b/>
                <w:bCs/>
                <w:i/>
                <w:iCs/>
                <w:color w:val="FFFFFF"/>
                <w:sz w:val="24"/>
                <w:szCs w:val="24"/>
              </w:rPr>
            </w:pPr>
          </w:p>
        </w:tc>
        <w:tc>
          <w:tcPr>
            <w:tcW w:w="1476" w:type="dxa"/>
            <w:shd w:val="clear" w:color="auto" w:fill="4F81BD"/>
            <w:vAlign w:val="center"/>
            <w:hideMark/>
          </w:tcPr>
          <w:p w14:paraId="1484449D" w14:textId="77777777" w:rsidR="0058157E" w:rsidRPr="0066264B" w:rsidRDefault="0058157E" w:rsidP="003F5081">
            <w:pPr>
              <w:spacing w:after="0" w:line="240" w:lineRule="auto"/>
              <w:rPr>
                <w:rFonts w:ascii="Arial" w:eastAsia="Times New Roman" w:hAnsi="Arial" w:cs="Arial"/>
                <w:b/>
                <w:bCs/>
                <w:color w:val="FFFFFF"/>
                <w:sz w:val="20"/>
                <w:szCs w:val="20"/>
              </w:rPr>
            </w:pPr>
            <w:r>
              <w:rPr>
                <w:rFonts w:ascii="Arial" w:eastAsia="Times New Roman" w:hAnsi="Arial" w:cs="Arial"/>
                <w:b/>
                <w:bCs/>
                <w:color w:val="FFFFFF"/>
                <w:sz w:val="20"/>
                <w:szCs w:val="20"/>
              </w:rPr>
              <w:t>FY17</w:t>
            </w:r>
          </w:p>
        </w:tc>
        <w:tc>
          <w:tcPr>
            <w:tcW w:w="1476" w:type="dxa"/>
            <w:shd w:val="clear" w:color="auto" w:fill="4F81BD"/>
            <w:vAlign w:val="center"/>
            <w:hideMark/>
          </w:tcPr>
          <w:p w14:paraId="3148E585" w14:textId="77777777" w:rsidR="0058157E" w:rsidRPr="00B22EBA" w:rsidRDefault="0058157E" w:rsidP="003F5081">
            <w:pPr>
              <w:spacing w:after="0" w:line="240" w:lineRule="auto"/>
              <w:rPr>
                <w:rFonts w:ascii="Arial" w:eastAsia="Times New Roman" w:hAnsi="Arial" w:cs="Arial"/>
                <w:b/>
                <w:bCs/>
                <w:color w:val="FFFFFF"/>
                <w:sz w:val="20"/>
                <w:szCs w:val="20"/>
              </w:rPr>
            </w:pPr>
            <w:r w:rsidRPr="00B22EBA">
              <w:rPr>
                <w:rFonts w:ascii="Arial" w:eastAsia="Times New Roman" w:hAnsi="Arial" w:cs="Arial"/>
                <w:b/>
                <w:bCs/>
                <w:color w:val="FFFFFF"/>
                <w:sz w:val="20"/>
                <w:szCs w:val="20"/>
              </w:rPr>
              <w:t>FY18</w:t>
            </w:r>
          </w:p>
        </w:tc>
        <w:tc>
          <w:tcPr>
            <w:tcW w:w="1476" w:type="dxa"/>
            <w:shd w:val="clear" w:color="auto" w:fill="4F81BD"/>
            <w:vAlign w:val="center"/>
            <w:hideMark/>
          </w:tcPr>
          <w:p w14:paraId="5499F8C8" w14:textId="77777777" w:rsidR="0058157E" w:rsidRPr="00B22EBA" w:rsidRDefault="0058157E" w:rsidP="003F5081">
            <w:pPr>
              <w:spacing w:after="0" w:line="240" w:lineRule="auto"/>
              <w:rPr>
                <w:rFonts w:ascii="Arial" w:eastAsia="Times New Roman" w:hAnsi="Arial" w:cs="Arial"/>
                <w:b/>
                <w:bCs/>
                <w:color w:val="FFFFFF"/>
                <w:sz w:val="20"/>
                <w:szCs w:val="20"/>
              </w:rPr>
            </w:pPr>
            <w:r w:rsidRPr="00B22EBA">
              <w:rPr>
                <w:rFonts w:ascii="Arial" w:eastAsia="Times New Roman" w:hAnsi="Arial" w:cs="Arial"/>
                <w:b/>
                <w:bCs/>
                <w:color w:val="FFFFFF"/>
                <w:sz w:val="20"/>
                <w:szCs w:val="20"/>
              </w:rPr>
              <w:t xml:space="preserve">FY19 </w:t>
            </w:r>
          </w:p>
        </w:tc>
        <w:tc>
          <w:tcPr>
            <w:tcW w:w="1478" w:type="dxa"/>
            <w:shd w:val="clear" w:color="auto" w:fill="4F81BD"/>
            <w:vAlign w:val="center"/>
            <w:hideMark/>
          </w:tcPr>
          <w:p w14:paraId="31E9E5DA" w14:textId="77777777" w:rsidR="0058157E" w:rsidRPr="00B22EBA" w:rsidRDefault="0058157E" w:rsidP="003F5081">
            <w:pPr>
              <w:spacing w:after="0" w:line="240" w:lineRule="auto"/>
              <w:rPr>
                <w:rFonts w:ascii="Arial" w:eastAsia="Times New Roman" w:hAnsi="Arial" w:cs="Arial"/>
                <w:b/>
                <w:bCs/>
                <w:color w:val="FFFFFF"/>
                <w:sz w:val="20"/>
                <w:szCs w:val="20"/>
              </w:rPr>
            </w:pPr>
            <w:r w:rsidRPr="00B22EBA">
              <w:rPr>
                <w:rFonts w:ascii="Arial" w:eastAsia="Times New Roman" w:hAnsi="Arial" w:cs="Arial"/>
                <w:b/>
                <w:bCs/>
                <w:color w:val="FFFFFF"/>
                <w:sz w:val="20"/>
                <w:szCs w:val="20"/>
              </w:rPr>
              <w:t>FY20</w:t>
            </w:r>
          </w:p>
        </w:tc>
      </w:tr>
      <w:tr w:rsidR="0058157E" w:rsidRPr="0066264B" w14:paraId="02654B0F" w14:textId="77777777" w:rsidTr="003F5081">
        <w:trPr>
          <w:trHeight w:val="275"/>
        </w:trPr>
        <w:tc>
          <w:tcPr>
            <w:tcW w:w="3414" w:type="dxa"/>
            <w:shd w:val="clear" w:color="000000" w:fill="FFFFFF"/>
            <w:noWrap/>
            <w:vAlign w:val="center"/>
            <w:hideMark/>
          </w:tcPr>
          <w:p w14:paraId="7350C85D" w14:textId="77777777" w:rsidR="0058157E" w:rsidRPr="00B22EBA" w:rsidRDefault="0058157E" w:rsidP="003F5081">
            <w:pPr>
              <w:spacing w:after="0" w:line="240" w:lineRule="auto"/>
              <w:rPr>
                <w:rFonts w:ascii="Arial" w:eastAsia="Times New Roman" w:hAnsi="Arial" w:cs="Arial"/>
                <w:sz w:val="18"/>
                <w:szCs w:val="18"/>
              </w:rPr>
            </w:pPr>
            <w:r w:rsidRPr="00B22EBA">
              <w:rPr>
                <w:rFonts w:ascii="Arial" w:eastAsia="Times New Roman" w:hAnsi="Arial" w:cs="Arial"/>
                <w:sz w:val="18"/>
                <w:szCs w:val="18"/>
              </w:rPr>
              <w:t>City Road</w:t>
            </w:r>
          </w:p>
        </w:tc>
        <w:tc>
          <w:tcPr>
            <w:tcW w:w="1476" w:type="dxa"/>
            <w:shd w:val="clear" w:color="000000" w:fill="FFFFFF"/>
            <w:noWrap/>
            <w:vAlign w:val="center"/>
            <w:hideMark/>
          </w:tcPr>
          <w:p w14:paraId="7D239B95" w14:textId="77777777" w:rsidR="0058157E" w:rsidRPr="0066264B" w:rsidRDefault="0058157E" w:rsidP="003F5081">
            <w:pPr>
              <w:spacing w:after="0" w:line="240" w:lineRule="auto"/>
              <w:rPr>
                <w:rFonts w:ascii="Arial" w:eastAsia="Times New Roman" w:hAnsi="Arial" w:cs="Arial"/>
                <w:sz w:val="20"/>
                <w:szCs w:val="20"/>
              </w:rPr>
            </w:pPr>
            <w:r>
              <w:rPr>
                <w:rFonts w:ascii="Arial" w:hAnsi="Arial" w:cs="Arial"/>
                <w:sz w:val="18"/>
                <w:szCs w:val="18"/>
              </w:rPr>
              <w:t>2.2</w:t>
            </w:r>
          </w:p>
        </w:tc>
        <w:tc>
          <w:tcPr>
            <w:tcW w:w="1476" w:type="dxa"/>
            <w:shd w:val="clear" w:color="000000" w:fill="FFFFFF"/>
            <w:noWrap/>
            <w:vAlign w:val="center"/>
            <w:hideMark/>
          </w:tcPr>
          <w:p w14:paraId="5A149073" w14:textId="77777777" w:rsidR="0058157E" w:rsidRPr="0066264B" w:rsidRDefault="0058157E" w:rsidP="003F5081">
            <w:pPr>
              <w:spacing w:after="0" w:line="240" w:lineRule="auto"/>
              <w:rPr>
                <w:rFonts w:ascii="Arial" w:eastAsia="Times New Roman" w:hAnsi="Arial" w:cs="Arial"/>
                <w:sz w:val="20"/>
                <w:szCs w:val="20"/>
              </w:rPr>
            </w:pPr>
            <w:r>
              <w:rPr>
                <w:rFonts w:ascii="Arial" w:hAnsi="Arial" w:cs="Arial"/>
                <w:sz w:val="18"/>
                <w:szCs w:val="18"/>
              </w:rPr>
              <w:t>3.7</w:t>
            </w:r>
          </w:p>
        </w:tc>
        <w:tc>
          <w:tcPr>
            <w:tcW w:w="1476" w:type="dxa"/>
            <w:shd w:val="clear" w:color="000000" w:fill="FFFFFF"/>
            <w:noWrap/>
            <w:vAlign w:val="center"/>
            <w:hideMark/>
          </w:tcPr>
          <w:p w14:paraId="61F66637" w14:textId="77777777" w:rsidR="0058157E" w:rsidRPr="0066264B" w:rsidRDefault="0058157E" w:rsidP="003F5081">
            <w:pPr>
              <w:spacing w:after="0" w:line="240" w:lineRule="auto"/>
              <w:rPr>
                <w:rFonts w:ascii="Arial" w:eastAsia="Times New Roman" w:hAnsi="Arial" w:cs="Arial"/>
                <w:sz w:val="20"/>
                <w:szCs w:val="20"/>
              </w:rPr>
            </w:pPr>
            <w:r>
              <w:rPr>
                <w:rFonts w:ascii="Arial" w:hAnsi="Arial" w:cs="Arial"/>
                <w:sz w:val="18"/>
                <w:szCs w:val="18"/>
              </w:rPr>
              <w:t>2.9</w:t>
            </w:r>
          </w:p>
        </w:tc>
        <w:tc>
          <w:tcPr>
            <w:tcW w:w="1478" w:type="dxa"/>
            <w:shd w:val="clear" w:color="000000" w:fill="FFFFFF"/>
            <w:noWrap/>
            <w:vAlign w:val="center"/>
            <w:hideMark/>
          </w:tcPr>
          <w:p w14:paraId="44BC2F09" w14:textId="77777777" w:rsidR="0058157E" w:rsidRPr="0066264B" w:rsidRDefault="0058157E" w:rsidP="003F5081">
            <w:pPr>
              <w:spacing w:after="0" w:line="240" w:lineRule="auto"/>
              <w:rPr>
                <w:rFonts w:ascii="Arial" w:eastAsia="Times New Roman" w:hAnsi="Arial" w:cs="Arial"/>
                <w:sz w:val="20"/>
                <w:szCs w:val="20"/>
              </w:rPr>
            </w:pPr>
            <w:r>
              <w:rPr>
                <w:rFonts w:ascii="Arial" w:hAnsi="Arial" w:cs="Arial"/>
                <w:sz w:val="18"/>
                <w:szCs w:val="18"/>
              </w:rPr>
              <w:t>2.9</w:t>
            </w:r>
          </w:p>
        </w:tc>
      </w:tr>
      <w:tr w:rsidR="0058157E" w:rsidRPr="0066264B" w14:paraId="203B2060" w14:textId="77777777" w:rsidTr="003F5081">
        <w:trPr>
          <w:trHeight w:val="275"/>
        </w:trPr>
        <w:tc>
          <w:tcPr>
            <w:tcW w:w="3414" w:type="dxa"/>
            <w:shd w:val="clear" w:color="000000" w:fill="FFFFFF"/>
            <w:noWrap/>
            <w:vAlign w:val="center"/>
            <w:hideMark/>
          </w:tcPr>
          <w:p w14:paraId="02FD2950" w14:textId="77777777" w:rsidR="0058157E" w:rsidRPr="00B22EBA" w:rsidRDefault="0058157E" w:rsidP="003F5081">
            <w:pPr>
              <w:spacing w:after="0" w:line="240" w:lineRule="auto"/>
              <w:rPr>
                <w:rFonts w:ascii="Arial" w:eastAsia="Times New Roman" w:hAnsi="Arial" w:cs="Arial"/>
                <w:sz w:val="18"/>
                <w:szCs w:val="18"/>
              </w:rPr>
            </w:pPr>
            <w:r w:rsidRPr="00B22EBA">
              <w:rPr>
                <w:rFonts w:ascii="Arial" w:eastAsia="Times New Roman" w:hAnsi="Arial" w:cs="Arial"/>
                <w:sz w:val="18"/>
                <w:szCs w:val="18"/>
              </w:rPr>
              <w:t xml:space="preserve">North </w:t>
            </w:r>
          </w:p>
        </w:tc>
        <w:tc>
          <w:tcPr>
            <w:tcW w:w="1476" w:type="dxa"/>
            <w:shd w:val="clear" w:color="000000" w:fill="FFFFFF"/>
            <w:noWrap/>
            <w:vAlign w:val="center"/>
            <w:hideMark/>
          </w:tcPr>
          <w:p w14:paraId="452691A5" w14:textId="77777777" w:rsidR="0058157E" w:rsidRPr="0066264B" w:rsidRDefault="0058157E" w:rsidP="003F5081">
            <w:pPr>
              <w:spacing w:after="0" w:line="240" w:lineRule="auto"/>
              <w:rPr>
                <w:rFonts w:ascii="Arial" w:eastAsia="Times New Roman" w:hAnsi="Arial" w:cs="Arial"/>
                <w:sz w:val="20"/>
                <w:szCs w:val="20"/>
              </w:rPr>
            </w:pPr>
            <w:r>
              <w:rPr>
                <w:rFonts w:ascii="Arial" w:hAnsi="Arial" w:cs="Arial"/>
                <w:sz w:val="18"/>
                <w:szCs w:val="18"/>
              </w:rPr>
              <w:t>1.1</w:t>
            </w:r>
          </w:p>
        </w:tc>
        <w:tc>
          <w:tcPr>
            <w:tcW w:w="1476" w:type="dxa"/>
            <w:shd w:val="clear" w:color="000000" w:fill="FFFFFF"/>
            <w:noWrap/>
            <w:vAlign w:val="center"/>
            <w:hideMark/>
          </w:tcPr>
          <w:p w14:paraId="73AE3E86" w14:textId="77777777" w:rsidR="0058157E" w:rsidRPr="0066264B" w:rsidRDefault="0058157E" w:rsidP="003F5081">
            <w:pPr>
              <w:spacing w:after="0" w:line="240" w:lineRule="auto"/>
              <w:rPr>
                <w:rFonts w:ascii="Arial" w:eastAsia="Times New Roman" w:hAnsi="Arial" w:cs="Arial"/>
                <w:sz w:val="20"/>
                <w:szCs w:val="20"/>
              </w:rPr>
            </w:pPr>
            <w:r>
              <w:rPr>
                <w:rFonts w:ascii="Arial" w:hAnsi="Arial" w:cs="Arial"/>
                <w:sz w:val="18"/>
                <w:szCs w:val="18"/>
              </w:rPr>
              <w:t>0.7</w:t>
            </w:r>
          </w:p>
        </w:tc>
        <w:tc>
          <w:tcPr>
            <w:tcW w:w="1476" w:type="dxa"/>
            <w:shd w:val="clear" w:color="000000" w:fill="FFFFFF"/>
            <w:noWrap/>
            <w:vAlign w:val="center"/>
            <w:hideMark/>
          </w:tcPr>
          <w:p w14:paraId="7EA1A033" w14:textId="77777777" w:rsidR="0058157E" w:rsidRPr="0066264B" w:rsidRDefault="0058157E" w:rsidP="003F5081">
            <w:pPr>
              <w:spacing w:after="0" w:line="240" w:lineRule="auto"/>
              <w:rPr>
                <w:rFonts w:ascii="Arial" w:eastAsia="Times New Roman" w:hAnsi="Arial" w:cs="Arial"/>
                <w:sz w:val="20"/>
                <w:szCs w:val="20"/>
              </w:rPr>
            </w:pPr>
            <w:r>
              <w:rPr>
                <w:rFonts w:ascii="Arial" w:hAnsi="Arial" w:cs="Arial"/>
                <w:sz w:val="18"/>
                <w:szCs w:val="18"/>
              </w:rPr>
              <w:t>1.3</w:t>
            </w:r>
          </w:p>
        </w:tc>
        <w:tc>
          <w:tcPr>
            <w:tcW w:w="1478" w:type="dxa"/>
            <w:shd w:val="clear" w:color="000000" w:fill="FFFFFF"/>
            <w:noWrap/>
            <w:vAlign w:val="center"/>
            <w:hideMark/>
          </w:tcPr>
          <w:p w14:paraId="198BB8BE" w14:textId="77777777" w:rsidR="0058157E" w:rsidRPr="0066264B" w:rsidRDefault="0058157E" w:rsidP="003F5081">
            <w:pPr>
              <w:spacing w:after="0" w:line="240" w:lineRule="auto"/>
              <w:rPr>
                <w:rFonts w:ascii="Arial" w:eastAsia="Times New Roman" w:hAnsi="Arial" w:cs="Arial"/>
                <w:sz w:val="20"/>
                <w:szCs w:val="20"/>
              </w:rPr>
            </w:pPr>
            <w:r>
              <w:rPr>
                <w:rFonts w:ascii="Arial" w:hAnsi="Arial" w:cs="Arial"/>
                <w:sz w:val="18"/>
                <w:szCs w:val="18"/>
              </w:rPr>
              <w:t>1.1</w:t>
            </w:r>
          </w:p>
        </w:tc>
      </w:tr>
      <w:tr w:rsidR="0058157E" w:rsidRPr="0066264B" w14:paraId="75E5B233" w14:textId="77777777" w:rsidTr="003F5081">
        <w:trPr>
          <w:trHeight w:val="275"/>
        </w:trPr>
        <w:tc>
          <w:tcPr>
            <w:tcW w:w="3414" w:type="dxa"/>
            <w:shd w:val="clear" w:color="000000" w:fill="FFFFFF"/>
            <w:noWrap/>
            <w:vAlign w:val="center"/>
            <w:hideMark/>
          </w:tcPr>
          <w:p w14:paraId="1755C411" w14:textId="77777777" w:rsidR="0058157E" w:rsidRPr="00B22EBA" w:rsidRDefault="0058157E" w:rsidP="003F5081">
            <w:pPr>
              <w:spacing w:after="0" w:line="240" w:lineRule="auto"/>
              <w:rPr>
                <w:rFonts w:ascii="Arial" w:eastAsia="Times New Roman" w:hAnsi="Arial" w:cs="Arial"/>
                <w:sz w:val="18"/>
                <w:szCs w:val="18"/>
              </w:rPr>
            </w:pPr>
            <w:r w:rsidRPr="00B22EBA">
              <w:rPr>
                <w:rFonts w:ascii="Arial" w:eastAsia="Times New Roman" w:hAnsi="Arial" w:cs="Arial"/>
                <w:sz w:val="18"/>
                <w:szCs w:val="18"/>
              </w:rPr>
              <w:t>South</w:t>
            </w:r>
          </w:p>
        </w:tc>
        <w:tc>
          <w:tcPr>
            <w:tcW w:w="1476" w:type="dxa"/>
            <w:shd w:val="clear" w:color="000000" w:fill="FFFFFF"/>
            <w:noWrap/>
            <w:vAlign w:val="center"/>
            <w:hideMark/>
          </w:tcPr>
          <w:p w14:paraId="504F74B3" w14:textId="77777777" w:rsidR="0058157E" w:rsidRPr="0066264B" w:rsidRDefault="0058157E" w:rsidP="003F5081">
            <w:pPr>
              <w:spacing w:after="0" w:line="240" w:lineRule="auto"/>
              <w:rPr>
                <w:rFonts w:ascii="Arial" w:eastAsia="Times New Roman" w:hAnsi="Arial" w:cs="Arial"/>
                <w:sz w:val="20"/>
                <w:szCs w:val="20"/>
              </w:rPr>
            </w:pPr>
            <w:r>
              <w:rPr>
                <w:rFonts w:ascii="Arial" w:hAnsi="Arial" w:cs="Arial"/>
                <w:sz w:val="18"/>
                <w:szCs w:val="18"/>
              </w:rPr>
              <w:t>0.8</w:t>
            </w:r>
          </w:p>
        </w:tc>
        <w:tc>
          <w:tcPr>
            <w:tcW w:w="1476" w:type="dxa"/>
            <w:shd w:val="clear" w:color="000000" w:fill="FFFFFF"/>
            <w:noWrap/>
            <w:vAlign w:val="center"/>
            <w:hideMark/>
          </w:tcPr>
          <w:p w14:paraId="133CDD88" w14:textId="77777777" w:rsidR="0058157E" w:rsidRPr="0066264B" w:rsidRDefault="0058157E" w:rsidP="003F5081">
            <w:pPr>
              <w:spacing w:after="0" w:line="240" w:lineRule="auto"/>
              <w:rPr>
                <w:rFonts w:ascii="Arial" w:eastAsia="Times New Roman" w:hAnsi="Arial" w:cs="Arial"/>
                <w:sz w:val="20"/>
                <w:szCs w:val="20"/>
              </w:rPr>
            </w:pPr>
            <w:r>
              <w:rPr>
                <w:rFonts w:ascii="Arial" w:hAnsi="Arial" w:cs="Arial"/>
                <w:sz w:val="18"/>
                <w:szCs w:val="18"/>
              </w:rPr>
              <w:t>0.4</w:t>
            </w:r>
          </w:p>
        </w:tc>
        <w:tc>
          <w:tcPr>
            <w:tcW w:w="1476" w:type="dxa"/>
            <w:shd w:val="clear" w:color="000000" w:fill="FFFFFF"/>
            <w:noWrap/>
            <w:vAlign w:val="center"/>
            <w:hideMark/>
          </w:tcPr>
          <w:p w14:paraId="210B7077" w14:textId="77777777" w:rsidR="0058157E" w:rsidRPr="0066264B" w:rsidRDefault="0058157E" w:rsidP="003F5081">
            <w:pPr>
              <w:spacing w:after="0" w:line="240" w:lineRule="auto"/>
              <w:rPr>
                <w:rFonts w:ascii="Arial" w:eastAsia="Times New Roman" w:hAnsi="Arial" w:cs="Arial"/>
                <w:sz w:val="20"/>
                <w:szCs w:val="20"/>
              </w:rPr>
            </w:pPr>
            <w:r>
              <w:rPr>
                <w:rFonts w:ascii="Arial" w:hAnsi="Arial" w:cs="Arial"/>
                <w:sz w:val="18"/>
                <w:szCs w:val="18"/>
              </w:rPr>
              <w:t>1.0</w:t>
            </w:r>
          </w:p>
        </w:tc>
        <w:tc>
          <w:tcPr>
            <w:tcW w:w="1478" w:type="dxa"/>
            <w:shd w:val="clear" w:color="000000" w:fill="FFFFFF"/>
            <w:noWrap/>
            <w:vAlign w:val="center"/>
            <w:hideMark/>
          </w:tcPr>
          <w:p w14:paraId="4EE658B3" w14:textId="77777777" w:rsidR="0058157E" w:rsidRPr="0066264B" w:rsidRDefault="0058157E" w:rsidP="003F5081">
            <w:pPr>
              <w:spacing w:after="0" w:line="240" w:lineRule="auto"/>
              <w:rPr>
                <w:rFonts w:ascii="Arial" w:eastAsia="Times New Roman" w:hAnsi="Arial" w:cs="Arial"/>
                <w:sz w:val="20"/>
                <w:szCs w:val="20"/>
              </w:rPr>
            </w:pPr>
            <w:r>
              <w:rPr>
                <w:rFonts w:ascii="Arial" w:hAnsi="Arial" w:cs="Arial"/>
                <w:sz w:val="18"/>
                <w:szCs w:val="18"/>
              </w:rPr>
              <w:t>0.8</w:t>
            </w:r>
          </w:p>
        </w:tc>
      </w:tr>
      <w:tr w:rsidR="0058157E" w:rsidRPr="0066264B" w14:paraId="4584F133" w14:textId="77777777" w:rsidTr="003F5081">
        <w:trPr>
          <w:trHeight w:val="275"/>
        </w:trPr>
        <w:tc>
          <w:tcPr>
            <w:tcW w:w="3414" w:type="dxa"/>
            <w:shd w:val="clear" w:color="000000" w:fill="FFFFFF"/>
            <w:noWrap/>
            <w:vAlign w:val="center"/>
            <w:hideMark/>
          </w:tcPr>
          <w:p w14:paraId="07F2534E" w14:textId="77777777" w:rsidR="0058157E" w:rsidRPr="00B22EBA" w:rsidRDefault="0058157E" w:rsidP="003F5081">
            <w:pPr>
              <w:spacing w:after="0" w:line="240" w:lineRule="auto"/>
              <w:rPr>
                <w:rFonts w:ascii="Arial" w:eastAsia="Times New Roman" w:hAnsi="Arial" w:cs="Arial"/>
                <w:sz w:val="18"/>
                <w:szCs w:val="18"/>
              </w:rPr>
            </w:pPr>
            <w:r w:rsidRPr="00B22EBA">
              <w:rPr>
                <w:rFonts w:ascii="Arial" w:eastAsia="Times New Roman" w:hAnsi="Arial" w:cs="Arial"/>
                <w:sz w:val="18"/>
                <w:szCs w:val="18"/>
              </w:rPr>
              <w:t>Access</w:t>
            </w:r>
          </w:p>
        </w:tc>
        <w:tc>
          <w:tcPr>
            <w:tcW w:w="1476" w:type="dxa"/>
            <w:shd w:val="clear" w:color="000000" w:fill="FFFFFF"/>
            <w:noWrap/>
            <w:vAlign w:val="center"/>
            <w:hideMark/>
          </w:tcPr>
          <w:p w14:paraId="767285B7" w14:textId="77777777" w:rsidR="0058157E" w:rsidRPr="0066264B" w:rsidRDefault="0058157E" w:rsidP="003F5081">
            <w:pPr>
              <w:spacing w:after="0" w:line="240" w:lineRule="auto"/>
              <w:rPr>
                <w:rFonts w:ascii="Arial" w:eastAsia="Times New Roman" w:hAnsi="Arial" w:cs="Arial"/>
                <w:sz w:val="20"/>
                <w:szCs w:val="20"/>
              </w:rPr>
            </w:pPr>
            <w:r>
              <w:rPr>
                <w:rFonts w:ascii="Arial" w:hAnsi="Arial" w:cs="Arial"/>
                <w:sz w:val="18"/>
                <w:szCs w:val="18"/>
              </w:rPr>
              <w:t>-</w:t>
            </w:r>
          </w:p>
        </w:tc>
        <w:tc>
          <w:tcPr>
            <w:tcW w:w="1476" w:type="dxa"/>
            <w:shd w:val="clear" w:color="000000" w:fill="FFFFFF"/>
            <w:noWrap/>
            <w:vAlign w:val="center"/>
            <w:hideMark/>
          </w:tcPr>
          <w:p w14:paraId="2280A808" w14:textId="77777777" w:rsidR="0058157E" w:rsidRPr="0066264B" w:rsidRDefault="0058157E" w:rsidP="003F5081">
            <w:pPr>
              <w:spacing w:after="0" w:line="240" w:lineRule="auto"/>
              <w:rPr>
                <w:rFonts w:ascii="Arial" w:eastAsia="Times New Roman" w:hAnsi="Arial" w:cs="Arial"/>
                <w:sz w:val="20"/>
                <w:szCs w:val="20"/>
              </w:rPr>
            </w:pPr>
            <w:r>
              <w:rPr>
                <w:rFonts w:ascii="Arial" w:hAnsi="Arial" w:cs="Arial"/>
                <w:sz w:val="18"/>
                <w:szCs w:val="18"/>
              </w:rPr>
              <w:t>0.3</w:t>
            </w:r>
          </w:p>
        </w:tc>
        <w:tc>
          <w:tcPr>
            <w:tcW w:w="1476" w:type="dxa"/>
            <w:shd w:val="clear" w:color="000000" w:fill="FFFFFF"/>
            <w:noWrap/>
            <w:vAlign w:val="center"/>
            <w:hideMark/>
          </w:tcPr>
          <w:p w14:paraId="3CBAF9C6" w14:textId="77777777" w:rsidR="0058157E" w:rsidRPr="0066264B" w:rsidRDefault="0058157E" w:rsidP="003F5081">
            <w:pPr>
              <w:spacing w:after="0" w:line="240" w:lineRule="auto"/>
              <w:rPr>
                <w:rFonts w:ascii="Arial" w:eastAsia="Times New Roman" w:hAnsi="Arial" w:cs="Arial"/>
                <w:sz w:val="20"/>
                <w:szCs w:val="20"/>
              </w:rPr>
            </w:pPr>
            <w:r>
              <w:rPr>
                <w:rFonts w:ascii="Arial" w:hAnsi="Arial" w:cs="Arial"/>
                <w:sz w:val="18"/>
                <w:szCs w:val="18"/>
              </w:rPr>
              <w:t>0.0</w:t>
            </w:r>
          </w:p>
        </w:tc>
        <w:tc>
          <w:tcPr>
            <w:tcW w:w="1478" w:type="dxa"/>
            <w:shd w:val="clear" w:color="000000" w:fill="FFFFFF"/>
            <w:noWrap/>
            <w:vAlign w:val="center"/>
            <w:hideMark/>
          </w:tcPr>
          <w:p w14:paraId="6C0CE39D" w14:textId="77777777" w:rsidR="0058157E" w:rsidRPr="0066264B" w:rsidRDefault="0058157E" w:rsidP="003F5081">
            <w:pPr>
              <w:spacing w:after="0" w:line="240" w:lineRule="auto"/>
              <w:rPr>
                <w:rFonts w:ascii="Arial" w:eastAsia="Times New Roman" w:hAnsi="Arial" w:cs="Arial"/>
                <w:sz w:val="20"/>
                <w:szCs w:val="20"/>
              </w:rPr>
            </w:pPr>
            <w:r>
              <w:rPr>
                <w:rFonts w:ascii="Arial" w:hAnsi="Arial" w:cs="Arial"/>
                <w:sz w:val="18"/>
                <w:szCs w:val="18"/>
              </w:rPr>
              <w:t>0.1</w:t>
            </w:r>
          </w:p>
        </w:tc>
      </w:tr>
      <w:tr w:rsidR="0058157E" w:rsidRPr="0066264B" w14:paraId="565E143C" w14:textId="77777777" w:rsidTr="003F5081">
        <w:trPr>
          <w:trHeight w:val="275"/>
        </w:trPr>
        <w:tc>
          <w:tcPr>
            <w:tcW w:w="3414" w:type="dxa"/>
            <w:shd w:val="clear" w:color="000000" w:fill="FFFFFF"/>
            <w:noWrap/>
            <w:vAlign w:val="center"/>
            <w:hideMark/>
          </w:tcPr>
          <w:p w14:paraId="1826126A" w14:textId="77777777" w:rsidR="0058157E" w:rsidRPr="00B22EBA" w:rsidRDefault="0058157E" w:rsidP="003F5081">
            <w:pPr>
              <w:spacing w:after="0" w:line="240" w:lineRule="auto"/>
              <w:rPr>
                <w:rFonts w:ascii="Arial" w:eastAsia="Times New Roman" w:hAnsi="Arial" w:cs="Arial"/>
                <w:sz w:val="18"/>
                <w:szCs w:val="18"/>
              </w:rPr>
            </w:pPr>
            <w:r w:rsidRPr="00B22EBA">
              <w:rPr>
                <w:rFonts w:ascii="Arial" w:eastAsia="Times New Roman" w:hAnsi="Arial" w:cs="Arial"/>
                <w:sz w:val="18"/>
                <w:szCs w:val="18"/>
              </w:rPr>
              <w:t>Corporate</w:t>
            </w:r>
          </w:p>
        </w:tc>
        <w:tc>
          <w:tcPr>
            <w:tcW w:w="1476" w:type="dxa"/>
            <w:shd w:val="clear" w:color="000000" w:fill="FFFFFF"/>
            <w:noWrap/>
            <w:vAlign w:val="center"/>
            <w:hideMark/>
          </w:tcPr>
          <w:p w14:paraId="079D1AAB" w14:textId="77777777" w:rsidR="0058157E" w:rsidRPr="0066264B" w:rsidRDefault="0058157E" w:rsidP="003F5081">
            <w:pPr>
              <w:spacing w:after="0" w:line="240" w:lineRule="auto"/>
              <w:rPr>
                <w:rFonts w:ascii="Arial" w:eastAsia="Times New Roman" w:hAnsi="Arial" w:cs="Arial"/>
                <w:sz w:val="20"/>
                <w:szCs w:val="20"/>
              </w:rPr>
            </w:pPr>
            <w:r>
              <w:rPr>
                <w:rFonts w:ascii="Arial" w:hAnsi="Arial" w:cs="Arial"/>
                <w:sz w:val="18"/>
                <w:szCs w:val="18"/>
              </w:rPr>
              <w:t>2.1</w:t>
            </w:r>
          </w:p>
        </w:tc>
        <w:tc>
          <w:tcPr>
            <w:tcW w:w="1476" w:type="dxa"/>
            <w:shd w:val="clear" w:color="000000" w:fill="FFFFFF"/>
            <w:noWrap/>
            <w:vAlign w:val="center"/>
            <w:hideMark/>
          </w:tcPr>
          <w:p w14:paraId="3114C167" w14:textId="77777777" w:rsidR="0058157E" w:rsidRPr="0066264B" w:rsidRDefault="0058157E" w:rsidP="003F5081">
            <w:pPr>
              <w:spacing w:after="0" w:line="240" w:lineRule="auto"/>
              <w:rPr>
                <w:rFonts w:ascii="Arial" w:eastAsia="Times New Roman" w:hAnsi="Arial" w:cs="Arial"/>
                <w:sz w:val="20"/>
                <w:szCs w:val="20"/>
              </w:rPr>
            </w:pPr>
            <w:r>
              <w:rPr>
                <w:rFonts w:ascii="Arial" w:hAnsi="Arial" w:cs="Arial"/>
                <w:sz w:val="18"/>
                <w:szCs w:val="18"/>
              </w:rPr>
              <w:t>1.7</w:t>
            </w:r>
          </w:p>
        </w:tc>
        <w:tc>
          <w:tcPr>
            <w:tcW w:w="1476" w:type="dxa"/>
            <w:shd w:val="clear" w:color="000000" w:fill="FFFFFF"/>
            <w:noWrap/>
            <w:vAlign w:val="center"/>
            <w:hideMark/>
          </w:tcPr>
          <w:p w14:paraId="044C5780" w14:textId="77777777" w:rsidR="0058157E" w:rsidRPr="0066264B" w:rsidRDefault="0058157E" w:rsidP="003F5081">
            <w:pPr>
              <w:spacing w:after="0" w:line="240" w:lineRule="auto"/>
              <w:rPr>
                <w:rFonts w:ascii="Arial" w:eastAsia="Times New Roman" w:hAnsi="Arial" w:cs="Arial"/>
                <w:sz w:val="20"/>
                <w:szCs w:val="20"/>
              </w:rPr>
            </w:pPr>
            <w:r>
              <w:rPr>
                <w:rFonts w:ascii="Arial" w:hAnsi="Arial" w:cs="Arial"/>
                <w:sz w:val="18"/>
                <w:szCs w:val="18"/>
              </w:rPr>
              <w:t>1.60</w:t>
            </w:r>
          </w:p>
        </w:tc>
        <w:tc>
          <w:tcPr>
            <w:tcW w:w="1478" w:type="dxa"/>
            <w:shd w:val="clear" w:color="000000" w:fill="FFFFFF"/>
            <w:noWrap/>
            <w:vAlign w:val="center"/>
            <w:hideMark/>
          </w:tcPr>
          <w:p w14:paraId="7FC57D1F" w14:textId="77777777" w:rsidR="0058157E" w:rsidRPr="0066264B" w:rsidRDefault="0058157E" w:rsidP="003F5081">
            <w:pPr>
              <w:spacing w:after="0" w:line="240" w:lineRule="auto"/>
              <w:rPr>
                <w:rFonts w:ascii="Arial" w:eastAsia="Times New Roman" w:hAnsi="Arial" w:cs="Arial"/>
                <w:sz w:val="20"/>
                <w:szCs w:val="20"/>
              </w:rPr>
            </w:pPr>
            <w:r>
              <w:rPr>
                <w:rFonts w:ascii="Arial" w:hAnsi="Arial" w:cs="Arial"/>
                <w:sz w:val="18"/>
                <w:szCs w:val="18"/>
              </w:rPr>
              <w:t>1.17</w:t>
            </w:r>
          </w:p>
        </w:tc>
      </w:tr>
      <w:tr w:rsidR="0058157E" w:rsidRPr="0066264B" w14:paraId="6A724DE8" w14:textId="77777777" w:rsidTr="003F5081">
        <w:trPr>
          <w:trHeight w:val="289"/>
        </w:trPr>
        <w:tc>
          <w:tcPr>
            <w:tcW w:w="3414" w:type="dxa"/>
            <w:shd w:val="clear" w:color="000000" w:fill="FFFFFF"/>
            <w:noWrap/>
            <w:vAlign w:val="center"/>
            <w:hideMark/>
          </w:tcPr>
          <w:p w14:paraId="723B12F1" w14:textId="77777777" w:rsidR="0058157E" w:rsidRPr="00B22EBA" w:rsidRDefault="0058157E" w:rsidP="003F5081">
            <w:pPr>
              <w:spacing w:after="0" w:line="240" w:lineRule="auto"/>
              <w:rPr>
                <w:rFonts w:ascii="Arial" w:eastAsia="Times New Roman" w:hAnsi="Arial" w:cs="Arial"/>
                <w:b/>
                <w:bCs/>
                <w:sz w:val="18"/>
                <w:szCs w:val="18"/>
              </w:rPr>
            </w:pPr>
            <w:r w:rsidRPr="00B22EBA">
              <w:rPr>
                <w:rFonts w:ascii="Arial" w:eastAsia="Times New Roman" w:hAnsi="Arial" w:cs="Arial"/>
                <w:b/>
                <w:bCs/>
                <w:sz w:val="18"/>
                <w:szCs w:val="18"/>
              </w:rPr>
              <w:t>Total CIP</w:t>
            </w:r>
          </w:p>
        </w:tc>
        <w:tc>
          <w:tcPr>
            <w:tcW w:w="1476" w:type="dxa"/>
            <w:shd w:val="clear" w:color="000000" w:fill="F2F2F2"/>
            <w:noWrap/>
            <w:vAlign w:val="center"/>
            <w:hideMark/>
          </w:tcPr>
          <w:p w14:paraId="5F529CE3" w14:textId="77777777" w:rsidR="0058157E" w:rsidRPr="0066264B" w:rsidRDefault="0058157E" w:rsidP="003F5081">
            <w:pPr>
              <w:spacing w:after="0" w:line="240" w:lineRule="auto"/>
              <w:rPr>
                <w:rFonts w:ascii="Arial" w:eastAsia="Times New Roman" w:hAnsi="Arial" w:cs="Arial"/>
                <w:b/>
                <w:bCs/>
                <w:sz w:val="20"/>
                <w:szCs w:val="20"/>
              </w:rPr>
            </w:pPr>
            <w:r>
              <w:rPr>
                <w:rFonts w:ascii="Arial" w:hAnsi="Arial" w:cs="Arial"/>
                <w:b/>
                <w:bCs/>
                <w:sz w:val="18"/>
                <w:szCs w:val="18"/>
              </w:rPr>
              <w:t>6.2</w:t>
            </w:r>
          </w:p>
        </w:tc>
        <w:tc>
          <w:tcPr>
            <w:tcW w:w="1476" w:type="dxa"/>
            <w:shd w:val="clear" w:color="000000" w:fill="F2F2F2"/>
            <w:noWrap/>
            <w:vAlign w:val="center"/>
            <w:hideMark/>
          </w:tcPr>
          <w:p w14:paraId="7F599BAF" w14:textId="77777777" w:rsidR="0058157E" w:rsidRPr="0066264B" w:rsidRDefault="0058157E" w:rsidP="003F5081">
            <w:pPr>
              <w:spacing w:after="0" w:line="240" w:lineRule="auto"/>
              <w:rPr>
                <w:rFonts w:ascii="Arial" w:eastAsia="Times New Roman" w:hAnsi="Arial" w:cs="Arial"/>
                <w:b/>
                <w:bCs/>
                <w:sz w:val="20"/>
                <w:szCs w:val="20"/>
              </w:rPr>
            </w:pPr>
            <w:r>
              <w:rPr>
                <w:rFonts w:ascii="Arial" w:hAnsi="Arial" w:cs="Arial"/>
                <w:b/>
                <w:bCs/>
                <w:sz w:val="18"/>
                <w:szCs w:val="18"/>
              </w:rPr>
              <w:t>6.8</w:t>
            </w:r>
          </w:p>
        </w:tc>
        <w:tc>
          <w:tcPr>
            <w:tcW w:w="1476" w:type="dxa"/>
            <w:shd w:val="clear" w:color="000000" w:fill="F2F2F2"/>
            <w:noWrap/>
            <w:vAlign w:val="center"/>
            <w:hideMark/>
          </w:tcPr>
          <w:p w14:paraId="2BB68601" w14:textId="77777777" w:rsidR="0058157E" w:rsidRPr="0066264B" w:rsidRDefault="0058157E" w:rsidP="003F5081">
            <w:pPr>
              <w:spacing w:after="0" w:line="240" w:lineRule="auto"/>
              <w:rPr>
                <w:rFonts w:ascii="Arial" w:eastAsia="Times New Roman" w:hAnsi="Arial" w:cs="Arial"/>
                <w:b/>
                <w:bCs/>
                <w:sz w:val="20"/>
                <w:szCs w:val="20"/>
              </w:rPr>
            </w:pPr>
            <w:r>
              <w:rPr>
                <w:rFonts w:ascii="Arial" w:hAnsi="Arial" w:cs="Arial"/>
                <w:b/>
                <w:bCs/>
                <w:sz w:val="18"/>
                <w:szCs w:val="18"/>
              </w:rPr>
              <w:t>6.8</w:t>
            </w:r>
          </w:p>
        </w:tc>
        <w:tc>
          <w:tcPr>
            <w:tcW w:w="1478" w:type="dxa"/>
            <w:shd w:val="clear" w:color="000000" w:fill="F2F2F2"/>
            <w:noWrap/>
            <w:vAlign w:val="center"/>
            <w:hideMark/>
          </w:tcPr>
          <w:p w14:paraId="143FB0E7" w14:textId="77777777" w:rsidR="0058157E" w:rsidRPr="0066264B" w:rsidRDefault="0058157E" w:rsidP="003F5081">
            <w:pPr>
              <w:spacing w:after="0" w:line="240" w:lineRule="auto"/>
              <w:rPr>
                <w:rFonts w:ascii="Arial" w:eastAsia="Times New Roman" w:hAnsi="Arial" w:cs="Arial"/>
                <w:b/>
                <w:bCs/>
                <w:sz w:val="20"/>
                <w:szCs w:val="20"/>
              </w:rPr>
            </w:pPr>
            <w:r>
              <w:rPr>
                <w:rFonts w:ascii="Arial" w:hAnsi="Arial" w:cs="Arial"/>
                <w:b/>
                <w:bCs/>
                <w:sz w:val="18"/>
                <w:szCs w:val="18"/>
              </w:rPr>
              <w:t>6.1</w:t>
            </w:r>
          </w:p>
        </w:tc>
      </w:tr>
      <w:tr w:rsidR="0058157E" w:rsidRPr="0066264B" w14:paraId="14691EAB" w14:textId="77777777" w:rsidTr="003F5081">
        <w:trPr>
          <w:trHeight w:val="275"/>
        </w:trPr>
        <w:tc>
          <w:tcPr>
            <w:tcW w:w="3414" w:type="dxa"/>
            <w:shd w:val="clear" w:color="000000" w:fill="FFFFFF"/>
            <w:noWrap/>
            <w:vAlign w:val="bottom"/>
            <w:hideMark/>
          </w:tcPr>
          <w:p w14:paraId="3E239BC4" w14:textId="77777777" w:rsidR="0058157E" w:rsidRPr="00B22EBA" w:rsidRDefault="0058157E" w:rsidP="003F5081">
            <w:pPr>
              <w:spacing w:after="0" w:line="240" w:lineRule="auto"/>
              <w:rPr>
                <w:rFonts w:ascii="Arial" w:eastAsia="Times New Roman" w:hAnsi="Arial" w:cs="Arial"/>
                <w:i/>
                <w:iCs/>
                <w:color w:val="000000"/>
                <w:sz w:val="18"/>
                <w:szCs w:val="18"/>
              </w:rPr>
            </w:pPr>
            <w:r w:rsidRPr="00B22EBA">
              <w:rPr>
                <w:rFonts w:ascii="Arial" w:eastAsia="Times New Roman" w:hAnsi="Arial" w:cs="Arial"/>
                <w:i/>
                <w:iCs/>
                <w:color w:val="000000"/>
                <w:sz w:val="18"/>
                <w:szCs w:val="18"/>
              </w:rPr>
              <w:t>CIP % of Operating expenses</w:t>
            </w:r>
          </w:p>
        </w:tc>
        <w:tc>
          <w:tcPr>
            <w:tcW w:w="1476" w:type="dxa"/>
            <w:shd w:val="clear" w:color="000000" w:fill="FFFFFF"/>
            <w:noWrap/>
            <w:vAlign w:val="center"/>
            <w:hideMark/>
          </w:tcPr>
          <w:p w14:paraId="771B89EA" w14:textId="77777777" w:rsidR="0058157E" w:rsidRPr="0066264B" w:rsidRDefault="0058157E" w:rsidP="003F5081">
            <w:pPr>
              <w:spacing w:after="0" w:line="240" w:lineRule="auto"/>
              <w:rPr>
                <w:rFonts w:ascii="Arial" w:eastAsia="Times New Roman" w:hAnsi="Arial" w:cs="Arial"/>
                <w:i/>
                <w:iCs/>
                <w:sz w:val="20"/>
                <w:szCs w:val="20"/>
              </w:rPr>
            </w:pPr>
            <w:r>
              <w:rPr>
                <w:rFonts w:ascii="Arial" w:hAnsi="Arial" w:cs="Arial"/>
                <w:i/>
                <w:iCs/>
                <w:sz w:val="18"/>
                <w:szCs w:val="18"/>
              </w:rPr>
              <w:t>3.1%</w:t>
            </w:r>
          </w:p>
        </w:tc>
        <w:tc>
          <w:tcPr>
            <w:tcW w:w="1476" w:type="dxa"/>
            <w:shd w:val="clear" w:color="000000" w:fill="FFFFFF"/>
            <w:noWrap/>
            <w:vAlign w:val="center"/>
            <w:hideMark/>
          </w:tcPr>
          <w:p w14:paraId="7686BC6F" w14:textId="77777777" w:rsidR="0058157E" w:rsidRPr="0066264B" w:rsidRDefault="0058157E" w:rsidP="003F5081">
            <w:pPr>
              <w:spacing w:after="0" w:line="240" w:lineRule="auto"/>
              <w:rPr>
                <w:rFonts w:ascii="Arial" w:eastAsia="Times New Roman" w:hAnsi="Arial" w:cs="Arial"/>
                <w:i/>
                <w:iCs/>
                <w:sz w:val="20"/>
                <w:szCs w:val="20"/>
              </w:rPr>
            </w:pPr>
            <w:r>
              <w:rPr>
                <w:rFonts w:ascii="Arial" w:hAnsi="Arial" w:cs="Arial"/>
                <w:i/>
                <w:iCs/>
                <w:sz w:val="18"/>
                <w:szCs w:val="18"/>
              </w:rPr>
              <w:t>3.3%</w:t>
            </w:r>
          </w:p>
        </w:tc>
        <w:tc>
          <w:tcPr>
            <w:tcW w:w="1476" w:type="dxa"/>
            <w:shd w:val="clear" w:color="000000" w:fill="FFFFFF"/>
            <w:noWrap/>
            <w:vAlign w:val="center"/>
            <w:hideMark/>
          </w:tcPr>
          <w:p w14:paraId="29F7D3DB" w14:textId="77777777" w:rsidR="0058157E" w:rsidRPr="0066264B" w:rsidRDefault="0058157E" w:rsidP="003F5081">
            <w:pPr>
              <w:spacing w:after="0" w:line="240" w:lineRule="auto"/>
              <w:rPr>
                <w:rFonts w:ascii="Arial" w:eastAsia="Times New Roman" w:hAnsi="Arial" w:cs="Arial"/>
                <w:i/>
                <w:iCs/>
                <w:sz w:val="20"/>
                <w:szCs w:val="20"/>
              </w:rPr>
            </w:pPr>
            <w:r>
              <w:rPr>
                <w:rFonts w:ascii="Arial" w:hAnsi="Arial" w:cs="Arial"/>
                <w:i/>
                <w:iCs/>
                <w:sz w:val="18"/>
                <w:szCs w:val="18"/>
              </w:rPr>
              <w:t>3.1%</w:t>
            </w:r>
          </w:p>
        </w:tc>
        <w:tc>
          <w:tcPr>
            <w:tcW w:w="1478" w:type="dxa"/>
            <w:shd w:val="clear" w:color="000000" w:fill="FFFFFF"/>
            <w:noWrap/>
            <w:vAlign w:val="center"/>
            <w:hideMark/>
          </w:tcPr>
          <w:p w14:paraId="238730D5" w14:textId="77777777" w:rsidR="0058157E" w:rsidRPr="0066264B" w:rsidRDefault="0058157E" w:rsidP="003F5081">
            <w:pPr>
              <w:spacing w:after="0" w:line="240" w:lineRule="auto"/>
              <w:rPr>
                <w:rFonts w:ascii="Arial" w:eastAsia="Times New Roman" w:hAnsi="Arial" w:cs="Arial"/>
                <w:i/>
                <w:iCs/>
                <w:sz w:val="20"/>
                <w:szCs w:val="20"/>
              </w:rPr>
            </w:pPr>
            <w:r>
              <w:rPr>
                <w:rFonts w:ascii="Arial" w:hAnsi="Arial" w:cs="Arial"/>
                <w:i/>
                <w:iCs/>
                <w:sz w:val="18"/>
                <w:szCs w:val="18"/>
              </w:rPr>
              <w:t>2.6%</w:t>
            </w:r>
          </w:p>
        </w:tc>
      </w:tr>
      <w:tr w:rsidR="0058157E" w:rsidRPr="0066264B" w14:paraId="3408CC39" w14:textId="77777777" w:rsidTr="003F5081">
        <w:trPr>
          <w:trHeight w:val="275"/>
        </w:trPr>
        <w:tc>
          <w:tcPr>
            <w:tcW w:w="3414" w:type="dxa"/>
            <w:shd w:val="clear" w:color="000000" w:fill="FFFFFF"/>
            <w:noWrap/>
            <w:vAlign w:val="bottom"/>
            <w:hideMark/>
          </w:tcPr>
          <w:p w14:paraId="1FCA3DF2" w14:textId="77777777" w:rsidR="0058157E" w:rsidRPr="00B22EBA" w:rsidRDefault="0058157E" w:rsidP="003F5081">
            <w:pPr>
              <w:spacing w:after="0" w:line="240" w:lineRule="auto"/>
              <w:rPr>
                <w:rFonts w:ascii="Arial" w:eastAsia="Times New Roman" w:hAnsi="Arial" w:cs="Arial"/>
                <w:i/>
                <w:iCs/>
                <w:color w:val="000000"/>
                <w:sz w:val="18"/>
                <w:szCs w:val="18"/>
              </w:rPr>
            </w:pPr>
            <w:r w:rsidRPr="00B22EBA">
              <w:rPr>
                <w:rFonts w:ascii="Arial" w:eastAsia="Times New Roman" w:hAnsi="Arial" w:cs="Arial"/>
                <w:i/>
                <w:iCs/>
                <w:color w:val="000000"/>
                <w:sz w:val="18"/>
                <w:szCs w:val="18"/>
              </w:rPr>
              <w:t>Achieved % of Planned</w:t>
            </w:r>
          </w:p>
        </w:tc>
        <w:tc>
          <w:tcPr>
            <w:tcW w:w="1476" w:type="dxa"/>
            <w:shd w:val="clear" w:color="000000" w:fill="FFFFFF"/>
            <w:noWrap/>
            <w:vAlign w:val="center"/>
            <w:hideMark/>
          </w:tcPr>
          <w:p w14:paraId="2CB72CC1" w14:textId="77777777" w:rsidR="0058157E" w:rsidRPr="0066264B" w:rsidRDefault="0058157E" w:rsidP="003F5081">
            <w:pPr>
              <w:spacing w:after="0" w:line="240" w:lineRule="auto"/>
              <w:rPr>
                <w:rFonts w:ascii="Arial" w:eastAsia="Times New Roman" w:hAnsi="Arial" w:cs="Arial"/>
                <w:i/>
                <w:iCs/>
                <w:sz w:val="20"/>
                <w:szCs w:val="20"/>
              </w:rPr>
            </w:pPr>
            <w:r>
              <w:rPr>
                <w:rFonts w:ascii="Arial" w:hAnsi="Arial" w:cs="Arial"/>
                <w:i/>
                <w:iCs/>
                <w:sz w:val="18"/>
                <w:szCs w:val="18"/>
              </w:rPr>
              <w:t>72.8%</w:t>
            </w:r>
          </w:p>
        </w:tc>
        <w:tc>
          <w:tcPr>
            <w:tcW w:w="1476" w:type="dxa"/>
            <w:shd w:val="clear" w:color="000000" w:fill="FFFFFF"/>
            <w:noWrap/>
            <w:vAlign w:val="center"/>
            <w:hideMark/>
          </w:tcPr>
          <w:p w14:paraId="0A3CB8AA" w14:textId="77777777" w:rsidR="0058157E" w:rsidRPr="0066264B" w:rsidRDefault="0058157E" w:rsidP="003F5081">
            <w:pPr>
              <w:spacing w:after="0" w:line="240" w:lineRule="auto"/>
              <w:rPr>
                <w:rFonts w:ascii="Arial" w:eastAsia="Times New Roman" w:hAnsi="Arial" w:cs="Arial"/>
                <w:i/>
                <w:iCs/>
                <w:sz w:val="20"/>
                <w:szCs w:val="20"/>
              </w:rPr>
            </w:pPr>
            <w:r>
              <w:rPr>
                <w:rFonts w:ascii="Arial" w:hAnsi="Arial" w:cs="Arial"/>
                <w:i/>
                <w:iCs/>
                <w:sz w:val="18"/>
                <w:szCs w:val="18"/>
              </w:rPr>
              <w:t>82.8%</w:t>
            </w:r>
          </w:p>
        </w:tc>
        <w:tc>
          <w:tcPr>
            <w:tcW w:w="1476" w:type="dxa"/>
            <w:shd w:val="clear" w:color="000000" w:fill="FFFFFF"/>
            <w:noWrap/>
            <w:vAlign w:val="center"/>
            <w:hideMark/>
          </w:tcPr>
          <w:p w14:paraId="56850F59" w14:textId="77777777" w:rsidR="0058157E" w:rsidRPr="0066264B" w:rsidRDefault="0058157E" w:rsidP="003F5081">
            <w:pPr>
              <w:spacing w:after="0" w:line="240" w:lineRule="auto"/>
              <w:rPr>
                <w:rFonts w:ascii="Arial" w:eastAsia="Times New Roman" w:hAnsi="Arial" w:cs="Arial"/>
                <w:i/>
                <w:iCs/>
                <w:sz w:val="20"/>
                <w:szCs w:val="20"/>
              </w:rPr>
            </w:pPr>
            <w:r>
              <w:rPr>
                <w:rFonts w:ascii="Arial" w:hAnsi="Arial" w:cs="Arial"/>
                <w:i/>
                <w:iCs/>
                <w:sz w:val="18"/>
                <w:szCs w:val="18"/>
              </w:rPr>
              <w:t>84.6%</w:t>
            </w:r>
          </w:p>
        </w:tc>
        <w:tc>
          <w:tcPr>
            <w:tcW w:w="1478" w:type="dxa"/>
            <w:shd w:val="clear" w:color="000000" w:fill="FFFFFF"/>
            <w:noWrap/>
            <w:vAlign w:val="center"/>
            <w:hideMark/>
          </w:tcPr>
          <w:p w14:paraId="49AAAF02" w14:textId="77777777" w:rsidR="0058157E" w:rsidRPr="0066264B" w:rsidRDefault="0058157E" w:rsidP="003F5081">
            <w:pPr>
              <w:spacing w:after="0" w:line="240" w:lineRule="auto"/>
              <w:rPr>
                <w:rFonts w:ascii="Arial" w:eastAsia="Times New Roman" w:hAnsi="Arial" w:cs="Arial"/>
                <w:i/>
                <w:iCs/>
                <w:sz w:val="20"/>
                <w:szCs w:val="20"/>
              </w:rPr>
            </w:pPr>
            <w:r>
              <w:rPr>
                <w:rFonts w:ascii="Arial" w:hAnsi="Arial" w:cs="Arial"/>
                <w:i/>
                <w:iCs/>
                <w:sz w:val="18"/>
                <w:szCs w:val="18"/>
              </w:rPr>
              <w:t>86.6%</w:t>
            </w:r>
          </w:p>
        </w:tc>
      </w:tr>
    </w:tbl>
    <w:p w14:paraId="68D611CE" w14:textId="77777777" w:rsidR="005E30EF" w:rsidRPr="00F3022C" w:rsidRDefault="005E30EF" w:rsidP="00B72F95"/>
    <w:p w14:paraId="77760045" w14:textId="77777777" w:rsidR="005E30EF" w:rsidRPr="00F510EC" w:rsidRDefault="005E30EF" w:rsidP="005E0D57">
      <w:pPr>
        <w:pStyle w:val="Heading2"/>
        <w:numPr>
          <w:ilvl w:val="2"/>
          <w:numId w:val="1"/>
        </w:numPr>
        <w:rPr>
          <w:rFonts w:ascii="Arial" w:eastAsia="Arial" w:hAnsi="Arial" w:cs="Arial"/>
        </w:rPr>
      </w:pPr>
      <w:bookmarkStart w:id="304" w:name="_Toc30670718"/>
      <w:bookmarkStart w:id="305" w:name="_Toc32842737"/>
      <w:r w:rsidRPr="00F510EC">
        <w:rPr>
          <w:rFonts w:ascii="Arial" w:eastAsia="Arial" w:hAnsi="Arial" w:cs="Arial"/>
        </w:rPr>
        <w:lastRenderedPageBreak/>
        <w:t>Financial Risk Ratings</w:t>
      </w:r>
      <w:bookmarkEnd w:id="304"/>
      <w:bookmarkEnd w:id="305"/>
    </w:p>
    <w:p w14:paraId="41C65245" w14:textId="77777777" w:rsidR="00F510EC" w:rsidRDefault="00F510EC" w:rsidP="00F510EC">
      <w:pPr>
        <w:spacing w:after="0"/>
        <w:rPr>
          <w:rFonts w:ascii="Arial" w:hAnsi="Arial" w:cs="Arial"/>
        </w:rPr>
      </w:pPr>
    </w:p>
    <w:p w14:paraId="04F5619D" w14:textId="1D8A6078" w:rsidR="005E30EF" w:rsidRPr="00237844" w:rsidRDefault="005E30EF" w:rsidP="00B72F95">
      <w:pPr>
        <w:rPr>
          <w:rFonts w:ascii="Arial" w:hAnsi="Arial" w:cs="Arial"/>
        </w:rPr>
      </w:pPr>
      <w:r w:rsidRPr="00237844">
        <w:rPr>
          <w:rFonts w:ascii="Arial" w:hAnsi="Arial" w:cs="Arial"/>
        </w:rPr>
        <w:t xml:space="preserve">Financial risk is assessed by the scoring of five key measures from 1 to 4, where 1 reflects the strongest performance. These scores are then weighted to give an overall score. The </w:t>
      </w:r>
      <w:r w:rsidR="00AF7894">
        <w:rPr>
          <w:rFonts w:ascii="Arial" w:hAnsi="Arial" w:cs="Arial"/>
        </w:rPr>
        <w:t>t</w:t>
      </w:r>
      <w:r w:rsidRPr="00237844">
        <w:rPr>
          <w:rFonts w:ascii="Arial" w:hAnsi="Arial" w:cs="Arial"/>
        </w:rPr>
        <w:t xml:space="preserve">rust has maintained </w:t>
      </w:r>
      <w:r>
        <w:rPr>
          <w:rFonts w:ascii="Arial" w:hAnsi="Arial" w:cs="Arial"/>
        </w:rPr>
        <w:t xml:space="preserve">a </w:t>
      </w:r>
      <w:r w:rsidRPr="00237844">
        <w:rPr>
          <w:rFonts w:ascii="Arial" w:hAnsi="Arial" w:cs="Arial"/>
        </w:rPr>
        <w:t>financial</w:t>
      </w:r>
      <w:r>
        <w:rPr>
          <w:rFonts w:ascii="Arial" w:hAnsi="Arial" w:cs="Arial"/>
        </w:rPr>
        <w:t xml:space="preserve"> risk score of 1 over the last four</w:t>
      </w:r>
      <w:r w:rsidRPr="00237844">
        <w:rPr>
          <w:rFonts w:ascii="Arial" w:hAnsi="Arial" w:cs="Arial"/>
        </w:rPr>
        <w:t xml:space="preserve"> years. This reflects a strong </w:t>
      </w:r>
      <w:r w:rsidRPr="00AF7894">
        <w:rPr>
          <w:rFonts w:ascii="Arial" w:hAnsi="Arial" w:cs="Arial"/>
        </w:rPr>
        <w:t>financial performance in terms of revenue performance, capital and cash.</w:t>
      </w:r>
      <w:r w:rsidR="00AF7894" w:rsidRPr="00AF7894">
        <w:rPr>
          <w:rFonts w:ascii="Arial" w:hAnsi="Arial" w:cs="Arial"/>
        </w:rPr>
        <w:t xml:space="preserve"> </w:t>
      </w:r>
      <w:r w:rsidR="00AF7894" w:rsidRPr="00AF7894">
        <w:rPr>
          <w:rFonts w:ascii="Arial" w:hAnsi="Arial" w:cs="Arial"/>
        </w:rPr>
        <w:fldChar w:fldCharType="begin"/>
      </w:r>
      <w:r w:rsidR="00AF7894" w:rsidRPr="00AF7894">
        <w:rPr>
          <w:rFonts w:ascii="Arial" w:hAnsi="Arial" w:cs="Arial"/>
        </w:rPr>
        <w:instrText xml:space="preserve"> REF _Ref30433315 \h </w:instrText>
      </w:r>
      <w:r w:rsidR="00AF7894">
        <w:rPr>
          <w:rFonts w:ascii="Arial" w:hAnsi="Arial" w:cs="Arial"/>
        </w:rPr>
        <w:instrText xml:space="preserve"> \* MERGEFORMAT </w:instrText>
      </w:r>
      <w:r w:rsidR="00AF7894" w:rsidRPr="00AF7894">
        <w:rPr>
          <w:rFonts w:ascii="Arial" w:hAnsi="Arial" w:cs="Arial"/>
        </w:rPr>
      </w:r>
      <w:r w:rsidR="00AF7894" w:rsidRPr="00AF7894">
        <w:rPr>
          <w:rFonts w:ascii="Arial" w:hAnsi="Arial" w:cs="Arial"/>
        </w:rPr>
        <w:fldChar w:fldCharType="separate"/>
      </w:r>
      <w:r w:rsidR="00A936CD" w:rsidRPr="00A936CD">
        <w:rPr>
          <w:rFonts w:ascii="Arial" w:hAnsi="Arial" w:cs="Arial"/>
        </w:rPr>
        <w:t xml:space="preserve">Table </w:t>
      </w:r>
      <w:r w:rsidR="00A936CD" w:rsidRPr="00A936CD">
        <w:rPr>
          <w:rFonts w:ascii="Arial" w:hAnsi="Arial" w:cs="Arial"/>
          <w:noProof/>
        </w:rPr>
        <w:t>28</w:t>
      </w:r>
      <w:r w:rsidR="00AF7894" w:rsidRPr="00AF7894">
        <w:rPr>
          <w:rFonts w:ascii="Arial" w:hAnsi="Arial" w:cs="Arial"/>
        </w:rPr>
        <w:fldChar w:fldCharType="end"/>
      </w:r>
      <w:r w:rsidR="00AF7894" w:rsidRPr="00AF7894">
        <w:rPr>
          <w:rFonts w:ascii="Arial" w:hAnsi="Arial" w:cs="Arial"/>
        </w:rPr>
        <w:t xml:space="preserve"> </w:t>
      </w:r>
      <w:r w:rsidRPr="00AF7894">
        <w:rPr>
          <w:rFonts w:ascii="Arial" w:hAnsi="Arial" w:cs="Arial"/>
        </w:rPr>
        <w:t>shows</w:t>
      </w:r>
      <w:r w:rsidRPr="00237844">
        <w:rPr>
          <w:rFonts w:ascii="Arial" w:hAnsi="Arial" w:cs="Arial"/>
        </w:rPr>
        <w:t xml:space="preserve"> financial risk ratings for each key measure.</w:t>
      </w:r>
    </w:p>
    <w:p w14:paraId="149E1D4B" w14:textId="18E2C987" w:rsidR="00AF7894" w:rsidRDefault="00AF7894" w:rsidP="00AF7894">
      <w:pPr>
        <w:pStyle w:val="Caption"/>
      </w:pPr>
      <w:bookmarkStart w:id="306" w:name="_Ref30433315"/>
      <w:r>
        <w:t xml:space="preserve">Table </w:t>
      </w:r>
      <w:r>
        <w:fldChar w:fldCharType="begin"/>
      </w:r>
      <w:r>
        <w:instrText xml:space="preserve"> SEQ Table \* ARABIC </w:instrText>
      </w:r>
      <w:r>
        <w:fldChar w:fldCharType="separate"/>
      </w:r>
      <w:r w:rsidR="00A936CD">
        <w:rPr>
          <w:noProof/>
        </w:rPr>
        <w:t>28</w:t>
      </w:r>
      <w:r>
        <w:fldChar w:fldCharType="end"/>
      </w:r>
      <w:bookmarkEnd w:id="306"/>
      <w:r>
        <w:t xml:space="preserve">: </w:t>
      </w:r>
      <w:r w:rsidRPr="006B69B3">
        <w:rPr>
          <w:b w:val="0"/>
          <w:bCs w:val="0"/>
        </w:rPr>
        <w:t>Financial Risk Ratings</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469"/>
        <w:gridCol w:w="1469"/>
        <w:gridCol w:w="1469"/>
        <w:gridCol w:w="1567"/>
      </w:tblGrid>
      <w:tr w:rsidR="0058157E" w:rsidRPr="00603C16" w14:paraId="483B748C" w14:textId="77777777" w:rsidTr="003F5081">
        <w:trPr>
          <w:trHeight w:val="288"/>
        </w:trPr>
        <w:tc>
          <w:tcPr>
            <w:tcW w:w="3397" w:type="dxa"/>
            <w:vMerge w:val="restart"/>
            <w:shd w:val="clear" w:color="auto" w:fill="4F81BD"/>
            <w:vAlign w:val="center"/>
            <w:hideMark/>
          </w:tcPr>
          <w:p w14:paraId="0A2CEA0A" w14:textId="77777777" w:rsidR="0058157E" w:rsidRPr="00B22EBA" w:rsidRDefault="0058157E" w:rsidP="003F5081">
            <w:pPr>
              <w:spacing w:after="0" w:line="240" w:lineRule="auto"/>
              <w:rPr>
                <w:rFonts w:ascii="Arial" w:eastAsia="Times New Roman" w:hAnsi="Arial" w:cs="Arial"/>
                <w:b/>
                <w:bCs/>
                <w:i/>
                <w:iCs/>
                <w:color w:val="FFFFFF"/>
                <w:sz w:val="20"/>
                <w:szCs w:val="20"/>
              </w:rPr>
            </w:pPr>
            <w:bookmarkStart w:id="307" w:name="_Ref30429707"/>
            <w:bookmarkStart w:id="308" w:name="_Toc32842738"/>
            <w:r w:rsidRPr="00B22EBA">
              <w:rPr>
                <w:rFonts w:ascii="Arial" w:eastAsia="Times New Roman" w:hAnsi="Arial" w:cs="Arial"/>
                <w:b/>
                <w:bCs/>
                <w:i/>
                <w:iCs/>
                <w:color w:val="FFFFFF"/>
                <w:sz w:val="20"/>
                <w:szCs w:val="20"/>
              </w:rPr>
              <w:t>Financial Risk Ratings</w:t>
            </w:r>
          </w:p>
        </w:tc>
        <w:tc>
          <w:tcPr>
            <w:tcW w:w="5974" w:type="dxa"/>
            <w:gridSpan w:val="4"/>
            <w:shd w:val="clear" w:color="auto" w:fill="4F81BD"/>
            <w:noWrap/>
            <w:vAlign w:val="center"/>
            <w:hideMark/>
          </w:tcPr>
          <w:p w14:paraId="781B3E8C" w14:textId="77777777" w:rsidR="0058157E" w:rsidRPr="00603C16" w:rsidRDefault="0058157E" w:rsidP="003F5081">
            <w:pPr>
              <w:spacing w:after="0" w:line="240" w:lineRule="auto"/>
              <w:rPr>
                <w:rFonts w:ascii="Arial" w:eastAsia="Times New Roman" w:hAnsi="Arial" w:cs="Arial"/>
                <w:b/>
                <w:bCs/>
                <w:color w:val="FFFFFF"/>
              </w:rPr>
            </w:pPr>
            <w:r w:rsidRPr="00603C16">
              <w:rPr>
                <w:rFonts w:ascii="Arial" w:eastAsia="Times New Roman" w:hAnsi="Arial" w:cs="Arial"/>
                <w:b/>
                <w:bCs/>
                <w:color w:val="FFFFFF"/>
              </w:rPr>
              <w:t> </w:t>
            </w:r>
          </w:p>
        </w:tc>
      </w:tr>
      <w:tr w:rsidR="0058157E" w:rsidRPr="00603C16" w14:paraId="15464904" w14:textId="77777777" w:rsidTr="003F5081">
        <w:trPr>
          <w:trHeight w:val="96"/>
        </w:trPr>
        <w:tc>
          <w:tcPr>
            <w:tcW w:w="3397" w:type="dxa"/>
            <w:vMerge/>
            <w:shd w:val="clear" w:color="auto" w:fill="4F81BD"/>
            <w:vAlign w:val="center"/>
            <w:hideMark/>
          </w:tcPr>
          <w:p w14:paraId="2BF30A15" w14:textId="77777777" w:rsidR="0058157E" w:rsidRPr="00603C16" w:rsidRDefault="0058157E" w:rsidP="003F5081">
            <w:pPr>
              <w:spacing w:after="0" w:line="240" w:lineRule="auto"/>
              <w:rPr>
                <w:rFonts w:ascii="Arial" w:eastAsia="Times New Roman" w:hAnsi="Arial" w:cs="Arial"/>
                <w:b/>
                <w:bCs/>
                <w:i/>
                <w:iCs/>
                <w:color w:val="FFFFFF"/>
                <w:sz w:val="24"/>
                <w:szCs w:val="24"/>
              </w:rPr>
            </w:pPr>
          </w:p>
        </w:tc>
        <w:tc>
          <w:tcPr>
            <w:tcW w:w="1469" w:type="dxa"/>
            <w:shd w:val="clear" w:color="auto" w:fill="4F81BD"/>
            <w:vAlign w:val="center"/>
            <w:hideMark/>
          </w:tcPr>
          <w:p w14:paraId="25D69EB3" w14:textId="77777777" w:rsidR="0058157E" w:rsidRPr="00603C16" w:rsidRDefault="0058157E" w:rsidP="003F5081">
            <w:pPr>
              <w:spacing w:after="0" w:line="240" w:lineRule="auto"/>
              <w:rPr>
                <w:rFonts w:ascii="Arial" w:eastAsia="Times New Roman" w:hAnsi="Arial" w:cs="Arial"/>
                <w:b/>
                <w:bCs/>
                <w:color w:val="FFFFFF"/>
                <w:sz w:val="20"/>
                <w:szCs w:val="20"/>
              </w:rPr>
            </w:pPr>
            <w:r>
              <w:rPr>
                <w:rFonts w:ascii="Arial" w:eastAsia="Times New Roman" w:hAnsi="Arial" w:cs="Arial"/>
                <w:b/>
                <w:bCs/>
                <w:color w:val="FFFFFF"/>
                <w:sz w:val="20"/>
                <w:szCs w:val="20"/>
              </w:rPr>
              <w:t>FY17</w:t>
            </w:r>
          </w:p>
        </w:tc>
        <w:tc>
          <w:tcPr>
            <w:tcW w:w="1469" w:type="dxa"/>
            <w:shd w:val="clear" w:color="auto" w:fill="4F81BD"/>
            <w:vAlign w:val="center"/>
            <w:hideMark/>
          </w:tcPr>
          <w:p w14:paraId="3592EF0D" w14:textId="77777777" w:rsidR="0058157E" w:rsidRPr="00603C16" w:rsidRDefault="0058157E" w:rsidP="003F5081">
            <w:pPr>
              <w:spacing w:after="0" w:line="240" w:lineRule="auto"/>
              <w:rPr>
                <w:rFonts w:ascii="Arial" w:eastAsia="Times New Roman" w:hAnsi="Arial" w:cs="Arial"/>
                <w:b/>
                <w:bCs/>
                <w:color w:val="FFFFFF"/>
                <w:sz w:val="20"/>
                <w:szCs w:val="20"/>
              </w:rPr>
            </w:pPr>
            <w:r>
              <w:rPr>
                <w:rFonts w:ascii="Arial" w:eastAsia="Times New Roman" w:hAnsi="Arial" w:cs="Arial"/>
                <w:b/>
                <w:bCs/>
                <w:color w:val="FFFFFF"/>
                <w:sz w:val="20"/>
                <w:szCs w:val="20"/>
              </w:rPr>
              <w:t>FY18</w:t>
            </w:r>
          </w:p>
        </w:tc>
        <w:tc>
          <w:tcPr>
            <w:tcW w:w="1469" w:type="dxa"/>
            <w:shd w:val="clear" w:color="auto" w:fill="4F81BD"/>
            <w:vAlign w:val="center"/>
            <w:hideMark/>
          </w:tcPr>
          <w:p w14:paraId="60E99E23" w14:textId="77777777" w:rsidR="0058157E" w:rsidRPr="00603C16" w:rsidRDefault="0058157E" w:rsidP="003F5081">
            <w:pPr>
              <w:spacing w:after="0" w:line="240" w:lineRule="auto"/>
              <w:rPr>
                <w:rFonts w:ascii="Arial" w:eastAsia="Times New Roman" w:hAnsi="Arial" w:cs="Arial"/>
                <w:b/>
                <w:bCs/>
                <w:color w:val="FFFFFF"/>
                <w:sz w:val="20"/>
                <w:szCs w:val="20"/>
              </w:rPr>
            </w:pPr>
            <w:r>
              <w:rPr>
                <w:rFonts w:ascii="Arial" w:eastAsia="Times New Roman" w:hAnsi="Arial" w:cs="Arial"/>
                <w:b/>
                <w:bCs/>
                <w:color w:val="FFFFFF"/>
                <w:sz w:val="20"/>
                <w:szCs w:val="20"/>
              </w:rPr>
              <w:t>FY19</w:t>
            </w:r>
            <w:r w:rsidRPr="00603C16">
              <w:rPr>
                <w:rFonts w:ascii="Arial" w:eastAsia="Times New Roman" w:hAnsi="Arial" w:cs="Arial"/>
                <w:b/>
                <w:bCs/>
                <w:color w:val="FFFFFF"/>
                <w:sz w:val="20"/>
                <w:szCs w:val="20"/>
              </w:rPr>
              <w:t xml:space="preserve"> </w:t>
            </w:r>
          </w:p>
        </w:tc>
        <w:tc>
          <w:tcPr>
            <w:tcW w:w="1567" w:type="dxa"/>
            <w:shd w:val="clear" w:color="auto" w:fill="4F81BD"/>
            <w:vAlign w:val="center"/>
            <w:hideMark/>
          </w:tcPr>
          <w:p w14:paraId="7D648B70" w14:textId="77777777" w:rsidR="0058157E" w:rsidRPr="00603C16" w:rsidRDefault="0058157E" w:rsidP="003F5081">
            <w:pPr>
              <w:spacing w:after="0" w:line="240" w:lineRule="auto"/>
              <w:rPr>
                <w:rFonts w:ascii="Arial" w:eastAsia="Times New Roman" w:hAnsi="Arial" w:cs="Arial"/>
                <w:b/>
                <w:bCs/>
                <w:color w:val="FFFFFF"/>
                <w:sz w:val="20"/>
                <w:szCs w:val="20"/>
              </w:rPr>
            </w:pPr>
            <w:r>
              <w:rPr>
                <w:rFonts w:ascii="Arial" w:eastAsia="Times New Roman" w:hAnsi="Arial" w:cs="Arial"/>
                <w:b/>
                <w:bCs/>
                <w:color w:val="FFFFFF"/>
                <w:sz w:val="20"/>
                <w:szCs w:val="20"/>
              </w:rPr>
              <w:t>FY20</w:t>
            </w:r>
            <w:r w:rsidRPr="00603C16">
              <w:rPr>
                <w:rFonts w:ascii="Arial" w:eastAsia="Times New Roman" w:hAnsi="Arial" w:cs="Arial"/>
                <w:b/>
                <w:bCs/>
                <w:color w:val="FFFFFF"/>
                <w:sz w:val="20"/>
                <w:szCs w:val="20"/>
              </w:rPr>
              <w:t xml:space="preserve"> forecast </w:t>
            </w:r>
          </w:p>
        </w:tc>
      </w:tr>
      <w:tr w:rsidR="0058157E" w:rsidRPr="00603C16" w14:paraId="18D77F89" w14:textId="77777777" w:rsidTr="003F5081">
        <w:trPr>
          <w:trHeight w:val="273"/>
        </w:trPr>
        <w:tc>
          <w:tcPr>
            <w:tcW w:w="3397" w:type="dxa"/>
            <w:shd w:val="clear" w:color="000000" w:fill="FFFFFF"/>
            <w:noWrap/>
            <w:vAlign w:val="center"/>
            <w:hideMark/>
          </w:tcPr>
          <w:p w14:paraId="446BE5B6" w14:textId="77777777" w:rsidR="0058157E" w:rsidRPr="00B22EBA" w:rsidRDefault="0058157E" w:rsidP="003F5081">
            <w:pPr>
              <w:spacing w:after="0" w:line="240" w:lineRule="auto"/>
              <w:rPr>
                <w:rFonts w:ascii="Arial" w:eastAsia="Times New Roman" w:hAnsi="Arial" w:cs="Arial"/>
                <w:sz w:val="18"/>
                <w:szCs w:val="18"/>
              </w:rPr>
            </w:pPr>
            <w:r w:rsidRPr="00B22EBA">
              <w:rPr>
                <w:rFonts w:ascii="Arial" w:eastAsia="Times New Roman" w:hAnsi="Arial" w:cs="Arial"/>
                <w:sz w:val="18"/>
                <w:szCs w:val="18"/>
              </w:rPr>
              <w:t>Capital service capacity</w:t>
            </w:r>
          </w:p>
        </w:tc>
        <w:tc>
          <w:tcPr>
            <w:tcW w:w="1469" w:type="dxa"/>
            <w:shd w:val="clear" w:color="000000" w:fill="FFFFFF"/>
            <w:noWrap/>
            <w:vAlign w:val="center"/>
            <w:hideMark/>
          </w:tcPr>
          <w:p w14:paraId="7A5846FD" w14:textId="77777777" w:rsidR="0058157E" w:rsidRPr="00603C16" w:rsidRDefault="0058157E" w:rsidP="003F5081">
            <w:pPr>
              <w:spacing w:after="0" w:line="240" w:lineRule="auto"/>
              <w:rPr>
                <w:rFonts w:ascii="Arial" w:eastAsia="Times New Roman" w:hAnsi="Arial" w:cs="Arial"/>
                <w:sz w:val="20"/>
                <w:szCs w:val="20"/>
              </w:rPr>
            </w:pPr>
            <w:r>
              <w:rPr>
                <w:rFonts w:ascii="Arial" w:hAnsi="Arial" w:cs="Arial"/>
                <w:sz w:val="18"/>
                <w:szCs w:val="18"/>
              </w:rPr>
              <w:t>1</w:t>
            </w:r>
          </w:p>
        </w:tc>
        <w:tc>
          <w:tcPr>
            <w:tcW w:w="1469" w:type="dxa"/>
            <w:shd w:val="clear" w:color="000000" w:fill="FFFFFF"/>
            <w:noWrap/>
            <w:vAlign w:val="center"/>
            <w:hideMark/>
          </w:tcPr>
          <w:p w14:paraId="27A849E1" w14:textId="77777777" w:rsidR="0058157E" w:rsidRPr="00603C16" w:rsidRDefault="0058157E" w:rsidP="003F5081">
            <w:pPr>
              <w:spacing w:after="0" w:line="240" w:lineRule="auto"/>
              <w:rPr>
                <w:rFonts w:ascii="Arial" w:eastAsia="Times New Roman" w:hAnsi="Arial" w:cs="Arial"/>
                <w:sz w:val="20"/>
                <w:szCs w:val="20"/>
              </w:rPr>
            </w:pPr>
            <w:r>
              <w:rPr>
                <w:rFonts w:ascii="Arial" w:hAnsi="Arial" w:cs="Arial"/>
                <w:sz w:val="18"/>
                <w:szCs w:val="18"/>
              </w:rPr>
              <w:t>1</w:t>
            </w:r>
          </w:p>
        </w:tc>
        <w:tc>
          <w:tcPr>
            <w:tcW w:w="1469" w:type="dxa"/>
            <w:shd w:val="clear" w:color="000000" w:fill="FFFFFF"/>
            <w:noWrap/>
            <w:vAlign w:val="center"/>
            <w:hideMark/>
          </w:tcPr>
          <w:p w14:paraId="7E26FADA" w14:textId="77777777" w:rsidR="0058157E" w:rsidRPr="00603C16" w:rsidRDefault="0058157E" w:rsidP="003F5081">
            <w:pPr>
              <w:spacing w:after="0" w:line="240" w:lineRule="auto"/>
              <w:rPr>
                <w:rFonts w:ascii="Arial" w:eastAsia="Times New Roman" w:hAnsi="Arial" w:cs="Arial"/>
                <w:sz w:val="20"/>
                <w:szCs w:val="20"/>
              </w:rPr>
            </w:pPr>
            <w:r>
              <w:rPr>
                <w:rFonts w:ascii="Arial" w:hAnsi="Arial" w:cs="Arial"/>
                <w:sz w:val="18"/>
                <w:szCs w:val="18"/>
              </w:rPr>
              <w:t>1</w:t>
            </w:r>
          </w:p>
        </w:tc>
        <w:tc>
          <w:tcPr>
            <w:tcW w:w="1567" w:type="dxa"/>
            <w:shd w:val="clear" w:color="000000" w:fill="FFFFFF"/>
            <w:noWrap/>
            <w:vAlign w:val="center"/>
            <w:hideMark/>
          </w:tcPr>
          <w:p w14:paraId="38726D4A" w14:textId="77777777" w:rsidR="0058157E" w:rsidRPr="00603C16" w:rsidRDefault="0058157E" w:rsidP="003F5081">
            <w:pPr>
              <w:spacing w:after="0" w:line="240" w:lineRule="auto"/>
              <w:rPr>
                <w:rFonts w:ascii="Arial" w:eastAsia="Times New Roman" w:hAnsi="Arial" w:cs="Arial"/>
                <w:sz w:val="20"/>
                <w:szCs w:val="20"/>
              </w:rPr>
            </w:pPr>
            <w:r>
              <w:rPr>
                <w:rFonts w:ascii="Arial" w:hAnsi="Arial" w:cs="Arial"/>
                <w:sz w:val="18"/>
                <w:szCs w:val="18"/>
              </w:rPr>
              <w:t>2</w:t>
            </w:r>
          </w:p>
        </w:tc>
      </w:tr>
      <w:tr w:rsidR="0058157E" w:rsidRPr="00603C16" w14:paraId="4EDCB64E" w14:textId="77777777" w:rsidTr="003F5081">
        <w:trPr>
          <w:trHeight w:val="273"/>
        </w:trPr>
        <w:tc>
          <w:tcPr>
            <w:tcW w:w="3397" w:type="dxa"/>
            <w:shd w:val="clear" w:color="000000" w:fill="FFFFFF"/>
            <w:noWrap/>
            <w:vAlign w:val="center"/>
            <w:hideMark/>
          </w:tcPr>
          <w:p w14:paraId="1E446178" w14:textId="77777777" w:rsidR="0058157E" w:rsidRPr="00B22EBA" w:rsidRDefault="0058157E" w:rsidP="003F5081">
            <w:pPr>
              <w:spacing w:after="0" w:line="240" w:lineRule="auto"/>
              <w:rPr>
                <w:rFonts w:ascii="Arial" w:eastAsia="Times New Roman" w:hAnsi="Arial" w:cs="Arial"/>
                <w:sz w:val="18"/>
                <w:szCs w:val="18"/>
              </w:rPr>
            </w:pPr>
            <w:r w:rsidRPr="00B22EBA">
              <w:rPr>
                <w:rFonts w:ascii="Arial" w:eastAsia="Times New Roman" w:hAnsi="Arial" w:cs="Arial"/>
                <w:sz w:val="18"/>
                <w:szCs w:val="18"/>
              </w:rPr>
              <w:t>Liquidity</w:t>
            </w:r>
          </w:p>
        </w:tc>
        <w:tc>
          <w:tcPr>
            <w:tcW w:w="1469" w:type="dxa"/>
            <w:shd w:val="clear" w:color="000000" w:fill="FFFFFF"/>
            <w:noWrap/>
            <w:vAlign w:val="center"/>
            <w:hideMark/>
          </w:tcPr>
          <w:p w14:paraId="405C02FF" w14:textId="77777777" w:rsidR="0058157E" w:rsidRPr="00603C16" w:rsidRDefault="0058157E" w:rsidP="003F5081">
            <w:pPr>
              <w:spacing w:after="0" w:line="240" w:lineRule="auto"/>
              <w:rPr>
                <w:rFonts w:ascii="Arial" w:eastAsia="Times New Roman" w:hAnsi="Arial" w:cs="Arial"/>
                <w:sz w:val="20"/>
                <w:szCs w:val="20"/>
              </w:rPr>
            </w:pPr>
            <w:r>
              <w:rPr>
                <w:rFonts w:ascii="Arial" w:hAnsi="Arial" w:cs="Arial"/>
                <w:sz w:val="18"/>
                <w:szCs w:val="18"/>
              </w:rPr>
              <w:t>1</w:t>
            </w:r>
          </w:p>
        </w:tc>
        <w:tc>
          <w:tcPr>
            <w:tcW w:w="1469" w:type="dxa"/>
            <w:shd w:val="clear" w:color="000000" w:fill="FFFFFF"/>
            <w:noWrap/>
            <w:vAlign w:val="center"/>
            <w:hideMark/>
          </w:tcPr>
          <w:p w14:paraId="24EBD8A4" w14:textId="77777777" w:rsidR="0058157E" w:rsidRPr="00603C16" w:rsidRDefault="0058157E" w:rsidP="003F5081">
            <w:pPr>
              <w:spacing w:after="0" w:line="240" w:lineRule="auto"/>
              <w:rPr>
                <w:rFonts w:ascii="Arial" w:eastAsia="Times New Roman" w:hAnsi="Arial" w:cs="Arial"/>
                <w:sz w:val="20"/>
                <w:szCs w:val="20"/>
              </w:rPr>
            </w:pPr>
            <w:r>
              <w:rPr>
                <w:rFonts w:ascii="Arial" w:hAnsi="Arial" w:cs="Arial"/>
                <w:sz w:val="18"/>
                <w:szCs w:val="18"/>
              </w:rPr>
              <w:t>1</w:t>
            </w:r>
          </w:p>
        </w:tc>
        <w:tc>
          <w:tcPr>
            <w:tcW w:w="1469" w:type="dxa"/>
            <w:shd w:val="clear" w:color="000000" w:fill="FFFFFF"/>
            <w:noWrap/>
            <w:vAlign w:val="center"/>
            <w:hideMark/>
          </w:tcPr>
          <w:p w14:paraId="06E2C38E" w14:textId="77777777" w:rsidR="0058157E" w:rsidRPr="00603C16" w:rsidRDefault="0058157E" w:rsidP="003F5081">
            <w:pPr>
              <w:spacing w:after="0" w:line="240" w:lineRule="auto"/>
              <w:rPr>
                <w:rFonts w:ascii="Arial" w:eastAsia="Times New Roman" w:hAnsi="Arial" w:cs="Arial"/>
                <w:sz w:val="20"/>
                <w:szCs w:val="20"/>
              </w:rPr>
            </w:pPr>
            <w:r>
              <w:rPr>
                <w:rFonts w:ascii="Arial" w:hAnsi="Arial" w:cs="Arial"/>
                <w:sz w:val="18"/>
                <w:szCs w:val="18"/>
              </w:rPr>
              <w:t>1</w:t>
            </w:r>
          </w:p>
        </w:tc>
        <w:tc>
          <w:tcPr>
            <w:tcW w:w="1567" w:type="dxa"/>
            <w:shd w:val="clear" w:color="000000" w:fill="FFFFFF"/>
            <w:noWrap/>
            <w:vAlign w:val="center"/>
            <w:hideMark/>
          </w:tcPr>
          <w:p w14:paraId="4474C600" w14:textId="77777777" w:rsidR="0058157E" w:rsidRPr="00603C16" w:rsidRDefault="0058157E" w:rsidP="003F5081">
            <w:pPr>
              <w:spacing w:after="0" w:line="240" w:lineRule="auto"/>
              <w:rPr>
                <w:rFonts w:ascii="Arial" w:eastAsia="Times New Roman" w:hAnsi="Arial" w:cs="Arial"/>
                <w:sz w:val="20"/>
                <w:szCs w:val="20"/>
              </w:rPr>
            </w:pPr>
            <w:r>
              <w:rPr>
                <w:rFonts w:ascii="Arial" w:hAnsi="Arial" w:cs="Arial"/>
                <w:sz w:val="18"/>
                <w:szCs w:val="18"/>
              </w:rPr>
              <w:t>1</w:t>
            </w:r>
          </w:p>
        </w:tc>
      </w:tr>
      <w:tr w:rsidR="0058157E" w:rsidRPr="00603C16" w14:paraId="677C9819" w14:textId="77777777" w:rsidTr="003F5081">
        <w:trPr>
          <w:trHeight w:val="273"/>
        </w:trPr>
        <w:tc>
          <w:tcPr>
            <w:tcW w:w="3397" w:type="dxa"/>
            <w:shd w:val="clear" w:color="000000" w:fill="FFFFFF"/>
            <w:noWrap/>
            <w:vAlign w:val="center"/>
            <w:hideMark/>
          </w:tcPr>
          <w:p w14:paraId="044AB30B" w14:textId="77777777" w:rsidR="0058157E" w:rsidRPr="00B22EBA" w:rsidRDefault="0058157E" w:rsidP="003F5081">
            <w:pPr>
              <w:spacing w:after="0" w:line="240" w:lineRule="auto"/>
              <w:rPr>
                <w:rFonts w:ascii="Arial" w:eastAsia="Times New Roman" w:hAnsi="Arial" w:cs="Arial"/>
                <w:sz w:val="18"/>
                <w:szCs w:val="18"/>
              </w:rPr>
            </w:pPr>
            <w:r w:rsidRPr="00B22EBA">
              <w:rPr>
                <w:rFonts w:ascii="Arial" w:eastAsia="Times New Roman" w:hAnsi="Arial" w:cs="Arial"/>
                <w:sz w:val="18"/>
                <w:szCs w:val="18"/>
              </w:rPr>
              <w:t>I&amp;E margin</w:t>
            </w:r>
          </w:p>
        </w:tc>
        <w:tc>
          <w:tcPr>
            <w:tcW w:w="1469" w:type="dxa"/>
            <w:shd w:val="clear" w:color="000000" w:fill="FFFFFF"/>
            <w:noWrap/>
            <w:vAlign w:val="center"/>
            <w:hideMark/>
          </w:tcPr>
          <w:p w14:paraId="40C36544" w14:textId="77777777" w:rsidR="0058157E" w:rsidRPr="00603C16" w:rsidRDefault="0058157E" w:rsidP="003F5081">
            <w:pPr>
              <w:spacing w:after="0" w:line="240" w:lineRule="auto"/>
              <w:rPr>
                <w:rFonts w:ascii="Arial" w:eastAsia="Times New Roman" w:hAnsi="Arial" w:cs="Arial"/>
                <w:sz w:val="20"/>
                <w:szCs w:val="20"/>
              </w:rPr>
            </w:pPr>
            <w:r>
              <w:rPr>
                <w:rFonts w:ascii="Arial" w:hAnsi="Arial" w:cs="Arial"/>
                <w:sz w:val="18"/>
                <w:szCs w:val="18"/>
              </w:rPr>
              <w:t>1</w:t>
            </w:r>
          </w:p>
        </w:tc>
        <w:tc>
          <w:tcPr>
            <w:tcW w:w="1469" w:type="dxa"/>
            <w:shd w:val="clear" w:color="000000" w:fill="FFFFFF"/>
            <w:noWrap/>
            <w:vAlign w:val="center"/>
            <w:hideMark/>
          </w:tcPr>
          <w:p w14:paraId="2310CB5B" w14:textId="77777777" w:rsidR="0058157E" w:rsidRPr="00603C16" w:rsidRDefault="0058157E" w:rsidP="003F5081">
            <w:pPr>
              <w:spacing w:after="0" w:line="240" w:lineRule="auto"/>
              <w:rPr>
                <w:rFonts w:ascii="Arial" w:eastAsia="Times New Roman" w:hAnsi="Arial" w:cs="Arial"/>
                <w:sz w:val="20"/>
                <w:szCs w:val="20"/>
              </w:rPr>
            </w:pPr>
            <w:r>
              <w:rPr>
                <w:rFonts w:ascii="Arial" w:hAnsi="Arial" w:cs="Arial"/>
                <w:sz w:val="18"/>
                <w:szCs w:val="18"/>
              </w:rPr>
              <w:t>1</w:t>
            </w:r>
          </w:p>
        </w:tc>
        <w:tc>
          <w:tcPr>
            <w:tcW w:w="1469" w:type="dxa"/>
            <w:shd w:val="clear" w:color="000000" w:fill="FFFFFF"/>
            <w:noWrap/>
            <w:vAlign w:val="center"/>
            <w:hideMark/>
          </w:tcPr>
          <w:p w14:paraId="565619E1" w14:textId="77777777" w:rsidR="0058157E" w:rsidRPr="00603C16" w:rsidRDefault="0058157E" w:rsidP="003F5081">
            <w:pPr>
              <w:spacing w:after="0" w:line="240" w:lineRule="auto"/>
              <w:rPr>
                <w:rFonts w:ascii="Arial" w:eastAsia="Times New Roman" w:hAnsi="Arial" w:cs="Arial"/>
                <w:sz w:val="20"/>
                <w:szCs w:val="20"/>
              </w:rPr>
            </w:pPr>
            <w:r>
              <w:rPr>
                <w:rFonts w:ascii="Arial" w:hAnsi="Arial" w:cs="Arial"/>
                <w:sz w:val="18"/>
                <w:szCs w:val="18"/>
              </w:rPr>
              <w:t>1</w:t>
            </w:r>
          </w:p>
        </w:tc>
        <w:tc>
          <w:tcPr>
            <w:tcW w:w="1567" w:type="dxa"/>
            <w:shd w:val="clear" w:color="000000" w:fill="FFFFFF"/>
            <w:noWrap/>
            <w:vAlign w:val="center"/>
            <w:hideMark/>
          </w:tcPr>
          <w:p w14:paraId="402BB2F1" w14:textId="77777777" w:rsidR="0058157E" w:rsidRPr="00603C16" w:rsidRDefault="0058157E" w:rsidP="003F5081">
            <w:pPr>
              <w:spacing w:after="0" w:line="240" w:lineRule="auto"/>
              <w:rPr>
                <w:rFonts w:ascii="Arial" w:eastAsia="Times New Roman" w:hAnsi="Arial" w:cs="Arial"/>
                <w:sz w:val="20"/>
                <w:szCs w:val="20"/>
              </w:rPr>
            </w:pPr>
            <w:r>
              <w:rPr>
                <w:rFonts w:ascii="Arial" w:hAnsi="Arial" w:cs="Arial"/>
                <w:sz w:val="18"/>
                <w:szCs w:val="18"/>
              </w:rPr>
              <w:t>2</w:t>
            </w:r>
          </w:p>
        </w:tc>
      </w:tr>
      <w:tr w:rsidR="0058157E" w:rsidRPr="00603C16" w14:paraId="7506F7DB" w14:textId="77777777" w:rsidTr="003F5081">
        <w:trPr>
          <w:trHeight w:val="273"/>
        </w:trPr>
        <w:tc>
          <w:tcPr>
            <w:tcW w:w="3397" w:type="dxa"/>
            <w:shd w:val="clear" w:color="000000" w:fill="FFFFFF"/>
            <w:noWrap/>
            <w:vAlign w:val="center"/>
            <w:hideMark/>
          </w:tcPr>
          <w:p w14:paraId="31E3DB0A" w14:textId="77777777" w:rsidR="0058157E" w:rsidRPr="00B22EBA" w:rsidRDefault="0058157E" w:rsidP="003F5081">
            <w:pPr>
              <w:spacing w:after="0" w:line="240" w:lineRule="auto"/>
              <w:rPr>
                <w:rFonts w:ascii="Arial" w:eastAsia="Times New Roman" w:hAnsi="Arial" w:cs="Arial"/>
                <w:sz w:val="18"/>
                <w:szCs w:val="18"/>
              </w:rPr>
            </w:pPr>
            <w:r w:rsidRPr="00B22EBA">
              <w:rPr>
                <w:rFonts w:ascii="Arial" w:eastAsia="Times New Roman" w:hAnsi="Arial" w:cs="Arial"/>
                <w:sz w:val="18"/>
                <w:szCs w:val="18"/>
              </w:rPr>
              <w:t>Distance from financial plan</w:t>
            </w:r>
          </w:p>
        </w:tc>
        <w:tc>
          <w:tcPr>
            <w:tcW w:w="1469" w:type="dxa"/>
            <w:shd w:val="clear" w:color="000000" w:fill="FFFFFF"/>
            <w:noWrap/>
            <w:vAlign w:val="center"/>
            <w:hideMark/>
          </w:tcPr>
          <w:p w14:paraId="0D56CDF3" w14:textId="77777777" w:rsidR="0058157E" w:rsidRPr="00603C16" w:rsidRDefault="0058157E" w:rsidP="003F5081">
            <w:pPr>
              <w:spacing w:after="0" w:line="240" w:lineRule="auto"/>
              <w:rPr>
                <w:rFonts w:ascii="Arial" w:eastAsia="Times New Roman" w:hAnsi="Arial" w:cs="Arial"/>
                <w:sz w:val="20"/>
                <w:szCs w:val="20"/>
              </w:rPr>
            </w:pPr>
            <w:r>
              <w:rPr>
                <w:rFonts w:ascii="Arial" w:hAnsi="Arial" w:cs="Arial"/>
                <w:sz w:val="18"/>
                <w:szCs w:val="18"/>
              </w:rPr>
              <w:t>1</w:t>
            </w:r>
          </w:p>
        </w:tc>
        <w:tc>
          <w:tcPr>
            <w:tcW w:w="1469" w:type="dxa"/>
            <w:shd w:val="clear" w:color="000000" w:fill="FFFFFF"/>
            <w:noWrap/>
            <w:vAlign w:val="center"/>
            <w:hideMark/>
          </w:tcPr>
          <w:p w14:paraId="5627A969" w14:textId="77777777" w:rsidR="0058157E" w:rsidRPr="00603C16" w:rsidRDefault="0058157E" w:rsidP="003F5081">
            <w:pPr>
              <w:spacing w:after="0" w:line="240" w:lineRule="auto"/>
              <w:rPr>
                <w:rFonts w:ascii="Arial" w:eastAsia="Times New Roman" w:hAnsi="Arial" w:cs="Arial"/>
                <w:sz w:val="20"/>
                <w:szCs w:val="20"/>
              </w:rPr>
            </w:pPr>
            <w:r>
              <w:rPr>
                <w:rFonts w:ascii="Arial" w:hAnsi="Arial" w:cs="Arial"/>
                <w:sz w:val="18"/>
                <w:szCs w:val="18"/>
              </w:rPr>
              <w:t>1</w:t>
            </w:r>
          </w:p>
        </w:tc>
        <w:tc>
          <w:tcPr>
            <w:tcW w:w="1469" w:type="dxa"/>
            <w:shd w:val="clear" w:color="000000" w:fill="FFFFFF"/>
            <w:noWrap/>
            <w:vAlign w:val="center"/>
            <w:hideMark/>
          </w:tcPr>
          <w:p w14:paraId="4A9AFB95" w14:textId="77777777" w:rsidR="0058157E" w:rsidRPr="00603C16" w:rsidRDefault="0058157E" w:rsidP="003F5081">
            <w:pPr>
              <w:spacing w:after="0" w:line="240" w:lineRule="auto"/>
              <w:rPr>
                <w:rFonts w:ascii="Arial" w:eastAsia="Times New Roman" w:hAnsi="Arial" w:cs="Arial"/>
                <w:sz w:val="20"/>
                <w:szCs w:val="20"/>
              </w:rPr>
            </w:pPr>
            <w:r>
              <w:rPr>
                <w:rFonts w:ascii="Arial" w:hAnsi="Arial" w:cs="Arial"/>
                <w:sz w:val="18"/>
                <w:szCs w:val="18"/>
              </w:rPr>
              <w:t>1</w:t>
            </w:r>
          </w:p>
        </w:tc>
        <w:tc>
          <w:tcPr>
            <w:tcW w:w="1567" w:type="dxa"/>
            <w:shd w:val="clear" w:color="000000" w:fill="FFFFFF"/>
            <w:noWrap/>
            <w:vAlign w:val="center"/>
            <w:hideMark/>
          </w:tcPr>
          <w:p w14:paraId="36B2662F" w14:textId="77777777" w:rsidR="0058157E" w:rsidRPr="00603C16" w:rsidRDefault="0058157E" w:rsidP="003F5081">
            <w:pPr>
              <w:spacing w:after="0" w:line="240" w:lineRule="auto"/>
              <w:rPr>
                <w:rFonts w:ascii="Arial" w:eastAsia="Times New Roman" w:hAnsi="Arial" w:cs="Arial"/>
                <w:sz w:val="20"/>
                <w:szCs w:val="20"/>
              </w:rPr>
            </w:pPr>
            <w:r>
              <w:rPr>
                <w:rFonts w:ascii="Arial" w:hAnsi="Arial" w:cs="Arial"/>
                <w:sz w:val="18"/>
                <w:szCs w:val="18"/>
              </w:rPr>
              <w:t>1</w:t>
            </w:r>
          </w:p>
        </w:tc>
      </w:tr>
      <w:tr w:rsidR="0058157E" w:rsidRPr="00603C16" w14:paraId="25CA6B4B" w14:textId="77777777" w:rsidTr="003F5081">
        <w:trPr>
          <w:trHeight w:val="273"/>
        </w:trPr>
        <w:tc>
          <w:tcPr>
            <w:tcW w:w="3397" w:type="dxa"/>
            <w:shd w:val="clear" w:color="000000" w:fill="FFFFFF"/>
            <w:noWrap/>
            <w:vAlign w:val="center"/>
            <w:hideMark/>
          </w:tcPr>
          <w:p w14:paraId="275F8425" w14:textId="77777777" w:rsidR="0058157E" w:rsidRPr="00B22EBA" w:rsidRDefault="0058157E" w:rsidP="003F5081">
            <w:pPr>
              <w:spacing w:after="0" w:line="240" w:lineRule="auto"/>
              <w:rPr>
                <w:rFonts w:ascii="Arial" w:eastAsia="Times New Roman" w:hAnsi="Arial" w:cs="Arial"/>
                <w:sz w:val="18"/>
                <w:szCs w:val="18"/>
              </w:rPr>
            </w:pPr>
            <w:r w:rsidRPr="00B22EBA">
              <w:rPr>
                <w:rFonts w:ascii="Arial" w:eastAsia="Times New Roman" w:hAnsi="Arial" w:cs="Arial"/>
                <w:sz w:val="18"/>
                <w:szCs w:val="18"/>
              </w:rPr>
              <w:t>Agency spend</w:t>
            </w:r>
          </w:p>
        </w:tc>
        <w:tc>
          <w:tcPr>
            <w:tcW w:w="1469" w:type="dxa"/>
            <w:shd w:val="clear" w:color="000000" w:fill="FFFFFF"/>
            <w:noWrap/>
            <w:vAlign w:val="center"/>
            <w:hideMark/>
          </w:tcPr>
          <w:p w14:paraId="165D5563" w14:textId="77777777" w:rsidR="0058157E" w:rsidRPr="00603C16" w:rsidRDefault="0058157E" w:rsidP="003F5081">
            <w:pPr>
              <w:spacing w:after="0" w:line="240" w:lineRule="auto"/>
              <w:rPr>
                <w:rFonts w:ascii="Arial" w:eastAsia="Times New Roman" w:hAnsi="Arial" w:cs="Arial"/>
                <w:sz w:val="20"/>
                <w:szCs w:val="20"/>
              </w:rPr>
            </w:pPr>
            <w:r>
              <w:rPr>
                <w:rFonts w:ascii="Arial" w:hAnsi="Arial" w:cs="Arial"/>
                <w:sz w:val="18"/>
                <w:szCs w:val="18"/>
              </w:rPr>
              <w:t>2</w:t>
            </w:r>
          </w:p>
        </w:tc>
        <w:tc>
          <w:tcPr>
            <w:tcW w:w="1469" w:type="dxa"/>
            <w:shd w:val="clear" w:color="000000" w:fill="FFFFFF"/>
            <w:noWrap/>
            <w:vAlign w:val="center"/>
            <w:hideMark/>
          </w:tcPr>
          <w:p w14:paraId="15A1778E" w14:textId="77777777" w:rsidR="0058157E" w:rsidRPr="00603C16" w:rsidRDefault="0058157E" w:rsidP="003F5081">
            <w:pPr>
              <w:spacing w:after="0" w:line="240" w:lineRule="auto"/>
              <w:rPr>
                <w:rFonts w:ascii="Arial" w:eastAsia="Times New Roman" w:hAnsi="Arial" w:cs="Arial"/>
                <w:sz w:val="20"/>
                <w:szCs w:val="20"/>
              </w:rPr>
            </w:pPr>
            <w:r>
              <w:rPr>
                <w:rFonts w:ascii="Arial" w:hAnsi="Arial" w:cs="Arial"/>
                <w:sz w:val="18"/>
                <w:szCs w:val="18"/>
              </w:rPr>
              <w:t>1</w:t>
            </w:r>
          </w:p>
        </w:tc>
        <w:tc>
          <w:tcPr>
            <w:tcW w:w="1469" w:type="dxa"/>
            <w:shd w:val="clear" w:color="000000" w:fill="FFFFFF"/>
            <w:noWrap/>
            <w:vAlign w:val="center"/>
            <w:hideMark/>
          </w:tcPr>
          <w:p w14:paraId="6E744C17" w14:textId="77777777" w:rsidR="0058157E" w:rsidRPr="00603C16" w:rsidRDefault="0058157E" w:rsidP="003F5081">
            <w:pPr>
              <w:spacing w:after="0" w:line="240" w:lineRule="auto"/>
              <w:rPr>
                <w:rFonts w:ascii="Arial" w:eastAsia="Times New Roman" w:hAnsi="Arial" w:cs="Arial"/>
                <w:sz w:val="20"/>
                <w:szCs w:val="20"/>
              </w:rPr>
            </w:pPr>
            <w:r>
              <w:rPr>
                <w:rFonts w:ascii="Arial" w:hAnsi="Arial" w:cs="Arial"/>
                <w:sz w:val="18"/>
                <w:szCs w:val="18"/>
              </w:rPr>
              <w:t>1</w:t>
            </w:r>
          </w:p>
        </w:tc>
        <w:tc>
          <w:tcPr>
            <w:tcW w:w="1567" w:type="dxa"/>
            <w:shd w:val="clear" w:color="000000" w:fill="FFFFFF"/>
            <w:noWrap/>
            <w:vAlign w:val="center"/>
            <w:hideMark/>
          </w:tcPr>
          <w:p w14:paraId="7E97EF76" w14:textId="77777777" w:rsidR="0058157E" w:rsidRPr="00603C16" w:rsidRDefault="0058157E" w:rsidP="003F5081">
            <w:pPr>
              <w:spacing w:after="0" w:line="240" w:lineRule="auto"/>
              <w:rPr>
                <w:rFonts w:ascii="Arial" w:eastAsia="Times New Roman" w:hAnsi="Arial" w:cs="Arial"/>
                <w:sz w:val="20"/>
                <w:szCs w:val="20"/>
              </w:rPr>
            </w:pPr>
            <w:r>
              <w:rPr>
                <w:rFonts w:ascii="Arial" w:hAnsi="Arial" w:cs="Arial"/>
                <w:sz w:val="18"/>
                <w:szCs w:val="18"/>
              </w:rPr>
              <w:t>1</w:t>
            </w:r>
          </w:p>
        </w:tc>
      </w:tr>
      <w:tr w:rsidR="0058157E" w:rsidRPr="00603C16" w14:paraId="5FAAD9D8" w14:textId="77777777" w:rsidTr="003F5081">
        <w:trPr>
          <w:trHeight w:val="288"/>
        </w:trPr>
        <w:tc>
          <w:tcPr>
            <w:tcW w:w="3397" w:type="dxa"/>
            <w:shd w:val="clear" w:color="000000" w:fill="FFFFFF"/>
            <w:noWrap/>
            <w:vAlign w:val="center"/>
            <w:hideMark/>
          </w:tcPr>
          <w:p w14:paraId="6182E599" w14:textId="77777777" w:rsidR="0058157E" w:rsidRPr="00B22EBA" w:rsidRDefault="0058157E" w:rsidP="003F5081">
            <w:pPr>
              <w:spacing w:after="0" w:line="240" w:lineRule="auto"/>
              <w:rPr>
                <w:rFonts w:ascii="Arial" w:eastAsia="Times New Roman" w:hAnsi="Arial" w:cs="Arial"/>
                <w:b/>
                <w:bCs/>
                <w:sz w:val="18"/>
                <w:szCs w:val="18"/>
              </w:rPr>
            </w:pPr>
            <w:r w:rsidRPr="00B22EBA">
              <w:rPr>
                <w:rFonts w:ascii="Arial" w:eastAsia="Times New Roman" w:hAnsi="Arial" w:cs="Arial"/>
                <w:b/>
                <w:bCs/>
                <w:sz w:val="18"/>
                <w:szCs w:val="18"/>
              </w:rPr>
              <w:t>Overall scoring</w:t>
            </w:r>
          </w:p>
        </w:tc>
        <w:tc>
          <w:tcPr>
            <w:tcW w:w="1469" w:type="dxa"/>
            <w:shd w:val="clear" w:color="000000" w:fill="F2F2F2"/>
            <w:noWrap/>
            <w:vAlign w:val="center"/>
            <w:hideMark/>
          </w:tcPr>
          <w:p w14:paraId="75AF181D" w14:textId="77777777" w:rsidR="0058157E" w:rsidRPr="00603C16" w:rsidRDefault="0058157E" w:rsidP="003F5081">
            <w:pPr>
              <w:spacing w:after="0" w:line="240" w:lineRule="auto"/>
              <w:rPr>
                <w:rFonts w:ascii="Arial" w:eastAsia="Times New Roman" w:hAnsi="Arial" w:cs="Arial"/>
                <w:b/>
                <w:bCs/>
                <w:sz w:val="20"/>
                <w:szCs w:val="20"/>
              </w:rPr>
            </w:pPr>
            <w:r>
              <w:rPr>
                <w:rFonts w:ascii="Arial" w:hAnsi="Arial" w:cs="Arial"/>
                <w:b/>
                <w:bCs/>
                <w:sz w:val="18"/>
                <w:szCs w:val="18"/>
              </w:rPr>
              <w:t>1</w:t>
            </w:r>
          </w:p>
        </w:tc>
        <w:tc>
          <w:tcPr>
            <w:tcW w:w="1469" w:type="dxa"/>
            <w:shd w:val="clear" w:color="000000" w:fill="F2F2F2"/>
            <w:noWrap/>
            <w:vAlign w:val="center"/>
            <w:hideMark/>
          </w:tcPr>
          <w:p w14:paraId="593D0233" w14:textId="77777777" w:rsidR="0058157E" w:rsidRPr="00603C16" w:rsidRDefault="0058157E" w:rsidP="003F5081">
            <w:pPr>
              <w:spacing w:after="0" w:line="240" w:lineRule="auto"/>
              <w:rPr>
                <w:rFonts w:ascii="Arial" w:eastAsia="Times New Roman" w:hAnsi="Arial" w:cs="Arial"/>
                <w:b/>
                <w:bCs/>
                <w:sz w:val="20"/>
                <w:szCs w:val="20"/>
              </w:rPr>
            </w:pPr>
            <w:r>
              <w:rPr>
                <w:rFonts w:ascii="Arial" w:hAnsi="Arial" w:cs="Arial"/>
                <w:b/>
                <w:bCs/>
                <w:sz w:val="18"/>
                <w:szCs w:val="18"/>
              </w:rPr>
              <w:t>1</w:t>
            </w:r>
          </w:p>
        </w:tc>
        <w:tc>
          <w:tcPr>
            <w:tcW w:w="1469" w:type="dxa"/>
            <w:shd w:val="clear" w:color="000000" w:fill="F2F2F2"/>
            <w:noWrap/>
            <w:vAlign w:val="center"/>
            <w:hideMark/>
          </w:tcPr>
          <w:p w14:paraId="148A4D80" w14:textId="77777777" w:rsidR="0058157E" w:rsidRPr="00603C16" w:rsidRDefault="0058157E" w:rsidP="003F5081">
            <w:pPr>
              <w:spacing w:after="0" w:line="240" w:lineRule="auto"/>
              <w:rPr>
                <w:rFonts w:ascii="Arial" w:eastAsia="Times New Roman" w:hAnsi="Arial" w:cs="Arial"/>
                <w:b/>
                <w:bCs/>
                <w:sz w:val="20"/>
                <w:szCs w:val="20"/>
              </w:rPr>
            </w:pPr>
            <w:r>
              <w:rPr>
                <w:rFonts w:ascii="Arial" w:hAnsi="Arial" w:cs="Arial"/>
                <w:b/>
                <w:bCs/>
                <w:sz w:val="18"/>
                <w:szCs w:val="18"/>
              </w:rPr>
              <w:t>1</w:t>
            </w:r>
          </w:p>
        </w:tc>
        <w:tc>
          <w:tcPr>
            <w:tcW w:w="1567" w:type="dxa"/>
            <w:shd w:val="clear" w:color="000000" w:fill="F2F2F2"/>
            <w:noWrap/>
            <w:vAlign w:val="center"/>
            <w:hideMark/>
          </w:tcPr>
          <w:p w14:paraId="18CBDB5A" w14:textId="77777777" w:rsidR="0058157E" w:rsidRPr="00603C16" w:rsidRDefault="0058157E" w:rsidP="003F5081">
            <w:pPr>
              <w:spacing w:after="0" w:line="240" w:lineRule="auto"/>
              <w:rPr>
                <w:rFonts w:ascii="Arial" w:eastAsia="Times New Roman" w:hAnsi="Arial" w:cs="Arial"/>
                <w:b/>
                <w:bCs/>
                <w:sz w:val="20"/>
                <w:szCs w:val="20"/>
              </w:rPr>
            </w:pPr>
            <w:r>
              <w:rPr>
                <w:rFonts w:ascii="Arial" w:hAnsi="Arial" w:cs="Arial"/>
                <w:b/>
                <w:bCs/>
                <w:sz w:val="18"/>
                <w:szCs w:val="18"/>
              </w:rPr>
              <w:t>1</w:t>
            </w:r>
          </w:p>
        </w:tc>
      </w:tr>
    </w:tbl>
    <w:p w14:paraId="0055BB8C" w14:textId="2D720534" w:rsidR="009940CE" w:rsidRPr="0093555D" w:rsidRDefault="009940CE" w:rsidP="0093555D">
      <w:pPr>
        <w:rPr>
          <w:rFonts w:ascii="Arial" w:hAnsi="Arial" w:cs="Arial"/>
        </w:rPr>
      </w:pPr>
    </w:p>
    <w:p w14:paraId="0A3E7403" w14:textId="77777777" w:rsidR="009940CE" w:rsidRPr="0093555D" w:rsidRDefault="009940CE">
      <w:pPr>
        <w:rPr>
          <w:rFonts w:ascii="Arial" w:hAnsi="Arial" w:cs="Arial"/>
        </w:rPr>
      </w:pPr>
      <w:r w:rsidRPr="0093555D">
        <w:rPr>
          <w:rFonts w:ascii="Arial" w:hAnsi="Arial" w:cs="Arial"/>
        </w:rPr>
        <w:br w:type="page"/>
      </w:r>
    </w:p>
    <w:p w14:paraId="0515B94A" w14:textId="77777777" w:rsidR="009940CE" w:rsidRPr="0093555D" w:rsidRDefault="009940CE" w:rsidP="0093555D">
      <w:pPr>
        <w:rPr>
          <w:rFonts w:ascii="Arial" w:hAnsi="Arial" w:cs="Arial"/>
        </w:rPr>
      </w:pPr>
    </w:p>
    <w:p w14:paraId="32E02414" w14:textId="2C6380EC" w:rsidR="005E30EF" w:rsidRPr="00587DF1" w:rsidRDefault="005E30EF" w:rsidP="005E0D57">
      <w:pPr>
        <w:pStyle w:val="Heading2"/>
        <w:numPr>
          <w:ilvl w:val="1"/>
          <w:numId w:val="1"/>
        </w:numPr>
        <w:rPr>
          <w:rFonts w:ascii="Arial" w:eastAsia="Arial" w:hAnsi="Arial" w:cs="Arial"/>
        </w:rPr>
      </w:pPr>
      <w:r>
        <w:rPr>
          <w:rFonts w:ascii="Arial" w:eastAsia="Arial" w:hAnsi="Arial" w:cs="Arial"/>
        </w:rPr>
        <w:t>Forecast financial performance</w:t>
      </w:r>
      <w:bookmarkEnd w:id="307"/>
      <w:bookmarkEnd w:id="308"/>
    </w:p>
    <w:p w14:paraId="4582A443" w14:textId="77777777" w:rsidR="00AF7894" w:rsidRDefault="00AF7894" w:rsidP="00AF7894">
      <w:pPr>
        <w:spacing w:after="0"/>
        <w:rPr>
          <w:rFonts w:ascii="Arial" w:hAnsi="Arial" w:cs="Arial"/>
        </w:rPr>
      </w:pPr>
    </w:p>
    <w:p w14:paraId="5BD4D9EC" w14:textId="702A59BF" w:rsidR="005E30EF" w:rsidRPr="001B17AE" w:rsidRDefault="005E30EF" w:rsidP="00B72F95">
      <w:pPr>
        <w:rPr>
          <w:rFonts w:ascii="Arial" w:hAnsi="Arial" w:cs="Arial"/>
        </w:rPr>
      </w:pPr>
      <w:r>
        <w:rPr>
          <w:rFonts w:ascii="Arial" w:hAnsi="Arial" w:cs="Arial"/>
        </w:rPr>
        <w:t>This section presents the forecasts from the Long Term Financia</w:t>
      </w:r>
      <w:r w:rsidR="00E13043">
        <w:rPr>
          <w:rFonts w:ascii="Arial" w:hAnsi="Arial" w:cs="Arial"/>
        </w:rPr>
        <w:t>l Model (LTFM) from FY21 to FY29</w:t>
      </w:r>
      <w:r>
        <w:rPr>
          <w:rFonts w:ascii="Arial" w:hAnsi="Arial" w:cs="Arial"/>
        </w:rPr>
        <w:t xml:space="preserve">, which includes the impact of the preferred option.  It explains the key assumptions and risks. This is split between Revenue (section </w:t>
      </w:r>
      <w:r w:rsidR="00AF7894">
        <w:rPr>
          <w:rFonts w:ascii="Arial" w:hAnsi="Arial" w:cs="Arial"/>
        </w:rPr>
        <w:fldChar w:fldCharType="begin"/>
      </w:r>
      <w:r w:rsidR="00AF7894">
        <w:rPr>
          <w:rFonts w:ascii="Arial" w:hAnsi="Arial" w:cs="Arial"/>
        </w:rPr>
        <w:instrText xml:space="preserve"> REF _Ref30433388 \r \h </w:instrText>
      </w:r>
      <w:r w:rsidR="00AF7894">
        <w:rPr>
          <w:rFonts w:ascii="Arial" w:hAnsi="Arial" w:cs="Arial"/>
        </w:rPr>
      </w:r>
      <w:r w:rsidR="00AF7894">
        <w:rPr>
          <w:rFonts w:ascii="Arial" w:hAnsi="Arial" w:cs="Arial"/>
        </w:rPr>
        <w:fldChar w:fldCharType="separate"/>
      </w:r>
      <w:r w:rsidR="00A936CD">
        <w:rPr>
          <w:rFonts w:ascii="Arial" w:hAnsi="Arial" w:cs="Arial"/>
        </w:rPr>
        <w:t>6.3.1</w:t>
      </w:r>
      <w:r w:rsidR="00AF7894">
        <w:rPr>
          <w:rFonts w:ascii="Arial" w:hAnsi="Arial" w:cs="Arial"/>
        </w:rPr>
        <w:fldChar w:fldCharType="end"/>
      </w:r>
      <w:r>
        <w:rPr>
          <w:rFonts w:ascii="Arial" w:hAnsi="Arial" w:cs="Arial"/>
        </w:rPr>
        <w:t xml:space="preserve">) and Capital (section </w:t>
      </w:r>
      <w:r w:rsidR="00AF7894">
        <w:rPr>
          <w:rFonts w:ascii="Arial" w:hAnsi="Arial" w:cs="Arial"/>
        </w:rPr>
        <w:fldChar w:fldCharType="begin"/>
      </w:r>
      <w:r w:rsidR="00AF7894">
        <w:rPr>
          <w:rFonts w:ascii="Arial" w:hAnsi="Arial" w:cs="Arial"/>
        </w:rPr>
        <w:instrText xml:space="preserve"> REF _Ref30433395 \r \h </w:instrText>
      </w:r>
      <w:r w:rsidR="00AF7894">
        <w:rPr>
          <w:rFonts w:ascii="Arial" w:hAnsi="Arial" w:cs="Arial"/>
        </w:rPr>
      </w:r>
      <w:r w:rsidR="00AF7894">
        <w:rPr>
          <w:rFonts w:ascii="Arial" w:hAnsi="Arial" w:cs="Arial"/>
        </w:rPr>
        <w:fldChar w:fldCharType="separate"/>
      </w:r>
      <w:r w:rsidR="00A936CD">
        <w:rPr>
          <w:rFonts w:ascii="Arial" w:hAnsi="Arial" w:cs="Arial"/>
        </w:rPr>
        <w:t>0</w:t>
      </w:r>
      <w:r w:rsidR="00AF7894">
        <w:rPr>
          <w:rFonts w:ascii="Arial" w:hAnsi="Arial" w:cs="Arial"/>
        </w:rPr>
        <w:fldChar w:fldCharType="end"/>
      </w:r>
      <w:r>
        <w:rPr>
          <w:rFonts w:ascii="Arial" w:hAnsi="Arial" w:cs="Arial"/>
        </w:rPr>
        <w:t>).</w:t>
      </w:r>
    </w:p>
    <w:p w14:paraId="0FB91797" w14:textId="77777777" w:rsidR="005E30EF" w:rsidRPr="001B17AE" w:rsidRDefault="005E30EF" w:rsidP="005E0D57">
      <w:pPr>
        <w:pStyle w:val="ListParagraph"/>
        <w:numPr>
          <w:ilvl w:val="2"/>
          <w:numId w:val="1"/>
        </w:numPr>
        <w:rPr>
          <w:rFonts w:ascii="Arial" w:hAnsi="Arial" w:cs="Arial"/>
          <w:b/>
          <w:color w:val="000000" w:themeColor="text1"/>
        </w:rPr>
      </w:pPr>
      <w:bookmarkStart w:id="309" w:name="_Ref30433388"/>
      <w:r w:rsidRPr="001B17AE">
        <w:rPr>
          <w:rFonts w:ascii="Arial" w:hAnsi="Arial" w:cs="Arial"/>
          <w:b/>
          <w:color w:val="000000" w:themeColor="text1"/>
        </w:rPr>
        <w:t>Revenue</w:t>
      </w:r>
      <w:bookmarkEnd w:id="309"/>
    </w:p>
    <w:p w14:paraId="4ACAC210" w14:textId="77777777" w:rsidR="005E30EF" w:rsidRPr="001B17AE" w:rsidRDefault="005E30EF" w:rsidP="00B72F95">
      <w:pPr>
        <w:rPr>
          <w:rFonts w:ascii="Arial" w:hAnsi="Arial" w:cs="Arial"/>
          <w:b/>
          <w:color w:val="000000" w:themeColor="text1"/>
        </w:rPr>
      </w:pPr>
      <w:r w:rsidRPr="001B17AE">
        <w:rPr>
          <w:rFonts w:ascii="Arial" w:hAnsi="Arial" w:cs="Arial"/>
          <w:b/>
          <w:color w:val="000000" w:themeColor="text1"/>
        </w:rPr>
        <w:t>Overview</w:t>
      </w:r>
    </w:p>
    <w:p w14:paraId="2E8A4A8F" w14:textId="1311FB1E" w:rsidR="00AF7894" w:rsidRDefault="00AF7894" w:rsidP="00AF7894">
      <w:pPr>
        <w:pStyle w:val="Caption"/>
      </w:pPr>
      <w:r>
        <w:t xml:space="preserve">Figure </w:t>
      </w:r>
      <w:r w:rsidR="00320059">
        <w:fldChar w:fldCharType="begin"/>
      </w:r>
      <w:r w:rsidR="00320059">
        <w:instrText xml:space="preserve"> SEQ Figure \* ARABIC </w:instrText>
      </w:r>
      <w:r w:rsidR="00320059">
        <w:fldChar w:fldCharType="separate"/>
      </w:r>
      <w:r w:rsidR="00A936CD">
        <w:rPr>
          <w:noProof/>
        </w:rPr>
        <w:t>14</w:t>
      </w:r>
      <w:r w:rsidR="00320059">
        <w:fldChar w:fldCharType="end"/>
      </w:r>
      <w:r>
        <w:t xml:space="preserve">: </w:t>
      </w:r>
      <w:r w:rsidR="00267569">
        <w:rPr>
          <w:b w:val="0"/>
          <w:bCs w:val="0"/>
        </w:rPr>
        <w:t>Finance Case</w:t>
      </w:r>
      <w:r w:rsidRPr="00BF2ACE">
        <w:rPr>
          <w:b w:val="0"/>
          <w:bCs w:val="0"/>
        </w:rPr>
        <w:t xml:space="preserve"> overview</w:t>
      </w:r>
    </w:p>
    <w:p w14:paraId="359E2ABE" w14:textId="77777777" w:rsidR="005A7607" w:rsidRDefault="005A7607" w:rsidP="00AF7894">
      <w:pPr>
        <w:keepNext/>
      </w:pPr>
    </w:p>
    <w:p w14:paraId="3C7588CE" w14:textId="04BF9D0B" w:rsidR="00AF7894" w:rsidRPr="005A7607" w:rsidRDefault="005A7607" w:rsidP="00AF7894">
      <w:pPr>
        <w:keepNext/>
        <w:rPr>
          <w:rFonts w:ascii="Arial" w:hAnsi="Arial" w:cs="Arial"/>
        </w:rPr>
      </w:pPr>
      <w:r w:rsidRPr="005A7607">
        <w:rPr>
          <w:rFonts w:ascii="Arial" w:hAnsi="Arial" w:cs="Arial"/>
        </w:rPr>
        <w:t>[Redacted]</w:t>
      </w:r>
    </w:p>
    <w:p w14:paraId="0D287159" w14:textId="77777777" w:rsidR="00A14AB7" w:rsidRDefault="00A14AB7" w:rsidP="00B72F95">
      <w:pPr>
        <w:rPr>
          <w:noProof/>
        </w:rPr>
      </w:pPr>
    </w:p>
    <w:p w14:paraId="59FAE217" w14:textId="09683747" w:rsidR="000D7ECF" w:rsidRDefault="000D7ECF" w:rsidP="00B72F95">
      <w:pPr>
        <w:rPr>
          <w:rFonts w:ascii="Arial" w:hAnsi="Arial" w:cs="Arial"/>
          <w:b/>
        </w:rPr>
      </w:pPr>
    </w:p>
    <w:p w14:paraId="428AF857" w14:textId="49298C5F" w:rsidR="005E30EF" w:rsidRPr="00530192" w:rsidRDefault="005E30EF" w:rsidP="00B72F95">
      <w:pPr>
        <w:rPr>
          <w:rFonts w:ascii="Arial" w:hAnsi="Arial" w:cs="Arial"/>
          <w:b/>
        </w:rPr>
      </w:pPr>
      <w:r w:rsidRPr="00530192">
        <w:rPr>
          <w:rFonts w:ascii="Arial" w:hAnsi="Arial" w:cs="Arial"/>
          <w:b/>
        </w:rPr>
        <w:t>FY21 to FY24</w:t>
      </w:r>
    </w:p>
    <w:p w14:paraId="6866094E" w14:textId="03CFF871" w:rsidR="005E30EF" w:rsidRPr="00237844" w:rsidRDefault="005E30EF" w:rsidP="00190084">
      <w:pPr>
        <w:pStyle w:val="ListParagraph"/>
        <w:numPr>
          <w:ilvl w:val="0"/>
          <w:numId w:val="121"/>
        </w:numPr>
        <w:spacing w:after="160" w:line="259" w:lineRule="auto"/>
        <w:rPr>
          <w:rFonts w:ascii="Arial" w:hAnsi="Arial" w:cs="Arial"/>
        </w:rPr>
      </w:pPr>
      <w:r w:rsidRPr="00237844">
        <w:rPr>
          <w:rFonts w:ascii="Arial" w:hAnsi="Arial" w:cs="Arial"/>
        </w:rPr>
        <w:t xml:space="preserve">On an ‘adjusted surplus’ basis (the metric on which NHSI performance manage the </w:t>
      </w:r>
      <w:r w:rsidR="00AF7894">
        <w:rPr>
          <w:rFonts w:ascii="Arial" w:hAnsi="Arial" w:cs="Arial"/>
        </w:rPr>
        <w:t>trust</w:t>
      </w:r>
      <w:r w:rsidRPr="00237844">
        <w:rPr>
          <w:rFonts w:ascii="Arial" w:hAnsi="Arial" w:cs="Arial"/>
        </w:rPr>
        <w:t xml:space="preserve">), the </w:t>
      </w:r>
      <w:r w:rsidR="00AF7894">
        <w:rPr>
          <w:rFonts w:ascii="Arial" w:hAnsi="Arial" w:cs="Arial"/>
        </w:rPr>
        <w:t>trust</w:t>
      </w:r>
      <w:r w:rsidRPr="00237844">
        <w:rPr>
          <w:rFonts w:ascii="Arial" w:hAnsi="Arial" w:cs="Arial"/>
        </w:rPr>
        <w:t xml:space="preserve"> is forecast to breakeven during this period, in line with the targets set centrally for the </w:t>
      </w:r>
      <w:r w:rsidR="00AF7894">
        <w:rPr>
          <w:rFonts w:ascii="Arial" w:hAnsi="Arial" w:cs="Arial"/>
        </w:rPr>
        <w:t>trust</w:t>
      </w:r>
      <w:r w:rsidRPr="00237844">
        <w:rPr>
          <w:rFonts w:ascii="Arial" w:hAnsi="Arial" w:cs="Arial"/>
        </w:rPr>
        <w:t xml:space="preserve"> by NHSI/E</w:t>
      </w:r>
      <w:r w:rsidR="0025490F">
        <w:rPr>
          <w:rFonts w:ascii="Arial" w:hAnsi="Arial" w:cs="Arial"/>
        </w:rPr>
        <w:t>.</w:t>
      </w:r>
    </w:p>
    <w:p w14:paraId="2D7FDE29" w14:textId="292677D2" w:rsidR="005E30EF" w:rsidRPr="00237844" w:rsidRDefault="005E30EF" w:rsidP="00190084">
      <w:pPr>
        <w:pStyle w:val="ListParagraph"/>
        <w:numPr>
          <w:ilvl w:val="0"/>
          <w:numId w:val="121"/>
        </w:numPr>
        <w:spacing w:after="160" w:line="259" w:lineRule="auto"/>
        <w:rPr>
          <w:rFonts w:ascii="Arial" w:hAnsi="Arial" w:cs="Arial"/>
        </w:rPr>
      </w:pPr>
      <w:r w:rsidRPr="00237844">
        <w:rPr>
          <w:rFonts w:ascii="Arial" w:hAnsi="Arial" w:cs="Arial"/>
        </w:rPr>
        <w:t>The cash balance is maintained over this period, as construction costs are funded by</w:t>
      </w:r>
      <w:r w:rsidR="005A7607">
        <w:rPr>
          <w:rFonts w:ascii="Arial" w:hAnsi="Arial" w:cs="Arial"/>
        </w:rPr>
        <w:t xml:space="preserve"> [redacted]</w:t>
      </w:r>
      <w:r w:rsidRPr="00237844">
        <w:rPr>
          <w:rFonts w:ascii="Arial" w:hAnsi="Arial" w:cs="Arial"/>
        </w:rPr>
        <w:t xml:space="preserve">, but the </w:t>
      </w:r>
      <w:r>
        <w:rPr>
          <w:rFonts w:ascii="Arial" w:hAnsi="Arial" w:cs="Arial"/>
        </w:rPr>
        <w:t>revenue</w:t>
      </w:r>
      <w:r w:rsidRPr="00237844">
        <w:rPr>
          <w:rFonts w:ascii="Arial" w:hAnsi="Arial" w:cs="Arial"/>
        </w:rPr>
        <w:t xml:space="preserve"> position limits any additional cash generation</w:t>
      </w:r>
      <w:r w:rsidR="0025490F">
        <w:rPr>
          <w:rFonts w:ascii="Arial" w:hAnsi="Arial" w:cs="Arial"/>
        </w:rPr>
        <w:t>.</w:t>
      </w:r>
    </w:p>
    <w:p w14:paraId="1D7AA928" w14:textId="77777777" w:rsidR="005E30EF" w:rsidRPr="00237844" w:rsidRDefault="005E30EF" w:rsidP="00190084">
      <w:pPr>
        <w:pStyle w:val="ListParagraph"/>
        <w:numPr>
          <w:ilvl w:val="0"/>
          <w:numId w:val="121"/>
        </w:numPr>
        <w:spacing w:after="160" w:line="259" w:lineRule="auto"/>
        <w:rPr>
          <w:rFonts w:ascii="Arial" w:hAnsi="Arial" w:cs="Arial"/>
        </w:rPr>
      </w:pPr>
      <w:r w:rsidRPr="00237844">
        <w:rPr>
          <w:rFonts w:ascii="Arial" w:hAnsi="Arial" w:cs="Arial"/>
        </w:rPr>
        <w:t>Additional margin generated through growth and CIPs are offset by 1) loss of central funding (MFF/PSF/FRF) and 2) increasing PDC due to capitalised construction costs starting in FY22.</w:t>
      </w:r>
    </w:p>
    <w:p w14:paraId="05B82A58" w14:textId="378FEE95" w:rsidR="005E30EF" w:rsidRPr="00530192" w:rsidRDefault="00E13043" w:rsidP="00B72F95">
      <w:pPr>
        <w:rPr>
          <w:rFonts w:ascii="Arial" w:hAnsi="Arial" w:cs="Arial"/>
          <w:b/>
        </w:rPr>
      </w:pPr>
      <w:r>
        <w:rPr>
          <w:rFonts w:ascii="Arial" w:hAnsi="Arial" w:cs="Arial"/>
          <w:b/>
        </w:rPr>
        <w:t>FY25 to FY29</w:t>
      </w:r>
    </w:p>
    <w:p w14:paraId="053D1809" w14:textId="4EBA8338" w:rsidR="005E30EF" w:rsidRPr="00237844" w:rsidRDefault="005E30EF" w:rsidP="00190084">
      <w:pPr>
        <w:pStyle w:val="ListParagraph"/>
        <w:numPr>
          <w:ilvl w:val="0"/>
          <w:numId w:val="122"/>
        </w:numPr>
        <w:spacing w:after="160" w:line="259" w:lineRule="auto"/>
        <w:rPr>
          <w:rFonts w:ascii="Arial" w:hAnsi="Arial" w:cs="Arial"/>
        </w:rPr>
      </w:pPr>
      <w:r w:rsidRPr="00237844">
        <w:rPr>
          <w:rFonts w:ascii="Arial" w:hAnsi="Arial" w:cs="Arial"/>
        </w:rPr>
        <w:t>Increasing PDC over the construction period continue</w:t>
      </w:r>
      <w:r w:rsidR="00DA6AE4">
        <w:rPr>
          <w:rFonts w:ascii="Arial" w:hAnsi="Arial" w:cs="Arial"/>
        </w:rPr>
        <w:t>s</w:t>
      </w:r>
      <w:r w:rsidRPr="00237844">
        <w:rPr>
          <w:rFonts w:ascii="Arial" w:hAnsi="Arial" w:cs="Arial"/>
        </w:rPr>
        <w:t xml:space="preserve"> to offset revenue gains</w:t>
      </w:r>
      <w:r w:rsidR="0025490F">
        <w:rPr>
          <w:rFonts w:ascii="Arial" w:hAnsi="Arial" w:cs="Arial"/>
        </w:rPr>
        <w:t>.</w:t>
      </w:r>
    </w:p>
    <w:p w14:paraId="13CFCF3D" w14:textId="070ADA5A" w:rsidR="005E30EF" w:rsidRPr="00237844" w:rsidRDefault="005E30EF" w:rsidP="00190084">
      <w:pPr>
        <w:pStyle w:val="ListParagraph"/>
        <w:numPr>
          <w:ilvl w:val="0"/>
          <w:numId w:val="122"/>
        </w:numPr>
        <w:spacing w:after="160" w:line="259" w:lineRule="auto"/>
        <w:rPr>
          <w:rFonts w:ascii="Arial" w:hAnsi="Arial" w:cs="Arial"/>
        </w:rPr>
      </w:pPr>
      <w:r w:rsidRPr="00237844">
        <w:rPr>
          <w:rFonts w:ascii="Arial" w:hAnsi="Arial" w:cs="Arial"/>
        </w:rPr>
        <w:t xml:space="preserve">A bridging loan in FY25 is used to provide cash for construction up to vacant possession on City Road in FY27 – at which point profit on the sale is recognised and </w:t>
      </w:r>
      <w:r w:rsidR="005A7607">
        <w:rPr>
          <w:rFonts w:ascii="Arial" w:hAnsi="Arial" w:cs="Arial"/>
        </w:rPr>
        <w:t>[redacted]</w:t>
      </w:r>
    </w:p>
    <w:p w14:paraId="264E12F4" w14:textId="2A4D8F8D" w:rsidR="005E30EF" w:rsidRPr="00237844" w:rsidRDefault="005E30EF" w:rsidP="00190084">
      <w:pPr>
        <w:pStyle w:val="ListParagraph"/>
        <w:numPr>
          <w:ilvl w:val="0"/>
          <w:numId w:val="122"/>
        </w:numPr>
        <w:spacing w:after="160" w:line="259" w:lineRule="auto"/>
        <w:rPr>
          <w:rFonts w:ascii="Arial" w:hAnsi="Arial" w:cs="Arial"/>
        </w:rPr>
      </w:pPr>
      <w:r w:rsidRPr="00237844">
        <w:rPr>
          <w:rFonts w:ascii="Arial" w:hAnsi="Arial" w:cs="Arial"/>
        </w:rPr>
        <w:t>Transitional costs are incurred in FY26 to FY28, with the new facility assumed as operational (and depreciation beginning) in FY27</w:t>
      </w:r>
      <w:r w:rsidR="0025490F">
        <w:rPr>
          <w:rFonts w:ascii="Arial" w:hAnsi="Arial" w:cs="Arial"/>
        </w:rPr>
        <w:t>.</w:t>
      </w:r>
      <w:r w:rsidR="00A35868">
        <w:rPr>
          <w:rFonts w:ascii="Arial" w:hAnsi="Arial" w:cs="Arial"/>
        </w:rPr>
        <w:t xml:space="preserve">  These transitional costs, along with the impact of drawing down a bridging loan, lead to risk ratings of ‘3’ and ‘4’ duing this period.</w:t>
      </w:r>
    </w:p>
    <w:p w14:paraId="225B08DB" w14:textId="51B25113" w:rsidR="00A35868" w:rsidRPr="00A35868" w:rsidRDefault="00E13043" w:rsidP="00A35868">
      <w:pPr>
        <w:pStyle w:val="ListParagraph"/>
        <w:numPr>
          <w:ilvl w:val="0"/>
          <w:numId w:val="122"/>
        </w:numPr>
        <w:spacing w:after="160" w:line="259" w:lineRule="auto"/>
        <w:rPr>
          <w:rFonts w:ascii="Arial" w:hAnsi="Arial" w:cs="Arial"/>
        </w:rPr>
      </w:pPr>
      <w:r>
        <w:rPr>
          <w:rFonts w:ascii="Arial" w:hAnsi="Arial" w:cs="Arial"/>
        </w:rPr>
        <w:t>FY28 to FY29</w:t>
      </w:r>
      <w:r w:rsidR="005E30EF" w:rsidRPr="00237844">
        <w:rPr>
          <w:rFonts w:ascii="Arial" w:hAnsi="Arial" w:cs="Arial"/>
        </w:rPr>
        <w:t xml:space="preserve"> shows </w:t>
      </w:r>
      <w:r>
        <w:rPr>
          <w:rFonts w:ascii="Arial" w:hAnsi="Arial" w:cs="Arial"/>
        </w:rPr>
        <w:t>the start of ongoing</w:t>
      </w:r>
      <w:r w:rsidR="005E30EF" w:rsidRPr="00237844">
        <w:rPr>
          <w:rFonts w:ascii="Arial" w:hAnsi="Arial" w:cs="Arial"/>
        </w:rPr>
        <w:t xml:space="preserve"> improvement in cash and surplus: growth and CIP continue to generate margin but this is no longer being offset by additional costs related to the new facility.</w:t>
      </w:r>
      <w:r w:rsidR="00A35868">
        <w:rPr>
          <w:rFonts w:ascii="Arial" w:hAnsi="Arial" w:cs="Arial"/>
        </w:rPr>
        <w:t xml:space="preserve">  All the risk ratings have improved to a ‘1’ or ‘2’ by FY29.</w:t>
      </w:r>
    </w:p>
    <w:p w14:paraId="167F4E40" w14:textId="1C17847D" w:rsidR="00AF7894" w:rsidRDefault="00AF7894" w:rsidP="00AF7894">
      <w:pPr>
        <w:pStyle w:val="Caption"/>
      </w:pPr>
      <w:bookmarkStart w:id="310" w:name="_Ref30433502"/>
      <w:r>
        <w:t xml:space="preserve">Figure </w:t>
      </w:r>
      <w:r w:rsidR="00320059">
        <w:fldChar w:fldCharType="begin"/>
      </w:r>
      <w:r w:rsidR="00320059">
        <w:instrText xml:space="preserve"> SEQ Figure \* ARABIC </w:instrText>
      </w:r>
      <w:r w:rsidR="00320059">
        <w:fldChar w:fldCharType="separate"/>
      </w:r>
      <w:r w:rsidR="00A936CD">
        <w:rPr>
          <w:noProof/>
        </w:rPr>
        <w:t>15</w:t>
      </w:r>
      <w:r w:rsidR="00320059">
        <w:fldChar w:fldCharType="end"/>
      </w:r>
      <w:bookmarkEnd w:id="310"/>
      <w:r>
        <w:t xml:space="preserve">: </w:t>
      </w:r>
      <w:r w:rsidRPr="000F533E">
        <w:rPr>
          <w:b w:val="0"/>
          <w:bCs w:val="0"/>
        </w:rPr>
        <w:t>Bridge of ad</w:t>
      </w:r>
      <w:r w:rsidR="00E13043">
        <w:rPr>
          <w:b w:val="0"/>
          <w:bCs w:val="0"/>
        </w:rPr>
        <w:t>justed surplus from FY20 to FY29</w:t>
      </w:r>
    </w:p>
    <w:p w14:paraId="76DEB886" w14:textId="46676AF0" w:rsidR="005E30EF" w:rsidRDefault="005E30EF" w:rsidP="00B72F95">
      <w:pPr>
        <w:rPr>
          <w:rFonts w:ascii="Arial" w:hAnsi="Arial" w:cs="Arial"/>
          <w:b/>
        </w:rPr>
      </w:pPr>
    </w:p>
    <w:p w14:paraId="629BF390" w14:textId="27C42C36" w:rsidR="005A7607" w:rsidRPr="005A7607" w:rsidRDefault="005A7607" w:rsidP="00B72F95">
      <w:pPr>
        <w:rPr>
          <w:rFonts w:ascii="Arial" w:hAnsi="Arial" w:cs="Arial"/>
        </w:rPr>
      </w:pPr>
      <w:r w:rsidRPr="005A7607">
        <w:rPr>
          <w:rFonts w:ascii="Arial" w:hAnsi="Arial" w:cs="Arial"/>
        </w:rPr>
        <w:t>[Redacted]</w:t>
      </w:r>
    </w:p>
    <w:p w14:paraId="5959F50C" w14:textId="47F40377" w:rsidR="005E30EF" w:rsidRDefault="00AF7894" w:rsidP="00B72F95">
      <w:pPr>
        <w:rPr>
          <w:rFonts w:ascii="Arial" w:hAnsi="Arial" w:cs="Arial"/>
        </w:rPr>
      </w:pPr>
      <w:r w:rsidRPr="00AF7894">
        <w:rPr>
          <w:rFonts w:ascii="Arial" w:hAnsi="Arial" w:cs="Arial"/>
        </w:rPr>
        <w:lastRenderedPageBreak/>
        <w:fldChar w:fldCharType="begin"/>
      </w:r>
      <w:r w:rsidRPr="00AF7894">
        <w:rPr>
          <w:rFonts w:ascii="Arial" w:hAnsi="Arial" w:cs="Arial"/>
        </w:rPr>
        <w:instrText xml:space="preserve"> REF _Ref30433502 \h </w:instrText>
      </w:r>
      <w:r>
        <w:rPr>
          <w:rFonts w:ascii="Arial" w:hAnsi="Arial" w:cs="Arial"/>
        </w:rPr>
        <w:instrText xml:space="preserve"> \* MERGEFORMAT </w:instrText>
      </w:r>
      <w:r w:rsidRPr="00AF7894">
        <w:rPr>
          <w:rFonts w:ascii="Arial" w:hAnsi="Arial" w:cs="Arial"/>
        </w:rPr>
      </w:r>
      <w:r w:rsidRPr="00AF7894">
        <w:rPr>
          <w:rFonts w:ascii="Arial" w:hAnsi="Arial" w:cs="Arial"/>
        </w:rPr>
        <w:fldChar w:fldCharType="separate"/>
      </w:r>
      <w:r w:rsidR="00A936CD" w:rsidRPr="00A936CD">
        <w:rPr>
          <w:rFonts w:ascii="Arial" w:hAnsi="Arial" w:cs="Arial"/>
        </w:rPr>
        <w:t xml:space="preserve">Figure </w:t>
      </w:r>
      <w:r w:rsidR="00A936CD" w:rsidRPr="00A936CD">
        <w:rPr>
          <w:rFonts w:ascii="Arial" w:hAnsi="Arial" w:cs="Arial"/>
          <w:noProof/>
        </w:rPr>
        <w:t>15</w:t>
      </w:r>
      <w:r w:rsidRPr="00AF7894">
        <w:rPr>
          <w:rFonts w:ascii="Arial" w:hAnsi="Arial" w:cs="Arial"/>
        </w:rPr>
        <w:fldChar w:fldCharType="end"/>
      </w:r>
      <w:r w:rsidRPr="00AF7894">
        <w:rPr>
          <w:rFonts w:ascii="Arial" w:hAnsi="Arial" w:cs="Arial"/>
        </w:rPr>
        <w:t xml:space="preserve"> </w:t>
      </w:r>
      <w:r w:rsidR="005E30EF" w:rsidRPr="00AF7894">
        <w:rPr>
          <w:rFonts w:ascii="Arial" w:hAnsi="Arial" w:cs="Arial"/>
        </w:rPr>
        <w:t>above shows the incremental changes between the forecast adjusted surplus in</w:t>
      </w:r>
      <w:r w:rsidR="005E30EF" w:rsidRPr="00530192">
        <w:rPr>
          <w:rFonts w:ascii="Arial" w:hAnsi="Arial" w:cs="Arial"/>
        </w:rPr>
        <w:t xml:space="preserve"> FY20 to the </w:t>
      </w:r>
      <w:r w:rsidR="005E30EF">
        <w:rPr>
          <w:rFonts w:ascii="Arial" w:hAnsi="Arial" w:cs="Arial"/>
        </w:rPr>
        <w:t xml:space="preserve">adjusted </w:t>
      </w:r>
      <w:r w:rsidR="0020592A">
        <w:rPr>
          <w:rFonts w:ascii="Arial" w:hAnsi="Arial" w:cs="Arial"/>
        </w:rPr>
        <w:t>surplus in FY29</w:t>
      </w:r>
      <w:r w:rsidR="005E30EF" w:rsidRPr="00530192">
        <w:rPr>
          <w:rFonts w:ascii="Arial" w:hAnsi="Arial" w:cs="Arial"/>
        </w:rPr>
        <w:t>.</w:t>
      </w:r>
      <w:r w:rsidR="005E30EF">
        <w:rPr>
          <w:rFonts w:ascii="Arial" w:hAnsi="Arial" w:cs="Arial"/>
        </w:rPr>
        <w:t xml:space="preserve">  </w:t>
      </w:r>
    </w:p>
    <w:p w14:paraId="6B1ABDAD" w14:textId="00B23F02" w:rsidR="005E30EF" w:rsidRPr="0040448F" w:rsidRDefault="005E30EF" w:rsidP="00190084">
      <w:pPr>
        <w:pStyle w:val="ListParagraph"/>
        <w:numPr>
          <w:ilvl w:val="0"/>
          <w:numId w:val="120"/>
        </w:numPr>
        <w:rPr>
          <w:rFonts w:ascii="Arial" w:hAnsi="Arial" w:cs="Arial"/>
        </w:rPr>
      </w:pPr>
      <w:r w:rsidRPr="0040448F">
        <w:rPr>
          <w:rFonts w:ascii="Arial" w:hAnsi="Arial" w:cs="Arial"/>
        </w:rPr>
        <w:t>‘Business</w:t>
      </w:r>
      <w:r w:rsidR="0093193F">
        <w:rPr>
          <w:rFonts w:ascii="Arial" w:hAnsi="Arial" w:cs="Arial"/>
        </w:rPr>
        <w:t xml:space="preserve"> as usual’ cost pressures of £</w:t>
      </w:r>
      <w:r w:rsidR="005A7607">
        <w:rPr>
          <w:rFonts w:ascii="Arial" w:hAnsi="Arial" w:cs="Arial"/>
        </w:rPr>
        <w:t>XXXm</w:t>
      </w:r>
      <w:r w:rsidRPr="0040448F">
        <w:rPr>
          <w:rFonts w:ascii="Arial" w:hAnsi="Arial" w:cs="Arial"/>
        </w:rPr>
        <w:t xml:space="preserve"> over the period include national changes to tariff and assumed cost inflation as well as reserves for cost pressures and risk</w:t>
      </w:r>
      <w:r w:rsidR="00AF7894">
        <w:rPr>
          <w:rFonts w:ascii="Arial" w:hAnsi="Arial" w:cs="Arial"/>
        </w:rPr>
        <w:t>.</w:t>
      </w:r>
    </w:p>
    <w:p w14:paraId="7BEB7A66" w14:textId="5127DDA8" w:rsidR="005E30EF" w:rsidRPr="0040448F" w:rsidRDefault="005E30EF" w:rsidP="00190084">
      <w:pPr>
        <w:pStyle w:val="ListParagraph"/>
        <w:numPr>
          <w:ilvl w:val="0"/>
          <w:numId w:val="120"/>
        </w:numPr>
        <w:spacing w:after="160" w:line="259" w:lineRule="auto"/>
        <w:rPr>
          <w:rFonts w:ascii="Arial" w:hAnsi="Arial" w:cs="Arial"/>
        </w:rPr>
      </w:pPr>
      <w:r w:rsidRPr="0040448F">
        <w:rPr>
          <w:rFonts w:ascii="Arial" w:hAnsi="Arial" w:cs="Arial"/>
        </w:rPr>
        <w:t>On top of this are the incremental costs of t</w:t>
      </w:r>
      <w:r w:rsidR="009F6F63">
        <w:rPr>
          <w:rFonts w:ascii="Arial" w:hAnsi="Arial" w:cs="Arial"/>
        </w:rPr>
        <w:t>he new facility, totalling £</w:t>
      </w:r>
      <w:r w:rsidR="005A7607">
        <w:rPr>
          <w:rFonts w:ascii="Arial" w:hAnsi="Arial" w:cs="Arial"/>
        </w:rPr>
        <w:t>XXX</w:t>
      </w:r>
      <w:r w:rsidRPr="0040448F">
        <w:rPr>
          <w:rFonts w:ascii="Arial" w:hAnsi="Arial" w:cs="Arial"/>
        </w:rPr>
        <w:t>m</w:t>
      </w:r>
      <w:r w:rsidR="00AF7894">
        <w:rPr>
          <w:rFonts w:ascii="Arial" w:hAnsi="Arial" w:cs="Arial"/>
        </w:rPr>
        <w:t>.</w:t>
      </w:r>
    </w:p>
    <w:p w14:paraId="13C39245" w14:textId="12FB73A4" w:rsidR="005E30EF" w:rsidRDefault="005E30EF" w:rsidP="00190084">
      <w:pPr>
        <w:pStyle w:val="ListParagraph"/>
        <w:numPr>
          <w:ilvl w:val="0"/>
          <w:numId w:val="120"/>
        </w:numPr>
        <w:spacing w:after="160" w:line="259" w:lineRule="auto"/>
        <w:rPr>
          <w:rFonts w:ascii="Arial" w:hAnsi="Arial" w:cs="Arial"/>
        </w:rPr>
      </w:pPr>
      <w:r w:rsidRPr="0040448F">
        <w:rPr>
          <w:rFonts w:ascii="Arial" w:hAnsi="Arial" w:cs="Arial"/>
        </w:rPr>
        <w:t xml:space="preserve">These pressures need to be covered </w:t>
      </w:r>
      <w:r w:rsidR="00E13043">
        <w:rPr>
          <w:rFonts w:ascii="Arial" w:hAnsi="Arial" w:cs="Arial"/>
        </w:rPr>
        <w:t xml:space="preserve">through </w:t>
      </w:r>
      <w:r w:rsidRPr="0040448F">
        <w:rPr>
          <w:rFonts w:ascii="Arial" w:hAnsi="Arial" w:cs="Arial"/>
        </w:rPr>
        <w:t xml:space="preserve">CIPs and </w:t>
      </w:r>
      <w:r>
        <w:rPr>
          <w:rFonts w:ascii="Arial" w:hAnsi="Arial" w:cs="Arial"/>
        </w:rPr>
        <w:t xml:space="preserve">organisational </w:t>
      </w:r>
      <w:r w:rsidRPr="0040448F">
        <w:rPr>
          <w:rFonts w:ascii="Arial" w:hAnsi="Arial" w:cs="Arial"/>
        </w:rPr>
        <w:t xml:space="preserve">growth.  </w:t>
      </w:r>
      <w:r w:rsidRPr="00237844">
        <w:rPr>
          <w:rFonts w:ascii="Arial" w:hAnsi="Arial" w:cs="Arial"/>
        </w:rPr>
        <w:t>Although significant growth is assumed, the largest contributor is through CIP/efficiency (54% of the offsetting margin gain)</w:t>
      </w:r>
      <w:r w:rsidR="00AF7894">
        <w:rPr>
          <w:rFonts w:ascii="Arial" w:hAnsi="Arial" w:cs="Arial"/>
        </w:rPr>
        <w:t>.</w:t>
      </w:r>
    </w:p>
    <w:p w14:paraId="50CF143E" w14:textId="0F344BF3" w:rsidR="005E30EF" w:rsidRPr="00202667" w:rsidRDefault="005E30EF" w:rsidP="00B72F95">
      <w:pPr>
        <w:spacing w:after="160" w:line="259" w:lineRule="auto"/>
        <w:rPr>
          <w:rFonts w:ascii="Arial" w:hAnsi="Arial" w:cs="Arial"/>
        </w:rPr>
      </w:pPr>
      <w:r>
        <w:rPr>
          <w:rFonts w:ascii="Arial" w:hAnsi="Arial" w:cs="Arial"/>
        </w:rPr>
        <w:t>The above bridge is presented on a year on year basis in Ap</w:t>
      </w:r>
      <w:r w:rsidR="003364A1">
        <w:rPr>
          <w:rFonts w:ascii="Arial" w:hAnsi="Arial" w:cs="Arial"/>
        </w:rPr>
        <w:t xml:space="preserve">pendix </w:t>
      </w:r>
      <w:r w:rsidR="00064AA9">
        <w:rPr>
          <w:rFonts w:ascii="Arial" w:hAnsi="Arial" w:cs="Arial"/>
        </w:rPr>
        <w:t>6A.</w:t>
      </w:r>
    </w:p>
    <w:p w14:paraId="33486AB0" w14:textId="77777777" w:rsidR="005E30EF" w:rsidRDefault="005E30EF" w:rsidP="005E30EF">
      <w:pPr>
        <w:jc w:val="both"/>
        <w:rPr>
          <w:rFonts w:ascii="Arial" w:hAnsi="Arial" w:cs="Arial"/>
        </w:rPr>
      </w:pPr>
      <w:r>
        <w:rPr>
          <w:rFonts w:ascii="Arial" w:hAnsi="Arial" w:cs="Arial"/>
        </w:rPr>
        <w:t>The underpinning assumptions used in the LTFM are set out in the following section.</w:t>
      </w:r>
    </w:p>
    <w:p w14:paraId="74F416B0" w14:textId="77777777" w:rsidR="008F2797" w:rsidRDefault="008F2797">
      <w:pPr>
        <w:rPr>
          <w:rFonts w:ascii="Arial" w:hAnsi="Arial" w:cs="Arial"/>
          <w:b/>
        </w:rPr>
      </w:pPr>
      <w:r>
        <w:rPr>
          <w:rFonts w:ascii="Arial" w:hAnsi="Arial" w:cs="Arial"/>
          <w:b/>
        </w:rPr>
        <w:br w:type="page"/>
      </w:r>
    </w:p>
    <w:p w14:paraId="7C31A572" w14:textId="56256DDA" w:rsidR="005E30EF" w:rsidRPr="001B17AE" w:rsidRDefault="005E30EF" w:rsidP="005E30EF">
      <w:pPr>
        <w:rPr>
          <w:rFonts w:ascii="Arial" w:hAnsi="Arial" w:cs="Arial"/>
          <w:b/>
        </w:rPr>
      </w:pPr>
      <w:r w:rsidRPr="001B17AE">
        <w:rPr>
          <w:rFonts w:ascii="Arial" w:hAnsi="Arial" w:cs="Arial"/>
          <w:b/>
        </w:rPr>
        <w:lastRenderedPageBreak/>
        <w:t>Key revenue assumptions, evidence and risk</w:t>
      </w:r>
    </w:p>
    <w:tbl>
      <w:tblPr>
        <w:tblStyle w:val="PlainTable11"/>
        <w:tblW w:w="10401" w:type="dxa"/>
        <w:tblLook w:val="04A0" w:firstRow="1" w:lastRow="0" w:firstColumn="1" w:lastColumn="0" w:noHBand="0" w:noVBand="1"/>
      </w:tblPr>
      <w:tblGrid>
        <w:gridCol w:w="482"/>
        <w:gridCol w:w="1858"/>
        <w:gridCol w:w="2588"/>
        <w:gridCol w:w="2395"/>
        <w:gridCol w:w="3078"/>
      </w:tblGrid>
      <w:tr w:rsidR="0025490F" w:rsidRPr="0025490F" w14:paraId="117B60A7" w14:textId="77777777" w:rsidTr="008F27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2" w:type="dxa"/>
            <w:shd w:val="clear" w:color="auto" w:fill="4F81BD"/>
          </w:tcPr>
          <w:p w14:paraId="17A4F982" w14:textId="77777777" w:rsidR="005E30EF" w:rsidRPr="0025490F" w:rsidRDefault="005E30EF" w:rsidP="00BE31AE">
            <w:pPr>
              <w:rPr>
                <w:rFonts w:ascii="Arial" w:hAnsi="Arial" w:cs="Arial"/>
                <w:color w:val="FFFFFF" w:themeColor="background1"/>
              </w:rPr>
            </w:pPr>
          </w:p>
        </w:tc>
        <w:tc>
          <w:tcPr>
            <w:tcW w:w="1858" w:type="dxa"/>
            <w:shd w:val="clear" w:color="auto" w:fill="4F81BD"/>
          </w:tcPr>
          <w:p w14:paraId="2F04A3B4" w14:textId="77777777" w:rsidR="005E30EF" w:rsidRPr="0025490F" w:rsidRDefault="005E30EF" w:rsidP="00BE31A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5490F">
              <w:rPr>
                <w:rFonts w:ascii="Arial" w:hAnsi="Arial" w:cs="Arial"/>
                <w:color w:val="FFFFFF" w:themeColor="background1"/>
              </w:rPr>
              <w:t>Item</w:t>
            </w:r>
          </w:p>
        </w:tc>
        <w:tc>
          <w:tcPr>
            <w:tcW w:w="2588" w:type="dxa"/>
            <w:shd w:val="clear" w:color="auto" w:fill="4F81BD"/>
          </w:tcPr>
          <w:p w14:paraId="60090210" w14:textId="77777777" w:rsidR="005E30EF" w:rsidRPr="0025490F" w:rsidRDefault="005E30EF" w:rsidP="00BE31A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5490F">
              <w:rPr>
                <w:rFonts w:ascii="Arial" w:hAnsi="Arial" w:cs="Arial"/>
                <w:color w:val="FFFFFF" w:themeColor="background1"/>
              </w:rPr>
              <w:t>Key assumption</w:t>
            </w:r>
          </w:p>
        </w:tc>
        <w:tc>
          <w:tcPr>
            <w:tcW w:w="2395" w:type="dxa"/>
            <w:shd w:val="clear" w:color="auto" w:fill="4F81BD"/>
          </w:tcPr>
          <w:p w14:paraId="54A0F933" w14:textId="77777777" w:rsidR="005E30EF" w:rsidRPr="0025490F" w:rsidRDefault="005E30EF" w:rsidP="00BE31A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5490F">
              <w:rPr>
                <w:rFonts w:ascii="Arial" w:hAnsi="Arial" w:cs="Arial"/>
                <w:color w:val="FFFFFF" w:themeColor="background1"/>
              </w:rPr>
              <w:t>Supporting evidence</w:t>
            </w:r>
          </w:p>
        </w:tc>
        <w:tc>
          <w:tcPr>
            <w:tcW w:w="3078" w:type="dxa"/>
            <w:shd w:val="clear" w:color="auto" w:fill="4F81BD"/>
          </w:tcPr>
          <w:p w14:paraId="3E850E1E" w14:textId="77777777" w:rsidR="005E30EF" w:rsidRPr="0025490F" w:rsidRDefault="005E30EF" w:rsidP="00BE31A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5490F">
              <w:rPr>
                <w:rFonts w:ascii="Arial" w:hAnsi="Arial" w:cs="Arial"/>
                <w:color w:val="FFFFFF" w:themeColor="background1"/>
              </w:rPr>
              <w:t>Risk</w:t>
            </w:r>
          </w:p>
        </w:tc>
      </w:tr>
      <w:tr w:rsidR="005E30EF" w:rsidRPr="00BC1153" w14:paraId="10987596" w14:textId="77777777" w:rsidTr="008F2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dxa"/>
            <w:vMerge w:val="restart"/>
            <w:shd w:val="clear" w:color="auto" w:fill="DEEAF6"/>
            <w:textDirection w:val="btLr"/>
            <w:vAlign w:val="center"/>
          </w:tcPr>
          <w:p w14:paraId="4537B2A5" w14:textId="77777777" w:rsidR="005E30EF" w:rsidRPr="00BC1153" w:rsidRDefault="005E30EF" w:rsidP="00BE31AE">
            <w:pPr>
              <w:ind w:left="113" w:right="113"/>
              <w:jc w:val="center"/>
              <w:rPr>
                <w:rFonts w:ascii="Arial" w:hAnsi="Arial" w:cs="Arial"/>
              </w:rPr>
            </w:pPr>
            <w:r w:rsidRPr="00BC1153">
              <w:rPr>
                <w:rFonts w:ascii="Arial" w:hAnsi="Arial" w:cs="Arial"/>
              </w:rPr>
              <w:t>Tariff and inflation</w:t>
            </w:r>
          </w:p>
        </w:tc>
        <w:tc>
          <w:tcPr>
            <w:tcW w:w="1858" w:type="dxa"/>
          </w:tcPr>
          <w:p w14:paraId="04CD44D4" w14:textId="77777777" w:rsidR="005E30EF" w:rsidRPr="00BC1153" w:rsidRDefault="005E30EF" w:rsidP="00BE31A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Generic tariff and inflation (net inflation)</w:t>
            </w:r>
          </w:p>
        </w:tc>
        <w:tc>
          <w:tcPr>
            <w:tcW w:w="2588" w:type="dxa"/>
          </w:tcPr>
          <w:p w14:paraId="51D6272C" w14:textId="77777777" w:rsidR="005E30EF" w:rsidRPr="00BC1153" w:rsidRDefault="005E30EF" w:rsidP="00190084">
            <w:pPr>
              <w:numPr>
                <w:ilvl w:val="0"/>
                <w:numId w:val="9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National assumptions on annual tariff uplift and inflationary pressure</w:t>
            </w:r>
          </w:p>
          <w:p w14:paraId="1FA998A1" w14:textId="77777777" w:rsidR="005E30EF" w:rsidRPr="00BC1153" w:rsidRDefault="005E30EF" w:rsidP="00BE31AE">
            <w:pPr>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p w14:paraId="48512391" w14:textId="77777777" w:rsidR="005E30EF" w:rsidRPr="00BC1153" w:rsidRDefault="005E30EF" w:rsidP="00190084">
            <w:pPr>
              <w:numPr>
                <w:ilvl w:val="0"/>
                <w:numId w:val="9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An additional 0.5% pay inflation to cover local pay pressure up to FY24</w:t>
            </w:r>
          </w:p>
        </w:tc>
        <w:tc>
          <w:tcPr>
            <w:tcW w:w="2395" w:type="dxa"/>
          </w:tcPr>
          <w:p w14:paraId="6BCE4BAA" w14:textId="77777777" w:rsidR="005E30EF" w:rsidRPr="00BC1153" w:rsidRDefault="005E30EF" w:rsidP="00190084">
            <w:pPr>
              <w:numPr>
                <w:ilvl w:val="0"/>
                <w:numId w:val="9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Follows national guidance</w:t>
            </w:r>
          </w:p>
          <w:p w14:paraId="6439985D" w14:textId="77777777" w:rsidR="005E30EF" w:rsidRPr="00BC1153" w:rsidRDefault="005E30EF" w:rsidP="00190084">
            <w:pPr>
              <w:numPr>
                <w:ilvl w:val="0"/>
                <w:numId w:val="9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Additional 0.5% pay pressure based on calculation of the impact of incremental drift in 20/21 – assumed to continue to FY24.</w:t>
            </w:r>
          </w:p>
        </w:tc>
        <w:tc>
          <w:tcPr>
            <w:tcW w:w="3078" w:type="dxa"/>
            <w:shd w:val="clear" w:color="auto" w:fill="C5E0B3"/>
          </w:tcPr>
          <w:p w14:paraId="10971F4D" w14:textId="5D635B05" w:rsidR="005E30EF" w:rsidRPr="00BC1153" w:rsidRDefault="005E30EF" w:rsidP="00BE31A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 xml:space="preserve">Future national tariff changes may affect the distribution of funding across services, and this may disproportionately impact </w:t>
            </w:r>
            <w:r w:rsidR="00267569">
              <w:rPr>
                <w:rFonts w:ascii="Arial" w:hAnsi="Arial" w:cs="Arial"/>
              </w:rPr>
              <w:t>Moorfields</w:t>
            </w:r>
            <w:r w:rsidR="00267569" w:rsidRPr="00715BA4">
              <w:rPr>
                <w:rFonts w:ascii="Arial" w:hAnsi="Arial" w:cs="Arial"/>
              </w:rPr>
              <w:t xml:space="preserve"> </w:t>
            </w:r>
            <w:r w:rsidRPr="00BC1153">
              <w:rPr>
                <w:rFonts w:ascii="Arial" w:hAnsi="Arial" w:cs="Arial"/>
              </w:rPr>
              <w:t xml:space="preserve">given its focus on one </w:t>
            </w:r>
            <w:r>
              <w:rPr>
                <w:rFonts w:ascii="Arial" w:hAnsi="Arial" w:cs="Arial"/>
              </w:rPr>
              <w:t>specialty</w:t>
            </w:r>
            <w:r w:rsidRPr="00BC1153">
              <w:rPr>
                <w:rFonts w:ascii="Arial" w:hAnsi="Arial" w:cs="Arial"/>
              </w:rPr>
              <w:t xml:space="preserve">. </w:t>
            </w:r>
          </w:p>
        </w:tc>
      </w:tr>
      <w:tr w:rsidR="005E30EF" w:rsidRPr="00BC1153" w14:paraId="5C132D14" w14:textId="77777777" w:rsidTr="008F2797">
        <w:tc>
          <w:tcPr>
            <w:cnfStyle w:val="001000000000" w:firstRow="0" w:lastRow="0" w:firstColumn="1" w:lastColumn="0" w:oddVBand="0" w:evenVBand="0" w:oddHBand="0" w:evenHBand="0" w:firstRowFirstColumn="0" w:firstRowLastColumn="0" w:lastRowFirstColumn="0" w:lastRowLastColumn="0"/>
            <w:tcW w:w="482" w:type="dxa"/>
            <w:vMerge/>
            <w:shd w:val="clear" w:color="auto" w:fill="DEEAF6"/>
            <w:vAlign w:val="center"/>
          </w:tcPr>
          <w:p w14:paraId="43E3C034" w14:textId="77777777" w:rsidR="005E30EF" w:rsidRPr="00BC1153" w:rsidRDefault="005E30EF" w:rsidP="00BE31AE">
            <w:pPr>
              <w:jc w:val="center"/>
              <w:rPr>
                <w:rFonts w:ascii="Arial" w:hAnsi="Arial" w:cs="Arial"/>
              </w:rPr>
            </w:pPr>
          </w:p>
        </w:tc>
        <w:tc>
          <w:tcPr>
            <w:tcW w:w="1858" w:type="dxa"/>
          </w:tcPr>
          <w:p w14:paraId="13515406" w14:textId="77777777" w:rsidR="005E30EF" w:rsidRPr="00BC1153" w:rsidRDefault="005E30EF" w:rsidP="00BE31A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C1153">
              <w:rPr>
                <w:rFonts w:ascii="Arial" w:hAnsi="Arial" w:cs="Arial"/>
              </w:rPr>
              <w:t>Market forces factor (MFF)</w:t>
            </w:r>
          </w:p>
        </w:tc>
        <w:tc>
          <w:tcPr>
            <w:tcW w:w="2588" w:type="dxa"/>
          </w:tcPr>
          <w:p w14:paraId="32112872" w14:textId="77777777" w:rsidR="005E30EF" w:rsidRPr="00BC1153" w:rsidRDefault="005E30EF" w:rsidP="00190084">
            <w:pPr>
              <w:numPr>
                <w:ilvl w:val="0"/>
                <w:numId w:val="100"/>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C1153">
              <w:rPr>
                <w:rFonts w:ascii="Arial" w:hAnsi="Arial" w:cs="Arial"/>
              </w:rPr>
              <w:t>National changes to the calculation of MFF compensation in national tariff leads to a decrease in income over a transitional period ending FY24</w:t>
            </w:r>
          </w:p>
        </w:tc>
        <w:tc>
          <w:tcPr>
            <w:tcW w:w="2395" w:type="dxa"/>
          </w:tcPr>
          <w:p w14:paraId="57497514" w14:textId="77777777" w:rsidR="005E30EF" w:rsidRPr="00BC1153" w:rsidRDefault="005E30EF" w:rsidP="00190084">
            <w:pPr>
              <w:numPr>
                <w:ilvl w:val="0"/>
                <w:numId w:val="100"/>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C1153">
              <w:rPr>
                <w:rFonts w:ascii="Arial" w:hAnsi="Arial" w:cs="Arial"/>
              </w:rPr>
              <w:t>Follows national guidance</w:t>
            </w:r>
          </w:p>
        </w:tc>
        <w:tc>
          <w:tcPr>
            <w:tcW w:w="3078" w:type="dxa"/>
            <w:shd w:val="clear" w:color="auto" w:fill="C5E0B3"/>
          </w:tcPr>
          <w:p w14:paraId="381D6E09" w14:textId="77777777" w:rsidR="005E30EF" w:rsidRPr="00BC1153" w:rsidRDefault="005E30EF" w:rsidP="00BE31AE">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E30EF" w:rsidRPr="00BC1153" w14:paraId="61F0942A" w14:textId="77777777" w:rsidTr="008F2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dxa"/>
            <w:vMerge/>
            <w:shd w:val="clear" w:color="auto" w:fill="DEEAF6"/>
            <w:vAlign w:val="center"/>
          </w:tcPr>
          <w:p w14:paraId="66B541FD" w14:textId="77777777" w:rsidR="005E30EF" w:rsidRPr="00BC1153" w:rsidRDefault="005E30EF" w:rsidP="00BE31AE">
            <w:pPr>
              <w:jc w:val="center"/>
              <w:rPr>
                <w:rFonts w:ascii="Arial" w:hAnsi="Arial" w:cs="Arial"/>
              </w:rPr>
            </w:pPr>
          </w:p>
        </w:tc>
        <w:tc>
          <w:tcPr>
            <w:tcW w:w="1858" w:type="dxa"/>
          </w:tcPr>
          <w:p w14:paraId="52B16C10" w14:textId="77777777" w:rsidR="005E30EF" w:rsidRPr="00BC1153" w:rsidRDefault="005E30EF" w:rsidP="00BE31A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Loss of Financial Recovery Fund (FRF &amp; PSF)</w:t>
            </w:r>
          </w:p>
        </w:tc>
        <w:tc>
          <w:tcPr>
            <w:tcW w:w="2588" w:type="dxa"/>
          </w:tcPr>
          <w:p w14:paraId="7B8B83E4" w14:textId="77777777" w:rsidR="005E30EF" w:rsidRPr="00BC1153" w:rsidRDefault="005E30EF" w:rsidP="00190084">
            <w:pPr>
              <w:numPr>
                <w:ilvl w:val="0"/>
                <w:numId w:val="101"/>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National changes to the financial planning regime remove this central funding by FY24</w:t>
            </w:r>
          </w:p>
        </w:tc>
        <w:tc>
          <w:tcPr>
            <w:tcW w:w="2395" w:type="dxa"/>
          </w:tcPr>
          <w:p w14:paraId="324FB91D" w14:textId="77777777" w:rsidR="005E30EF" w:rsidRPr="00BC1153" w:rsidRDefault="005E30EF" w:rsidP="00190084">
            <w:pPr>
              <w:numPr>
                <w:ilvl w:val="0"/>
                <w:numId w:val="101"/>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Follows national guidance</w:t>
            </w:r>
          </w:p>
        </w:tc>
        <w:tc>
          <w:tcPr>
            <w:tcW w:w="3078" w:type="dxa"/>
            <w:shd w:val="clear" w:color="auto" w:fill="C5E0B3"/>
          </w:tcPr>
          <w:p w14:paraId="377D6DF8" w14:textId="77777777" w:rsidR="005E30EF" w:rsidRPr="00BC1153" w:rsidRDefault="005E30EF" w:rsidP="00BE31AE">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E30EF" w:rsidRPr="00BC1153" w14:paraId="1370C603" w14:textId="77777777" w:rsidTr="008F2797">
        <w:tc>
          <w:tcPr>
            <w:cnfStyle w:val="001000000000" w:firstRow="0" w:lastRow="0" w:firstColumn="1" w:lastColumn="0" w:oddVBand="0" w:evenVBand="0" w:oddHBand="0" w:evenHBand="0" w:firstRowFirstColumn="0" w:firstRowLastColumn="0" w:lastRowFirstColumn="0" w:lastRowLastColumn="0"/>
            <w:tcW w:w="482" w:type="dxa"/>
            <w:vMerge w:val="restart"/>
            <w:shd w:val="clear" w:color="auto" w:fill="DEEAF6"/>
            <w:textDirection w:val="btLr"/>
            <w:vAlign w:val="center"/>
          </w:tcPr>
          <w:p w14:paraId="6570FDA0" w14:textId="77777777" w:rsidR="005E30EF" w:rsidRPr="00BC1153" w:rsidRDefault="005E30EF" w:rsidP="00BE31AE">
            <w:pPr>
              <w:ind w:left="113" w:right="113"/>
              <w:jc w:val="center"/>
              <w:rPr>
                <w:rFonts w:ascii="Arial" w:hAnsi="Arial" w:cs="Arial"/>
              </w:rPr>
            </w:pPr>
            <w:r w:rsidRPr="00BC1153">
              <w:rPr>
                <w:rFonts w:ascii="Arial" w:hAnsi="Arial" w:cs="Arial"/>
              </w:rPr>
              <w:t>NHS services</w:t>
            </w:r>
          </w:p>
        </w:tc>
        <w:tc>
          <w:tcPr>
            <w:tcW w:w="1858" w:type="dxa"/>
          </w:tcPr>
          <w:p w14:paraId="3ABED252" w14:textId="77777777" w:rsidR="005E30EF" w:rsidRPr="00BC1153" w:rsidRDefault="005E30EF" w:rsidP="00BE31A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C1153">
              <w:rPr>
                <w:rFonts w:ascii="Arial" w:hAnsi="Arial" w:cs="Arial"/>
              </w:rPr>
              <w:t>Activity growth</w:t>
            </w:r>
          </w:p>
        </w:tc>
        <w:tc>
          <w:tcPr>
            <w:tcW w:w="2588" w:type="dxa"/>
          </w:tcPr>
          <w:p w14:paraId="45975C8B" w14:textId="77777777" w:rsidR="005E30EF" w:rsidRPr="00BC1153" w:rsidRDefault="005E30EF" w:rsidP="00190084">
            <w:pPr>
              <w:numPr>
                <w:ilvl w:val="0"/>
                <w:numId w:val="102"/>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C1153">
              <w:rPr>
                <w:rFonts w:ascii="Arial" w:hAnsi="Arial" w:cs="Arial"/>
              </w:rPr>
              <w:t>Per annum growth rates of 3.1% outpatient; 2.6% inpatient; 2.9% urgent &amp; emergency</w:t>
            </w:r>
          </w:p>
          <w:p w14:paraId="5AC628A5" w14:textId="77777777" w:rsidR="005E30EF" w:rsidRPr="00BC1153" w:rsidRDefault="005E30EF" w:rsidP="00190084">
            <w:pPr>
              <w:numPr>
                <w:ilvl w:val="0"/>
                <w:numId w:val="102"/>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C1153">
              <w:rPr>
                <w:rFonts w:ascii="Arial" w:hAnsi="Arial" w:cs="Arial"/>
              </w:rPr>
              <w:t>Weighted average of c. 3%</w:t>
            </w:r>
          </w:p>
        </w:tc>
        <w:tc>
          <w:tcPr>
            <w:tcW w:w="2395" w:type="dxa"/>
          </w:tcPr>
          <w:p w14:paraId="7F122E36" w14:textId="2D915399" w:rsidR="005E30EF" w:rsidRPr="00BC1153" w:rsidRDefault="005E30EF" w:rsidP="00190084">
            <w:pPr>
              <w:numPr>
                <w:ilvl w:val="0"/>
                <w:numId w:val="102"/>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C1153">
              <w:rPr>
                <w:rFonts w:ascii="Arial" w:hAnsi="Arial" w:cs="Arial"/>
              </w:rPr>
              <w:t>Based on Edge</w:t>
            </w:r>
            <w:r w:rsidR="00DA6AE4">
              <w:rPr>
                <w:rFonts w:ascii="Arial" w:hAnsi="Arial" w:cs="Arial"/>
              </w:rPr>
              <w:t xml:space="preserve"> H</w:t>
            </w:r>
            <w:r w:rsidRPr="00BC1153">
              <w:rPr>
                <w:rFonts w:ascii="Arial" w:hAnsi="Arial" w:cs="Arial"/>
              </w:rPr>
              <w:t xml:space="preserve">ealth review as part of the public consultation and DMBC – 3% </w:t>
            </w:r>
            <w:r w:rsidR="00DA6AE4">
              <w:rPr>
                <w:rFonts w:ascii="Arial" w:hAnsi="Arial" w:cs="Arial"/>
              </w:rPr>
              <w:t xml:space="preserve">weighted average </w:t>
            </w:r>
            <w:r w:rsidRPr="00BC1153">
              <w:rPr>
                <w:rFonts w:ascii="Arial" w:hAnsi="Arial" w:cs="Arial"/>
              </w:rPr>
              <w:t>growth rate has been agreed with commissioners</w:t>
            </w:r>
          </w:p>
        </w:tc>
        <w:tc>
          <w:tcPr>
            <w:tcW w:w="3078" w:type="dxa"/>
            <w:shd w:val="clear" w:color="auto" w:fill="FFE599"/>
          </w:tcPr>
          <w:p w14:paraId="7783B983" w14:textId="771E27D4" w:rsidR="005E30EF" w:rsidRPr="00BC1153" w:rsidRDefault="005E30EF" w:rsidP="009C09B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C1153">
              <w:rPr>
                <w:rFonts w:ascii="Arial" w:hAnsi="Arial" w:cs="Arial"/>
                <w:b/>
              </w:rPr>
              <w:t xml:space="preserve">Key risk 1: </w:t>
            </w:r>
            <w:r w:rsidR="009739BA">
              <w:rPr>
                <w:rFonts w:ascii="Arial" w:hAnsi="Arial" w:cs="Arial"/>
                <w:b/>
              </w:rPr>
              <w:t xml:space="preserve">Commissioner </w:t>
            </w:r>
            <w:r w:rsidRPr="00BC1153">
              <w:rPr>
                <w:rFonts w:ascii="Arial" w:hAnsi="Arial" w:cs="Arial"/>
                <w:b/>
              </w:rPr>
              <w:t xml:space="preserve">QIPP - </w:t>
            </w:r>
            <w:r w:rsidRPr="00BC1153">
              <w:rPr>
                <w:rFonts w:ascii="Arial" w:hAnsi="Arial" w:cs="Arial"/>
              </w:rPr>
              <w:t>commissioners will continue to look for efficiencies through demand management/re</w:t>
            </w:r>
            <w:r>
              <w:rPr>
                <w:rFonts w:ascii="Arial" w:hAnsi="Arial" w:cs="Arial"/>
              </w:rPr>
              <w:t>-</w:t>
            </w:r>
            <w:r w:rsidRPr="00BC1153">
              <w:rPr>
                <w:rFonts w:ascii="Arial" w:hAnsi="Arial" w:cs="Arial"/>
              </w:rPr>
              <w:t>provisioning</w:t>
            </w:r>
            <w:r w:rsidR="009C09B9">
              <w:rPr>
                <w:rFonts w:ascii="Arial" w:hAnsi="Arial" w:cs="Arial"/>
              </w:rPr>
              <w:t xml:space="preserve"> and this could transfer some growth to other organisations</w:t>
            </w:r>
          </w:p>
        </w:tc>
      </w:tr>
      <w:tr w:rsidR="005E30EF" w:rsidRPr="00BC1153" w14:paraId="2B96F426" w14:textId="77777777" w:rsidTr="008F2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dxa"/>
            <w:vMerge/>
            <w:shd w:val="clear" w:color="auto" w:fill="DEEAF6"/>
          </w:tcPr>
          <w:p w14:paraId="68691876" w14:textId="77777777" w:rsidR="005E30EF" w:rsidRPr="00BC1153" w:rsidRDefault="005E30EF" w:rsidP="00BE31AE">
            <w:pPr>
              <w:rPr>
                <w:rFonts w:ascii="Arial" w:hAnsi="Arial" w:cs="Arial"/>
              </w:rPr>
            </w:pPr>
          </w:p>
        </w:tc>
        <w:tc>
          <w:tcPr>
            <w:tcW w:w="1858" w:type="dxa"/>
          </w:tcPr>
          <w:p w14:paraId="22DC49A0" w14:textId="77777777" w:rsidR="005E30EF" w:rsidRPr="00BC1153" w:rsidRDefault="005E30EF" w:rsidP="00BE31A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Margin on growth</w:t>
            </w:r>
          </w:p>
        </w:tc>
        <w:tc>
          <w:tcPr>
            <w:tcW w:w="2588" w:type="dxa"/>
          </w:tcPr>
          <w:p w14:paraId="78014208" w14:textId="77777777" w:rsidR="005E30EF" w:rsidRPr="00BC1153" w:rsidRDefault="005E30EF" w:rsidP="00190084">
            <w:pPr>
              <w:numPr>
                <w:ilvl w:val="0"/>
                <w:numId w:val="103"/>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65</w:t>
            </w:r>
            <w:r w:rsidRPr="00BC1153">
              <w:rPr>
                <w:rFonts w:ascii="Arial" w:hAnsi="Arial" w:cs="Arial"/>
              </w:rPr>
              <w:t>% marginal cost assumption</w:t>
            </w:r>
          </w:p>
        </w:tc>
        <w:tc>
          <w:tcPr>
            <w:tcW w:w="2395" w:type="dxa"/>
          </w:tcPr>
          <w:p w14:paraId="634F34F9" w14:textId="77777777" w:rsidR="005E30EF" w:rsidRPr="00BC1153" w:rsidRDefault="005E30EF" w:rsidP="00190084">
            <w:pPr>
              <w:numPr>
                <w:ilvl w:val="0"/>
                <w:numId w:val="103"/>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Assessment of variable cost base</w:t>
            </w:r>
          </w:p>
          <w:p w14:paraId="70B02F43" w14:textId="77777777" w:rsidR="005E30EF" w:rsidRPr="00BC1153" w:rsidRDefault="005E30EF" w:rsidP="00190084">
            <w:pPr>
              <w:numPr>
                <w:ilvl w:val="0"/>
                <w:numId w:val="103"/>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Consistent with SOC assumption</w:t>
            </w:r>
          </w:p>
          <w:p w14:paraId="32121261" w14:textId="77777777" w:rsidR="005E30EF" w:rsidRPr="00BC1153" w:rsidRDefault="005E30EF" w:rsidP="00BE31AE">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7A57E296" w14:textId="77777777" w:rsidR="005E30EF" w:rsidRPr="00BC1153" w:rsidRDefault="005E30EF" w:rsidP="00BE31AE">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189C7C0C" w14:textId="77777777" w:rsidR="005E30EF" w:rsidRPr="00BC1153" w:rsidRDefault="005E30EF" w:rsidP="00BE31AE">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464F8D09" w14:textId="77777777" w:rsidR="005E30EF" w:rsidRPr="00BC1153" w:rsidRDefault="005E30EF" w:rsidP="00BE31AE">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078" w:type="dxa"/>
            <w:shd w:val="clear" w:color="auto" w:fill="FFE599"/>
          </w:tcPr>
          <w:p w14:paraId="74E26058" w14:textId="77777777" w:rsidR="005E30EF" w:rsidRPr="00BC1153" w:rsidRDefault="005E30EF" w:rsidP="00BE31A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b/>
              </w:rPr>
              <w:t>Key risk 2</w:t>
            </w:r>
            <w:r w:rsidRPr="009739BA">
              <w:rPr>
                <w:rFonts w:ascii="Arial" w:hAnsi="Arial" w:cs="Arial"/>
                <w:b/>
                <w:bCs/>
              </w:rPr>
              <w:t>:</w:t>
            </w:r>
            <w:r w:rsidRPr="00BC1153">
              <w:rPr>
                <w:rFonts w:ascii="Arial" w:hAnsi="Arial" w:cs="Arial"/>
              </w:rPr>
              <w:t xml:space="preserve"> </w:t>
            </w:r>
            <w:r w:rsidRPr="00BC1153">
              <w:rPr>
                <w:rFonts w:ascii="Arial" w:hAnsi="Arial" w:cs="Arial"/>
                <w:b/>
              </w:rPr>
              <w:t>NHS margin -</w:t>
            </w:r>
            <w:r w:rsidRPr="00BC1153">
              <w:rPr>
                <w:rFonts w:ascii="Arial" w:hAnsi="Arial" w:cs="Arial"/>
              </w:rPr>
              <w:t xml:space="preserve"> Over the period, additional pressure on margin where thresholds for semi-fixed costs are crossed – e.g. funding for additional capacity on networks sites</w:t>
            </w:r>
          </w:p>
        </w:tc>
      </w:tr>
      <w:tr w:rsidR="005E30EF" w:rsidRPr="00BC1153" w14:paraId="745504A1" w14:textId="77777777" w:rsidTr="008F2797">
        <w:tc>
          <w:tcPr>
            <w:cnfStyle w:val="001000000000" w:firstRow="0" w:lastRow="0" w:firstColumn="1" w:lastColumn="0" w:oddVBand="0" w:evenVBand="0" w:oddHBand="0" w:evenHBand="0" w:firstRowFirstColumn="0" w:firstRowLastColumn="0" w:lastRowFirstColumn="0" w:lastRowLastColumn="0"/>
            <w:tcW w:w="482" w:type="dxa"/>
            <w:vMerge w:val="restart"/>
            <w:shd w:val="clear" w:color="auto" w:fill="DEEAF6"/>
            <w:textDirection w:val="btLr"/>
            <w:vAlign w:val="center"/>
          </w:tcPr>
          <w:p w14:paraId="59212A19" w14:textId="77777777" w:rsidR="005E30EF" w:rsidRPr="00BC1153" w:rsidRDefault="005E30EF" w:rsidP="00BE31AE">
            <w:pPr>
              <w:ind w:left="113" w:right="113"/>
              <w:jc w:val="center"/>
              <w:rPr>
                <w:rFonts w:ascii="Arial" w:hAnsi="Arial" w:cs="Arial"/>
              </w:rPr>
            </w:pPr>
            <w:r w:rsidRPr="00BC1153">
              <w:rPr>
                <w:rFonts w:ascii="Arial" w:hAnsi="Arial" w:cs="Arial"/>
              </w:rPr>
              <w:t>Commercial</w:t>
            </w:r>
          </w:p>
        </w:tc>
        <w:tc>
          <w:tcPr>
            <w:tcW w:w="1858" w:type="dxa"/>
          </w:tcPr>
          <w:p w14:paraId="6858E82E" w14:textId="77777777" w:rsidR="005E30EF" w:rsidRPr="00BC1153" w:rsidRDefault="005E30EF" w:rsidP="00BE31A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C1153">
              <w:rPr>
                <w:rFonts w:ascii="Arial" w:hAnsi="Arial" w:cs="Arial"/>
              </w:rPr>
              <w:t>Activity growth</w:t>
            </w:r>
          </w:p>
        </w:tc>
        <w:tc>
          <w:tcPr>
            <w:tcW w:w="2588" w:type="dxa"/>
          </w:tcPr>
          <w:p w14:paraId="0DFBE2D2" w14:textId="2854C442" w:rsidR="005E30EF" w:rsidRPr="00BC1153" w:rsidRDefault="005A7607" w:rsidP="00190084">
            <w:pPr>
              <w:numPr>
                <w:ilvl w:val="0"/>
                <w:numId w:val="9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[Redacted]</w:t>
            </w:r>
          </w:p>
        </w:tc>
        <w:tc>
          <w:tcPr>
            <w:tcW w:w="2395" w:type="dxa"/>
          </w:tcPr>
          <w:p w14:paraId="1339561A" w14:textId="77777777" w:rsidR="005E30EF" w:rsidRPr="00BC1153" w:rsidRDefault="005E30EF" w:rsidP="00190084">
            <w:pPr>
              <w:numPr>
                <w:ilvl w:val="0"/>
                <w:numId w:val="9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C1153">
              <w:rPr>
                <w:rFonts w:ascii="Arial" w:hAnsi="Arial" w:cs="Arial"/>
              </w:rPr>
              <w:t>External review of historical growth, market share and future projections</w:t>
            </w:r>
          </w:p>
          <w:p w14:paraId="19A8E5AF" w14:textId="322457F4" w:rsidR="005E30EF" w:rsidRPr="00BC1153" w:rsidRDefault="005E30EF" w:rsidP="00190084">
            <w:pPr>
              <w:numPr>
                <w:ilvl w:val="0"/>
                <w:numId w:val="9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9C09B9">
              <w:rPr>
                <w:rFonts w:ascii="Arial" w:hAnsi="Arial" w:cs="Arial"/>
              </w:rPr>
              <w:t xml:space="preserve">Detailed plan for FY21 and higher level plan for future period </w:t>
            </w:r>
            <w:r w:rsidR="009C09B9" w:rsidRPr="009C09B9">
              <w:rPr>
                <w:rFonts w:ascii="Arial" w:hAnsi="Arial" w:cs="Arial"/>
              </w:rPr>
              <w:lastRenderedPageBreak/>
              <w:t>supported by external review</w:t>
            </w:r>
          </w:p>
        </w:tc>
        <w:tc>
          <w:tcPr>
            <w:tcW w:w="3078" w:type="dxa"/>
            <w:vMerge w:val="restart"/>
            <w:shd w:val="clear" w:color="auto" w:fill="FFE599"/>
          </w:tcPr>
          <w:p w14:paraId="7F8033ED" w14:textId="29E1B736" w:rsidR="005E30EF" w:rsidRPr="00BC1153" w:rsidRDefault="005E30EF" w:rsidP="00BE31A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C1153">
              <w:rPr>
                <w:rFonts w:ascii="Arial" w:hAnsi="Arial" w:cs="Arial"/>
                <w:b/>
              </w:rPr>
              <w:lastRenderedPageBreak/>
              <w:t xml:space="preserve">Key risk 3: Private activity - </w:t>
            </w:r>
            <w:r w:rsidRPr="00BC1153">
              <w:rPr>
                <w:rFonts w:ascii="Arial" w:hAnsi="Arial" w:cs="Arial"/>
              </w:rPr>
              <w:t xml:space="preserve">changes in the market could reduce overall market growth, reduce the competitiveness of </w:t>
            </w:r>
            <w:r w:rsidR="00267569">
              <w:rPr>
                <w:rFonts w:ascii="Arial" w:hAnsi="Arial" w:cs="Arial"/>
              </w:rPr>
              <w:t>Moorfields</w:t>
            </w:r>
            <w:r w:rsidR="00267569" w:rsidRPr="00715BA4">
              <w:rPr>
                <w:rFonts w:ascii="Arial" w:hAnsi="Arial" w:cs="Arial"/>
              </w:rPr>
              <w:t xml:space="preserve"> </w:t>
            </w:r>
            <w:r w:rsidRPr="00BC1153">
              <w:rPr>
                <w:rFonts w:ascii="Arial" w:hAnsi="Arial" w:cs="Arial"/>
              </w:rPr>
              <w:t xml:space="preserve">and therefore its share, or limit </w:t>
            </w:r>
            <w:r w:rsidR="00267569">
              <w:rPr>
                <w:rFonts w:ascii="Arial" w:hAnsi="Arial" w:cs="Arial"/>
              </w:rPr>
              <w:t xml:space="preserve">Moorfields’ </w:t>
            </w:r>
            <w:r w:rsidRPr="00BC1153">
              <w:rPr>
                <w:rFonts w:ascii="Arial" w:hAnsi="Arial" w:cs="Arial"/>
              </w:rPr>
              <w:lastRenderedPageBreak/>
              <w:t xml:space="preserve">ability to deliver this growth at marginal cost. </w:t>
            </w:r>
          </w:p>
        </w:tc>
      </w:tr>
      <w:tr w:rsidR="005E30EF" w:rsidRPr="00BC1153" w14:paraId="4BA45A26" w14:textId="77777777" w:rsidTr="008F2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dxa"/>
            <w:vMerge/>
            <w:shd w:val="clear" w:color="auto" w:fill="DEEAF6"/>
          </w:tcPr>
          <w:p w14:paraId="7C9F864D" w14:textId="77777777" w:rsidR="005E30EF" w:rsidRPr="00BC1153" w:rsidRDefault="005E30EF" w:rsidP="00BE31AE">
            <w:pPr>
              <w:rPr>
                <w:rFonts w:ascii="Arial" w:hAnsi="Arial" w:cs="Arial"/>
              </w:rPr>
            </w:pPr>
          </w:p>
        </w:tc>
        <w:tc>
          <w:tcPr>
            <w:tcW w:w="1858" w:type="dxa"/>
          </w:tcPr>
          <w:p w14:paraId="0EF034E2" w14:textId="77777777" w:rsidR="005E30EF" w:rsidRPr="00BC1153" w:rsidRDefault="005E30EF" w:rsidP="00BE31A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Margin</w:t>
            </w:r>
          </w:p>
        </w:tc>
        <w:tc>
          <w:tcPr>
            <w:tcW w:w="2588" w:type="dxa"/>
          </w:tcPr>
          <w:p w14:paraId="30296DC9" w14:textId="77777777" w:rsidR="005E30EF" w:rsidRPr="00BC1153" w:rsidRDefault="005E30EF" w:rsidP="00190084">
            <w:pPr>
              <w:numPr>
                <w:ilvl w:val="0"/>
                <w:numId w:val="100"/>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50% marginal cost assumption</w:t>
            </w:r>
          </w:p>
        </w:tc>
        <w:tc>
          <w:tcPr>
            <w:tcW w:w="2395" w:type="dxa"/>
          </w:tcPr>
          <w:p w14:paraId="40658DE3" w14:textId="77777777" w:rsidR="005E30EF" w:rsidRPr="00BC1153" w:rsidRDefault="005E30EF" w:rsidP="00190084">
            <w:pPr>
              <w:numPr>
                <w:ilvl w:val="0"/>
                <w:numId w:val="100"/>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Based on assessment of variable costs</w:t>
            </w:r>
          </w:p>
          <w:p w14:paraId="13011D73" w14:textId="77777777" w:rsidR="005E30EF" w:rsidRPr="00BC1153" w:rsidRDefault="005E30EF" w:rsidP="00190084">
            <w:pPr>
              <w:numPr>
                <w:ilvl w:val="0"/>
                <w:numId w:val="100"/>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Consistent with SOC assumptions</w:t>
            </w:r>
          </w:p>
        </w:tc>
        <w:tc>
          <w:tcPr>
            <w:tcW w:w="3078" w:type="dxa"/>
            <w:vMerge/>
            <w:shd w:val="clear" w:color="auto" w:fill="FFE599"/>
          </w:tcPr>
          <w:p w14:paraId="2CD39268" w14:textId="77777777" w:rsidR="005E30EF" w:rsidRPr="00BC1153" w:rsidRDefault="005E30EF" w:rsidP="00BE31AE">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E30EF" w:rsidRPr="00BC1153" w14:paraId="775F5C1D" w14:textId="77777777" w:rsidTr="008F2797">
        <w:tc>
          <w:tcPr>
            <w:cnfStyle w:val="001000000000" w:firstRow="0" w:lastRow="0" w:firstColumn="1" w:lastColumn="0" w:oddVBand="0" w:evenVBand="0" w:oddHBand="0" w:evenHBand="0" w:firstRowFirstColumn="0" w:firstRowLastColumn="0" w:lastRowFirstColumn="0" w:lastRowLastColumn="0"/>
            <w:tcW w:w="482" w:type="dxa"/>
            <w:vMerge/>
            <w:shd w:val="clear" w:color="auto" w:fill="DEEAF6"/>
          </w:tcPr>
          <w:p w14:paraId="7B2350BF" w14:textId="77777777" w:rsidR="005E30EF" w:rsidRPr="00BC1153" w:rsidRDefault="005E30EF" w:rsidP="00BE31AE">
            <w:pPr>
              <w:rPr>
                <w:rFonts w:ascii="Arial" w:hAnsi="Arial" w:cs="Arial"/>
              </w:rPr>
            </w:pPr>
          </w:p>
        </w:tc>
        <w:tc>
          <w:tcPr>
            <w:tcW w:w="1858" w:type="dxa"/>
          </w:tcPr>
          <w:p w14:paraId="14DDB3A3" w14:textId="77777777" w:rsidR="005E30EF" w:rsidRPr="00BC1153" w:rsidRDefault="005E30EF" w:rsidP="00BE31A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C1153">
              <w:rPr>
                <w:rFonts w:ascii="Arial" w:hAnsi="Arial" w:cs="Arial"/>
              </w:rPr>
              <w:t>Capacity</w:t>
            </w:r>
          </w:p>
        </w:tc>
        <w:tc>
          <w:tcPr>
            <w:tcW w:w="2588" w:type="dxa"/>
          </w:tcPr>
          <w:p w14:paraId="18413E9F" w14:textId="4D1838F3" w:rsidR="005E30EF" w:rsidRPr="00BC1153" w:rsidRDefault="005E30EF" w:rsidP="00190084">
            <w:pPr>
              <w:numPr>
                <w:ilvl w:val="0"/>
                <w:numId w:val="104"/>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C1153">
              <w:rPr>
                <w:rFonts w:ascii="Arial" w:hAnsi="Arial" w:cs="Arial"/>
              </w:rPr>
              <w:t>Sufficient capacity in the schedule of accommodation in new facility for theatres and laser rooms – additional outpatient capacity will be sourced from other locations (</w:t>
            </w:r>
            <w:r w:rsidR="00E13043">
              <w:rPr>
                <w:rFonts w:ascii="Arial" w:hAnsi="Arial" w:cs="Arial"/>
              </w:rPr>
              <w:t xml:space="preserve">most </w:t>
            </w:r>
            <w:r w:rsidRPr="00BC1153">
              <w:rPr>
                <w:rFonts w:ascii="Arial" w:hAnsi="Arial" w:cs="Arial"/>
              </w:rPr>
              <w:t>costs are recharged to consultants</w:t>
            </w:r>
            <w:r w:rsidR="00E13043">
              <w:rPr>
                <w:rFonts w:ascii="Arial" w:hAnsi="Arial" w:cs="Arial"/>
              </w:rPr>
              <w:t>, but some pressure on margins</w:t>
            </w:r>
            <w:r w:rsidRPr="00BC1153">
              <w:rPr>
                <w:rFonts w:ascii="Arial" w:hAnsi="Arial" w:cs="Arial"/>
              </w:rPr>
              <w:t>)</w:t>
            </w:r>
          </w:p>
        </w:tc>
        <w:tc>
          <w:tcPr>
            <w:tcW w:w="2395" w:type="dxa"/>
          </w:tcPr>
          <w:p w14:paraId="1A0C1B67" w14:textId="77777777" w:rsidR="005E30EF" w:rsidRPr="00BC1153" w:rsidRDefault="005E30EF" w:rsidP="00190084">
            <w:pPr>
              <w:numPr>
                <w:ilvl w:val="0"/>
                <w:numId w:val="104"/>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C1153">
              <w:rPr>
                <w:rFonts w:ascii="Arial" w:hAnsi="Arial" w:cs="Arial"/>
              </w:rPr>
              <w:t>Schedule of accommodation</w:t>
            </w:r>
          </w:p>
          <w:p w14:paraId="5D83F663" w14:textId="38FDE2A8" w:rsidR="005E30EF" w:rsidRPr="00BC1153" w:rsidRDefault="005E30EF" w:rsidP="00190084">
            <w:pPr>
              <w:numPr>
                <w:ilvl w:val="0"/>
                <w:numId w:val="104"/>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9C09B9">
              <w:rPr>
                <w:rFonts w:ascii="Arial" w:hAnsi="Arial" w:cs="Arial"/>
              </w:rPr>
              <w:t>Private patient plan aligned with capacity assumpti</w:t>
            </w:r>
            <w:r w:rsidR="009C09B9" w:rsidRPr="009C09B9">
              <w:rPr>
                <w:rFonts w:ascii="Arial" w:hAnsi="Arial" w:cs="Arial"/>
              </w:rPr>
              <w:t>ons</w:t>
            </w:r>
          </w:p>
        </w:tc>
        <w:tc>
          <w:tcPr>
            <w:tcW w:w="3078" w:type="dxa"/>
            <w:shd w:val="clear" w:color="auto" w:fill="E2EFD9"/>
          </w:tcPr>
          <w:p w14:paraId="2A90281B" w14:textId="373D79B6" w:rsidR="005E30EF" w:rsidRPr="00BC1153" w:rsidRDefault="005E30EF" w:rsidP="00BE31AE">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E30EF" w:rsidRPr="00BC1153" w14:paraId="7CD1356D" w14:textId="77777777" w:rsidTr="008F2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dxa"/>
            <w:vMerge w:val="restart"/>
            <w:shd w:val="clear" w:color="auto" w:fill="DEEAF6"/>
            <w:textDirection w:val="btLr"/>
            <w:vAlign w:val="center"/>
          </w:tcPr>
          <w:p w14:paraId="205DA93E" w14:textId="77777777" w:rsidR="005E30EF" w:rsidRPr="00BC1153" w:rsidRDefault="005E30EF" w:rsidP="00BE31AE">
            <w:pPr>
              <w:ind w:left="113" w:right="113"/>
              <w:jc w:val="center"/>
              <w:rPr>
                <w:rFonts w:ascii="Arial" w:hAnsi="Arial" w:cs="Arial"/>
              </w:rPr>
            </w:pPr>
            <w:r w:rsidRPr="00BC1153">
              <w:rPr>
                <w:rFonts w:ascii="Arial" w:hAnsi="Arial" w:cs="Arial"/>
              </w:rPr>
              <w:t>Efficiency</w:t>
            </w:r>
          </w:p>
        </w:tc>
        <w:tc>
          <w:tcPr>
            <w:tcW w:w="1858" w:type="dxa"/>
          </w:tcPr>
          <w:p w14:paraId="443267CB" w14:textId="77777777" w:rsidR="005E30EF" w:rsidRPr="00BC1153" w:rsidRDefault="005E30EF" w:rsidP="00BE31A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Total CIP assumption</w:t>
            </w:r>
          </w:p>
        </w:tc>
        <w:tc>
          <w:tcPr>
            <w:tcW w:w="2588" w:type="dxa"/>
          </w:tcPr>
          <w:p w14:paraId="5CC4C065" w14:textId="77777777" w:rsidR="005E30EF" w:rsidRPr="00BC1153" w:rsidRDefault="005E30EF" w:rsidP="00190084">
            <w:pPr>
              <w:numPr>
                <w:ilvl w:val="0"/>
                <w:numId w:val="105"/>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FY21 to FY24: 2% to 4% of cost base (excl</w:t>
            </w:r>
            <w:r>
              <w:rPr>
                <w:rFonts w:ascii="Arial" w:hAnsi="Arial" w:cs="Arial"/>
              </w:rPr>
              <w:t>uding</w:t>
            </w:r>
            <w:r w:rsidRPr="00BC1153">
              <w:rPr>
                <w:rFonts w:ascii="Arial" w:hAnsi="Arial" w:cs="Arial"/>
              </w:rPr>
              <w:t xml:space="preserve"> pass</w:t>
            </w:r>
            <w:r>
              <w:rPr>
                <w:rFonts w:ascii="Arial" w:hAnsi="Arial" w:cs="Arial"/>
              </w:rPr>
              <w:t xml:space="preserve"> </w:t>
            </w:r>
            <w:r w:rsidRPr="00BC1153">
              <w:rPr>
                <w:rFonts w:ascii="Arial" w:hAnsi="Arial" w:cs="Arial"/>
              </w:rPr>
              <w:t>through drugs)</w:t>
            </w:r>
          </w:p>
          <w:p w14:paraId="0315C0E1" w14:textId="77777777" w:rsidR="005E30EF" w:rsidRPr="00BC1153" w:rsidRDefault="005E30EF" w:rsidP="00190084">
            <w:pPr>
              <w:numPr>
                <w:ilvl w:val="0"/>
                <w:numId w:val="105"/>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FY25 onwards: 2% per annum</w:t>
            </w:r>
          </w:p>
        </w:tc>
        <w:tc>
          <w:tcPr>
            <w:tcW w:w="2395" w:type="dxa"/>
          </w:tcPr>
          <w:p w14:paraId="74953793" w14:textId="77777777" w:rsidR="005E30EF" w:rsidRPr="00BC1153" w:rsidRDefault="005E30EF" w:rsidP="00190084">
            <w:pPr>
              <w:numPr>
                <w:ilvl w:val="0"/>
                <w:numId w:val="105"/>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Assessment based on historical performance and opportunity</w:t>
            </w:r>
          </w:p>
          <w:p w14:paraId="1B81F952" w14:textId="126E2459" w:rsidR="005E30EF" w:rsidRPr="00BC1153" w:rsidRDefault="005E30EF" w:rsidP="00190084">
            <w:pPr>
              <w:numPr>
                <w:ilvl w:val="0"/>
                <w:numId w:val="105"/>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9C09B9">
              <w:rPr>
                <w:rFonts w:ascii="Arial" w:hAnsi="Arial" w:cs="Arial"/>
              </w:rPr>
              <w:t>Long term them</w:t>
            </w:r>
            <w:r w:rsidR="009C09B9" w:rsidRPr="009C09B9">
              <w:rPr>
                <w:rFonts w:ascii="Arial" w:hAnsi="Arial" w:cs="Arial"/>
              </w:rPr>
              <w:t>atic Cost Improvement Programme</w:t>
            </w:r>
          </w:p>
        </w:tc>
        <w:tc>
          <w:tcPr>
            <w:tcW w:w="3078" w:type="dxa"/>
            <w:shd w:val="clear" w:color="auto" w:fill="FFE599"/>
          </w:tcPr>
          <w:p w14:paraId="64466D05" w14:textId="346B7593" w:rsidR="005E30EF" w:rsidRPr="00BC1153" w:rsidRDefault="005E30EF" w:rsidP="00BE31A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b/>
              </w:rPr>
              <w:t xml:space="preserve">Key risk 4: CIP – </w:t>
            </w:r>
            <w:r w:rsidRPr="00BC1153">
              <w:rPr>
                <w:rFonts w:ascii="Arial" w:hAnsi="Arial" w:cs="Arial"/>
              </w:rPr>
              <w:t>efficiencies may not be sustainably achievable at the as</w:t>
            </w:r>
            <w:r w:rsidR="00E34C58">
              <w:rPr>
                <w:rFonts w:ascii="Arial" w:hAnsi="Arial" w:cs="Arial"/>
              </w:rPr>
              <w:t>sumed level up to FY29</w:t>
            </w:r>
          </w:p>
        </w:tc>
      </w:tr>
      <w:tr w:rsidR="005E30EF" w:rsidRPr="00BC1153" w14:paraId="3F676115" w14:textId="77777777" w:rsidTr="008F2797">
        <w:tc>
          <w:tcPr>
            <w:cnfStyle w:val="001000000000" w:firstRow="0" w:lastRow="0" w:firstColumn="1" w:lastColumn="0" w:oddVBand="0" w:evenVBand="0" w:oddHBand="0" w:evenHBand="0" w:firstRowFirstColumn="0" w:firstRowLastColumn="0" w:lastRowFirstColumn="0" w:lastRowLastColumn="0"/>
            <w:tcW w:w="482" w:type="dxa"/>
            <w:vMerge/>
            <w:shd w:val="clear" w:color="auto" w:fill="DEEAF6"/>
          </w:tcPr>
          <w:p w14:paraId="00FB83EC" w14:textId="77777777" w:rsidR="005E30EF" w:rsidRPr="00BC1153" w:rsidRDefault="005E30EF" w:rsidP="00BE31AE">
            <w:pPr>
              <w:rPr>
                <w:rFonts w:ascii="Arial" w:hAnsi="Arial" w:cs="Arial"/>
              </w:rPr>
            </w:pPr>
          </w:p>
        </w:tc>
        <w:tc>
          <w:tcPr>
            <w:tcW w:w="1858" w:type="dxa"/>
          </w:tcPr>
          <w:p w14:paraId="4C00A8CF" w14:textId="77777777" w:rsidR="005E30EF" w:rsidRPr="00BC1153" w:rsidRDefault="005E30EF" w:rsidP="00BE31A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C1153">
              <w:rPr>
                <w:rFonts w:ascii="Arial" w:hAnsi="Arial" w:cs="Arial"/>
              </w:rPr>
              <w:t>Of which, non-recurrent</w:t>
            </w:r>
          </w:p>
        </w:tc>
        <w:tc>
          <w:tcPr>
            <w:tcW w:w="2588" w:type="dxa"/>
          </w:tcPr>
          <w:p w14:paraId="5058F041" w14:textId="56F9E8D3" w:rsidR="005E30EF" w:rsidRPr="00BC1153" w:rsidRDefault="005E30EF" w:rsidP="00190084">
            <w:pPr>
              <w:numPr>
                <w:ilvl w:val="0"/>
                <w:numId w:val="106"/>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C1153">
              <w:rPr>
                <w:rFonts w:ascii="Arial" w:hAnsi="Arial" w:cs="Arial"/>
              </w:rPr>
              <w:t>£</w:t>
            </w:r>
            <w:r w:rsidR="005A7607">
              <w:rPr>
                <w:rFonts w:ascii="Arial" w:hAnsi="Arial" w:cs="Arial"/>
              </w:rPr>
              <w:t>XXX</w:t>
            </w:r>
            <w:r w:rsidRPr="00BC1153">
              <w:rPr>
                <w:rFonts w:ascii="Arial" w:hAnsi="Arial" w:cs="Arial"/>
              </w:rPr>
              <w:t>m per annum</w:t>
            </w:r>
          </w:p>
        </w:tc>
        <w:tc>
          <w:tcPr>
            <w:tcW w:w="2395" w:type="dxa"/>
          </w:tcPr>
          <w:p w14:paraId="7F05D7DC" w14:textId="77777777" w:rsidR="005E30EF" w:rsidRPr="00BC1153" w:rsidRDefault="005E30EF" w:rsidP="00BE31AE">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078" w:type="dxa"/>
            <w:shd w:val="clear" w:color="auto" w:fill="E2EFD9"/>
          </w:tcPr>
          <w:p w14:paraId="1E37027E" w14:textId="77777777" w:rsidR="005E30EF" w:rsidRPr="00BC1153" w:rsidRDefault="005E30EF" w:rsidP="00BE31AE">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E30EF" w:rsidRPr="00BC1153" w14:paraId="6A24BA75" w14:textId="77777777" w:rsidTr="008F2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dxa"/>
            <w:vMerge/>
            <w:shd w:val="clear" w:color="auto" w:fill="DEEAF6"/>
          </w:tcPr>
          <w:p w14:paraId="7C043D24" w14:textId="77777777" w:rsidR="005E30EF" w:rsidRPr="00BC1153" w:rsidRDefault="005E30EF" w:rsidP="00BE31AE">
            <w:pPr>
              <w:rPr>
                <w:rFonts w:ascii="Arial" w:hAnsi="Arial" w:cs="Arial"/>
              </w:rPr>
            </w:pPr>
          </w:p>
        </w:tc>
        <w:tc>
          <w:tcPr>
            <w:tcW w:w="1858" w:type="dxa"/>
          </w:tcPr>
          <w:p w14:paraId="49AA781A" w14:textId="77777777" w:rsidR="005E30EF" w:rsidRPr="00BC1153" w:rsidRDefault="005E30EF" w:rsidP="00BE31A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Cost to deliver efficiency</w:t>
            </w:r>
          </w:p>
        </w:tc>
        <w:tc>
          <w:tcPr>
            <w:tcW w:w="2588" w:type="dxa"/>
          </w:tcPr>
          <w:p w14:paraId="2BCE582F" w14:textId="78415033" w:rsidR="005E30EF" w:rsidRPr="00BC1153" w:rsidRDefault="005E30EF" w:rsidP="00190084">
            <w:pPr>
              <w:numPr>
                <w:ilvl w:val="0"/>
                <w:numId w:val="106"/>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w:t>
            </w:r>
            <w:r w:rsidR="005A7607">
              <w:rPr>
                <w:rFonts w:ascii="Arial" w:hAnsi="Arial" w:cs="Arial"/>
              </w:rPr>
              <w:t>XXX</w:t>
            </w:r>
            <w:r w:rsidRPr="00BC1153">
              <w:rPr>
                <w:rFonts w:ascii="Arial" w:hAnsi="Arial" w:cs="Arial"/>
              </w:rPr>
              <w:t>m additional ongoing IT and £</w:t>
            </w:r>
            <w:r w:rsidR="005A7607">
              <w:rPr>
                <w:rFonts w:ascii="Arial" w:hAnsi="Arial" w:cs="Arial"/>
              </w:rPr>
              <w:t>XXX</w:t>
            </w:r>
            <w:r w:rsidRPr="00BC1153">
              <w:rPr>
                <w:rFonts w:ascii="Arial" w:hAnsi="Arial" w:cs="Arial"/>
              </w:rPr>
              <w:t>m of non-recurrent transitional costs are assumed as part of supporting the more efficient operating model set out in the clinical case</w:t>
            </w:r>
          </w:p>
        </w:tc>
        <w:tc>
          <w:tcPr>
            <w:tcW w:w="2395" w:type="dxa"/>
          </w:tcPr>
          <w:p w14:paraId="2619DBA4" w14:textId="77777777" w:rsidR="005E30EF" w:rsidRPr="00BC1153" w:rsidRDefault="005E30EF" w:rsidP="00190084">
            <w:pPr>
              <w:numPr>
                <w:ilvl w:val="0"/>
                <w:numId w:val="106"/>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External review of the cost of new IT schemes</w:t>
            </w:r>
          </w:p>
        </w:tc>
        <w:tc>
          <w:tcPr>
            <w:tcW w:w="3078" w:type="dxa"/>
            <w:shd w:val="clear" w:color="auto" w:fill="E2EFD9"/>
          </w:tcPr>
          <w:p w14:paraId="490BF0E1" w14:textId="77777777" w:rsidR="005E30EF" w:rsidRPr="00BC1153" w:rsidRDefault="005E30EF" w:rsidP="00BE31AE">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E30EF" w:rsidRPr="00BC1153" w14:paraId="3BE2E11A" w14:textId="77777777" w:rsidTr="008F2797">
        <w:tc>
          <w:tcPr>
            <w:cnfStyle w:val="001000000000" w:firstRow="0" w:lastRow="0" w:firstColumn="1" w:lastColumn="0" w:oddVBand="0" w:evenVBand="0" w:oddHBand="0" w:evenHBand="0" w:firstRowFirstColumn="0" w:firstRowLastColumn="0" w:lastRowFirstColumn="0" w:lastRowLastColumn="0"/>
            <w:tcW w:w="482" w:type="dxa"/>
            <w:vMerge w:val="restart"/>
            <w:shd w:val="clear" w:color="auto" w:fill="DEEAF6"/>
            <w:textDirection w:val="btLr"/>
            <w:vAlign w:val="center"/>
          </w:tcPr>
          <w:p w14:paraId="1E1208BA" w14:textId="77777777" w:rsidR="005E30EF" w:rsidRPr="00BC1153" w:rsidRDefault="005E30EF" w:rsidP="00BE31AE">
            <w:pPr>
              <w:ind w:left="113" w:right="113"/>
              <w:jc w:val="center"/>
              <w:rPr>
                <w:rFonts w:ascii="Arial" w:hAnsi="Arial" w:cs="Arial"/>
              </w:rPr>
            </w:pPr>
            <w:r w:rsidRPr="00BC1153">
              <w:rPr>
                <w:rFonts w:ascii="Arial" w:hAnsi="Arial" w:cs="Arial"/>
              </w:rPr>
              <w:t>Building running costs</w:t>
            </w:r>
          </w:p>
        </w:tc>
        <w:tc>
          <w:tcPr>
            <w:tcW w:w="1858" w:type="dxa"/>
          </w:tcPr>
          <w:p w14:paraId="34E58277" w14:textId="77777777" w:rsidR="005E30EF" w:rsidRPr="00BC1153" w:rsidRDefault="005E30EF" w:rsidP="00BE31A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C1153">
              <w:rPr>
                <w:rFonts w:ascii="Arial" w:hAnsi="Arial" w:cs="Arial"/>
              </w:rPr>
              <w:t>Faci</w:t>
            </w:r>
            <w:r>
              <w:rPr>
                <w:rFonts w:ascii="Arial" w:hAnsi="Arial" w:cs="Arial"/>
              </w:rPr>
              <w:t>lities</w:t>
            </w:r>
            <w:r w:rsidRPr="00BC1153">
              <w:rPr>
                <w:rFonts w:ascii="Arial" w:hAnsi="Arial" w:cs="Arial"/>
              </w:rPr>
              <w:t xml:space="preserve"> management and utilities</w:t>
            </w:r>
          </w:p>
        </w:tc>
        <w:tc>
          <w:tcPr>
            <w:tcW w:w="2588" w:type="dxa"/>
          </w:tcPr>
          <w:p w14:paraId="63CAE03A" w14:textId="7CAEB2A1" w:rsidR="005E30EF" w:rsidRPr="00BC1153" w:rsidRDefault="005E30EF" w:rsidP="00190084">
            <w:pPr>
              <w:numPr>
                <w:ilvl w:val="0"/>
                <w:numId w:val="106"/>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9D4A7A">
              <w:rPr>
                <w:rFonts w:ascii="Arial" w:hAnsi="Arial" w:cs="Arial"/>
              </w:rPr>
              <w:t>A saving of</w:t>
            </w:r>
            <w:r w:rsidR="00BB06ED">
              <w:rPr>
                <w:rFonts w:ascii="Arial" w:hAnsi="Arial" w:cs="Arial"/>
              </w:rPr>
              <w:t xml:space="preserve"> c.</w:t>
            </w:r>
            <w:r w:rsidRPr="009D4A7A">
              <w:rPr>
                <w:rFonts w:ascii="Arial" w:hAnsi="Arial" w:cs="Arial"/>
              </w:rPr>
              <w:t xml:space="preserve"> £</w:t>
            </w:r>
            <w:r w:rsidR="005A7607">
              <w:rPr>
                <w:rFonts w:ascii="Arial" w:hAnsi="Arial" w:cs="Arial"/>
              </w:rPr>
              <w:t>XXX</w:t>
            </w:r>
            <w:r w:rsidRPr="009D4A7A">
              <w:rPr>
                <w:rFonts w:ascii="Arial" w:hAnsi="Arial" w:cs="Arial"/>
              </w:rPr>
              <w:t>m is demonstrated by benchmarking and assumed as part of the CIP assumptions</w:t>
            </w:r>
          </w:p>
        </w:tc>
        <w:tc>
          <w:tcPr>
            <w:tcW w:w="2395" w:type="dxa"/>
          </w:tcPr>
          <w:p w14:paraId="7908F878" w14:textId="77777777" w:rsidR="005E30EF" w:rsidRPr="00BC1153" w:rsidRDefault="005E30EF" w:rsidP="00190084">
            <w:pPr>
              <w:numPr>
                <w:ilvl w:val="0"/>
                <w:numId w:val="106"/>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C1153">
              <w:rPr>
                <w:rFonts w:ascii="Arial" w:hAnsi="Arial" w:cs="Arial"/>
              </w:rPr>
              <w:t>Benchmarking against PFI trust in similar area</w:t>
            </w:r>
          </w:p>
        </w:tc>
        <w:tc>
          <w:tcPr>
            <w:tcW w:w="3078" w:type="dxa"/>
            <w:shd w:val="clear" w:color="auto" w:fill="E2EFD9"/>
          </w:tcPr>
          <w:p w14:paraId="683106E8" w14:textId="77777777" w:rsidR="005E30EF" w:rsidRPr="00BC1153" w:rsidRDefault="005E30EF" w:rsidP="00BE31A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C1153">
              <w:rPr>
                <w:rFonts w:ascii="Arial" w:hAnsi="Arial" w:cs="Arial"/>
              </w:rPr>
              <w:t>Contingency of 10% is held against the estimates based on benchmark</w:t>
            </w:r>
          </w:p>
        </w:tc>
      </w:tr>
      <w:tr w:rsidR="005E30EF" w:rsidRPr="00BC1153" w14:paraId="1AF83480" w14:textId="77777777" w:rsidTr="008F2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dxa"/>
            <w:vMerge/>
            <w:shd w:val="clear" w:color="auto" w:fill="DEEAF6"/>
          </w:tcPr>
          <w:p w14:paraId="09E26EBA" w14:textId="77777777" w:rsidR="005E30EF" w:rsidRPr="00BC1153" w:rsidRDefault="005E30EF" w:rsidP="00BE31AE">
            <w:pPr>
              <w:rPr>
                <w:rFonts w:ascii="Arial" w:hAnsi="Arial" w:cs="Arial"/>
              </w:rPr>
            </w:pPr>
          </w:p>
        </w:tc>
        <w:tc>
          <w:tcPr>
            <w:tcW w:w="1858" w:type="dxa"/>
          </w:tcPr>
          <w:p w14:paraId="4EBE8599" w14:textId="77777777" w:rsidR="005E30EF" w:rsidRPr="00BC1153" w:rsidRDefault="005E30EF" w:rsidP="00BE31A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Lease costs</w:t>
            </w:r>
          </w:p>
        </w:tc>
        <w:tc>
          <w:tcPr>
            <w:tcW w:w="2588" w:type="dxa"/>
          </w:tcPr>
          <w:p w14:paraId="7E1828FA" w14:textId="2542CDB5" w:rsidR="005E30EF" w:rsidRPr="00BC1153" w:rsidRDefault="005E30EF" w:rsidP="00190084">
            <w:pPr>
              <w:numPr>
                <w:ilvl w:val="0"/>
                <w:numId w:val="107"/>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 xml:space="preserve">A reduction in City Road lease costs </w:t>
            </w:r>
            <w:r w:rsidRPr="00BC1153">
              <w:rPr>
                <w:rFonts w:ascii="Arial" w:hAnsi="Arial" w:cs="Arial"/>
              </w:rPr>
              <w:lastRenderedPageBreak/>
              <w:t>£</w:t>
            </w:r>
            <w:r w:rsidR="005A7607">
              <w:rPr>
                <w:rFonts w:ascii="Arial" w:hAnsi="Arial" w:cs="Arial"/>
              </w:rPr>
              <w:t>XXX</w:t>
            </w:r>
            <w:r w:rsidRPr="00BC1153">
              <w:rPr>
                <w:rFonts w:ascii="Arial" w:hAnsi="Arial" w:cs="Arial"/>
              </w:rPr>
              <w:t xml:space="preserve">m offset by additional lease costs required for some corporate areas </w:t>
            </w:r>
            <w:r w:rsidR="009739BA">
              <w:rPr>
                <w:rFonts w:ascii="Arial" w:hAnsi="Arial" w:cs="Arial"/>
              </w:rPr>
              <w:t>(</w:t>
            </w:r>
            <w:r w:rsidR="005A7607">
              <w:rPr>
                <w:rFonts w:ascii="Arial" w:hAnsi="Arial" w:cs="Arial"/>
              </w:rPr>
              <w:t>£XXX</w:t>
            </w:r>
            <w:r w:rsidRPr="00BC1153">
              <w:rPr>
                <w:rFonts w:ascii="Arial" w:hAnsi="Arial" w:cs="Arial"/>
              </w:rPr>
              <w:t>m)</w:t>
            </w:r>
          </w:p>
          <w:p w14:paraId="7FE8FC52" w14:textId="77777777" w:rsidR="005E30EF" w:rsidRPr="00BC1153" w:rsidRDefault="005E30EF" w:rsidP="00BE31AE">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395" w:type="dxa"/>
          </w:tcPr>
          <w:p w14:paraId="2824DF95" w14:textId="77777777" w:rsidR="005E30EF" w:rsidRPr="00BC1153" w:rsidRDefault="005E30EF" w:rsidP="00190084">
            <w:pPr>
              <w:numPr>
                <w:ilvl w:val="0"/>
                <w:numId w:val="107"/>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lastRenderedPageBreak/>
              <w:t>Current lease costs</w:t>
            </w:r>
          </w:p>
          <w:p w14:paraId="29A23278" w14:textId="77777777" w:rsidR="005E30EF" w:rsidRPr="00BC1153" w:rsidRDefault="005E30EF" w:rsidP="00190084">
            <w:pPr>
              <w:numPr>
                <w:ilvl w:val="0"/>
                <w:numId w:val="107"/>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lastRenderedPageBreak/>
              <w:t>Area required per analysis for corporate transformation programme</w:t>
            </w:r>
          </w:p>
          <w:p w14:paraId="4E76E92E" w14:textId="77777777" w:rsidR="005E30EF" w:rsidRPr="00BC1153" w:rsidRDefault="005E30EF" w:rsidP="00190084">
            <w:pPr>
              <w:numPr>
                <w:ilvl w:val="0"/>
                <w:numId w:val="107"/>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Cost per area based on CBRE benchmarking</w:t>
            </w:r>
          </w:p>
        </w:tc>
        <w:tc>
          <w:tcPr>
            <w:tcW w:w="3078" w:type="dxa"/>
            <w:shd w:val="clear" w:color="auto" w:fill="E2EFD9"/>
          </w:tcPr>
          <w:p w14:paraId="42DC5D68" w14:textId="77777777" w:rsidR="005E30EF" w:rsidRPr="00BC1153" w:rsidRDefault="005E30EF" w:rsidP="00BE31AE">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E30EF" w:rsidRPr="00BC1153" w14:paraId="53340CF4" w14:textId="77777777" w:rsidTr="008F2797">
        <w:tc>
          <w:tcPr>
            <w:cnfStyle w:val="001000000000" w:firstRow="0" w:lastRow="0" w:firstColumn="1" w:lastColumn="0" w:oddVBand="0" w:evenVBand="0" w:oddHBand="0" w:evenHBand="0" w:firstRowFirstColumn="0" w:firstRowLastColumn="0" w:lastRowFirstColumn="0" w:lastRowLastColumn="0"/>
            <w:tcW w:w="482" w:type="dxa"/>
            <w:vMerge w:val="restart"/>
            <w:shd w:val="clear" w:color="auto" w:fill="DEEAF6"/>
            <w:textDirection w:val="btLr"/>
            <w:vAlign w:val="center"/>
          </w:tcPr>
          <w:p w14:paraId="3F02E48C" w14:textId="77777777" w:rsidR="005E30EF" w:rsidRPr="00BC1153" w:rsidRDefault="005E30EF" w:rsidP="00BE31AE">
            <w:pPr>
              <w:ind w:left="113" w:right="113"/>
              <w:jc w:val="center"/>
              <w:rPr>
                <w:rFonts w:ascii="Arial" w:hAnsi="Arial" w:cs="Arial"/>
              </w:rPr>
            </w:pPr>
            <w:r w:rsidRPr="00BC1153">
              <w:rPr>
                <w:rFonts w:ascii="Arial" w:hAnsi="Arial" w:cs="Arial"/>
              </w:rPr>
              <w:t>Transaction specific</w:t>
            </w:r>
          </w:p>
        </w:tc>
        <w:tc>
          <w:tcPr>
            <w:tcW w:w="1858" w:type="dxa"/>
          </w:tcPr>
          <w:p w14:paraId="6D06A4BA" w14:textId="77777777" w:rsidR="005E30EF" w:rsidRPr="00BC1153" w:rsidRDefault="005E30EF" w:rsidP="00BE31A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C1153">
              <w:rPr>
                <w:rFonts w:ascii="Arial" w:hAnsi="Arial" w:cs="Arial"/>
              </w:rPr>
              <w:t>Transitional costs</w:t>
            </w:r>
          </w:p>
        </w:tc>
        <w:tc>
          <w:tcPr>
            <w:tcW w:w="2588" w:type="dxa"/>
          </w:tcPr>
          <w:p w14:paraId="62943C49" w14:textId="0EDA5F57" w:rsidR="005E30EF" w:rsidRPr="00FF6E56" w:rsidRDefault="005E30EF" w:rsidP="00BE31AE">
            <w:pPr>
              <w:numPr>
                <w:ilvl w:val="0"/>
                <w:numId w:val="108"/>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C1153">
              <w:rPr>
                <w:rFonts w:ascii="Arial" w:hAnsi="Arial" w:cs="Arial"/>
              </w:rPr>
              <w:t>£</w:t>
            </w:r>
            <w:r w:rsidR="005A7607">
              <w:rPr>
                <w:rFonts w:ascii="Arial" w:hAnsi="Arial" w:cs="Arial"/>
              </w:rPr>
              <w:t>XXX</w:t>
            </w:r>
            <w:r w:rsidRPr="00BC1153">
              <w:rPr>
                <w:rFonts w:ascii="Arial" w:hAnsi="Arial" w:cs="Arial"/>
              </w:rPr>
              <w:t>m of transitional costs have been assumed in FY26 to FY28 to cover: double running, move costs, IT, accessibility improvements, loss of income over move period</w:t>
            </w:r>
          </w:p>
        </w:tc>
        <w:tc>
          <w:tcPr>
            <w:tcW w:w="2395" w:type="dxa"/>
          </w:tcPr>
          <w:p w14:paraId="6BD9A438" w14:textId="77777777" w:rsidR="005E30EF" w:rsidRPr="00BC1153" w:rsidRDefault="005E30EF" w:rsidP="00190084">
            <w:pPr>
              <w:numPr>
                <w:ilvl w:val="0"/>
                <w:numId w:val="108"/>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C1153">
              <w:rPr>
                <w:rFonts w:ascii="Arial" w:hAnsi="Arial" w:cs="Arial"/>
              </w:rPr>
              <w:t>Estimates based on programme – a full programme for the transitional period to be worked up for FBC</w:t>
            </w:r>
          </w:p>
        </w:tc>
        <w:tc>
          <w:tcPr>
            <w:tcW w:w="3078" w:type="dxa"/>
            <w:shd w:val="clear" w:color="auto" w:fill="E2EFD9"/>
          </w:tcPr>
          <w:p w14:paraId="177DE12C" w14:textId="6A884420" w:rsidR="005E30EF" w:rsidRPr="00BC1153" w:rsidRDefault="005E30EF" w:rsidP="00FB730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C1153">
              <w:rPr>
                <w:rFonts w:ascii="Arial" w:hAnsi="Arial" w:cs="Arial"/>
              </w:rPr>
              <w:t>There is a risk that costs could be greater but this is assumed to be covered by contingency against current estimates (i.e. included within the £</w:t>
            </w:r>
            <w:r w:rsidR="005A7607">
              <w:rPr>
                <w:rFonts w:ascii="Arial" w:hAnsi="Arial" w:cs="Arial"/>
              </w:rPr>
              <w:t>XXX</w:t>
            </w:r>
            <w:r w:rsidRPr="00BC1153">
              <w:rPr>
                <w:rFonts w:ascii="Arial" w:hAnsi="Arial" w:cs="Arial"/>
              </w:rPr>
              <w:t>m)</w:t>
            </w:r>
          </w:p>
        </w:tc>
      </w:tr>
      <w:tr w:rsidR="005E30EF" w:rsidRPr="00BC1153" w14:paraId="58F2C509" w14:textId="77777777" w:rsidTr="008F2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dxa"/>
            <w:vMerge/>
            <w:shd w:val="clear" w:color="auto" w:fill="DEEAF6"/>
          </w:tcPr>
          <w:p w14:paraId="0EE1E0C8" w14:textId="77777777" w:rsidR="005E30EF" w:rsidRPr="00BC1153" w:rsidRDefault="005E30EF" w:rsidP="00BE31AE">
            <w:pPr>
              <w:rPr>
                <w:rFonts w:ascii="Arial" w:hAnsi="Arial" w:cs="Arial"/>
              </w:rPr>
            </w:pPr>
          </w:p>
        </w:tc>
        <w:tc>
          <w:tcPr>
            <w:tcW w:w="1858" w:type="dxa"/>
          </w:tcPr>
          <w:p w14:paraId="0A7920F7" w14:textId="77777777" w:rsidR="005E30EF" w:rsidRPr="00BC1153" w:rsidRDefault="005E30EF" w:rsidP="00BE31A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Project costs</w:t>
            </w:r>
          </w:p>
        </w:tc>
        <w:tc>
          <w:tcPr>
            <w:tcW w:w="2588" w:type="dxa"/>
          </w:tcPr>
          <w:p w14:paraId="63F26212" w14:textId="08AA7052" w:rsidR="005E30EF" w:rsidRPr="00BC1153" w:rsidRDefault="005E30EF" w:rsidP="00190084">
            <w:pPr>
              <w:numPr>
                <w:ilvl w:val="0"/>
                <w:numId w:val="10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Current project costs run up to FBC submission and then reduce to £</w:t>
            </w:r>
            <w:r w:rsidR="0084544B">
              <w:rPr>
                <w:rFonts w:ascii="Arial" w:hAnsi="Arial" w:cs="Arial"/>
              </w:rPr>
              <w:t>XXX</w:t>
            </w:r>
            <w:r w:rsidRPr="00BC1153">
              <w:rPr>
                <w:rFonts w:ascii="Arial" w:hAnsi="Arial" w:cs="Arial"/>
              </w:rPr>
              <w:t xml:space="preserve">m per year to FY25 to support </w:t>
            </w:r>
            <w:r>
              <w:rPr>
                <w:rFonts w:ascii="Arial" w:hAnsi="Arial" w:cs="Arial"/>
              </w:rPr>
              <w:t>t</w:t>
            </w:r>
            <w:r w:rsidRPr="00BC1153">
              <w:rPr>
                <w:rFonts w:ascii="Arial" w:hAnsi="Arial" w:cs="Arial"/>
              </w:rPr>
              <w:t>he necessary transformation programme.</w:t>
            </w:r>
          </w:p>
        </w:tc>
        <w:tc>
          <w:tcPr>
            <w:tcW w:w="2395" w:type="dxa"/>
          </w:tcPr>
          <w:p w14:paraId="64A92B2C" w14:textId="77777777" w:rsidR="005E30EF" w:rsidRPr="00BC1153" w:rsidRDefault="005E30EF" w:rsidP="00190084">
            <w:pPr>
              <w:numPr>
                <w:ilvl w:val="0"/>
                <w:numId w:val="10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Estimate based on budget to FBC and assumptions about post FBC period.</w:t>
            </w:r>
          </w:p>
        </w:tc>
        <w:tc>
          <w:tcPr>
            <w:tcW w:w="3078" w:type="dxa"/>
            <w:shd w:val="clear" w:color="auto" w:fill="E2EFD9"/>
          </w:tcPr>
          <w:p w14:paraId="48EA20A2" w14:textId="77777777" w:rsidR="005E30EF" w:rsidRPr="00BC1153" w:rsidRDefault="005E30EF" w:rsidP="00BE31AE">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E30EF" w:rsidRPr="00BC1153" w14:paraId="1297E709" w14:textId="77777777" w:rsidTr="008F2797">
        <w:tc>
          <w:tcPr>
            <w:cnfStyle w:val="001000000000" w:firstRow="0" w:lastRow="0" w:firstColumn="1" w:lastColumn="0" w:oddVBand="0" w:evenVBand="0" w:oddHBand="0" w:evenHBand="0" w:firstRowFirstColumn="0" w:firstRowLastColumn="0" w:lastRowFirstColumn="0" w:lastRowLastColumn="0"/>
            <w:tcW w:w="482" w:type="dxa"/>
            <w:vMerge/>
            <w:shd w:val="clear" w:color="auto" w:fill="DEEAF6"/>
          </w:tcPr>
          <w:p w14:paraId="747DD078" w14:textId="77777777" w:rsidR="005E30EF" w:rsidRPr="00BC1153" w:rsidRDefault="005E30EF" w:rsidP="00BE31AE">
            <w:pPr>
              <w:rPr>
                <w:rFonts w:ascii="Arial" w:hAnsi="Arial" w:cs="Arial"/>
              </w:rPr>
            </w:pPr>
          </w:p>
        </w:tc>
        <w:tc>
          <w:tcPr>
            <w:tcW w:w="1858" w:type="dxa"/>
          </w:tcPr>
          <w:p w14:paraId="19B38282" w14:textId="77777777" w:rsidR="005E30EF" w:rsidRPr="00BC1153" w:rsidRDefault="005E30EF" w:rsidP="00BE31A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C1153">
              <w:rPr>
                <w:rFonts w:ascii="Arial" w:hAnsi="Arial" w:cs="Arial"/>
              </w:rPr>
              <w:t>Impairment</w:t>
            </w:r>
          </w:p>
        </w:tc>
        <w:tc>
          <w:tcPr>
            <w:tcW w:w="2588" w:type="dxa"/>
          </w:tcPr>
          <w:p w14:paraId="16A272E5" w14:textId="77777777" w:rsidR="005E30EF" w:rsidRPr="00BC1153" w:rsidRDefault="005E30EF" w:rsidP="00190084">
            <w:pPr>
              <w:numPr>
                <w:ilvl w:val="0"/>
                <w:numId w:val="111"/>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C1153">
              <w:rPr>
                <w:rFonts w:ascii="Arial" w:hAnsi="Arial" w:cs="Arial"/>
              </w:rPr>
              <w:t>An impairment on the value of the new facility is assumed at 25% - this has an impact on PDC and depreciation</w:t>
            </w:r>
          </w:p>
        </w:tc>
        <w:tc>
          <w:tcPr>
            <w:tcW w:w="2395" w:type="dxa"/>
          </w:tcPr>
          <w:p w14:paraId="49017FB4" w14:textId="08D20786" w:rsidR="005E30EF" w:rsidRPr="00FF6E56" w:rsidRDefault="00BB06ED" w:rsidP="00BE31AE">
            <w:pPr>
              <w:numPr>
                <w:ilvl w:val="0"/>
                <w:numId w:val="110"/>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w:t>
            </w:r>
            <w:r w:rsidR="005E30EF" w:rsidRPr="00BC1153">
              <w:rPr>
                <w:rFonts w:ascii="Arial" w:hAnsi="Arial" w:cs="Arial"/>
              </w:rPr>
              <w:t>ssumption based on previous projects and aligned to contingency/OB level</w:t>
            </w:r>
          </w:p>
        </w:tc>
        <w:tc>
          <w:tcPr>
            <w:tcW w:w="3078" w:type="dxa"/>
            <w:shd w:val="clear" w:color="auto" w:fill="E2EFD9"/>
          </w:tcPr>
          <w:p w14:paraId="598D08D0" w14:textId="77777777" w:rsidR="005E30EF" w:rsidRPr="00BC1153" w:rsidRDefault="005E30EF" w:rsidP="00BE31AE">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E30EF" w:rsidRPr="00BC1153" w14:paraId="322E3FF5" w14:textId="77777777" w:rsidTr="008F27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dxa"/>
            <w:shd w:val="clear" w:color="auto" w:fill="DEEAF6"/>
            <w:textDirection w:val="btLr"/>
            <w:vAlign w:val="center"/>
          </w:tcPr>
          <w:p w14:paraId="68870515" w14:textId="77777777" w:rsidR="005E30EF" w:rsidRPr="00BC1153" w:rsidRDefault="005E30EF" w:rsidP="00BE31AE">
            <w:pPr>
              <w:ind w:left="113" w:right="113"/>
              <w:jc w:val="center"/>
              <w:rPr>
                <w:rFonts w:ascii="Arial" w:hAnsi="Arial" w:cs="Arial"/>
              </w:rPr>
            </w:pPr>
            <w:r w:rsidRPr="00BC1153">
              <w:rPr>
                <w:rFonts w:ascii="Arial" w:hAnsi="Arial" w:cs="Arial"/>
              </w:rPr>
              <w:t>Generic risk</w:t>
            </w:r>
          </w:p>
        </w:tc>
        <w:tc>
          <w:tcPr>
            <w:tcW w:w="1858" w:type="dxa"/>
          </w:tcPr>
          <w:p w14:paraId="1EDAD50A" w14:textId="77777777" w:rsidR="005E30EF" w:rsidRPr="00BC1153" w:rsidRDefault="005E30EF" w:rsidP="00BE31A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Cost pressure reserve</w:t>
            </w:r>
          </w:p>
        </w:tc>
        <w:tc>
          <w:tcPr>
            <w:tcW w:w="2588" w:type="dxa"/>
          </w:tcPr>
          <w:p w14:paraId="4C2BB560" w14:textId="5C4ECEF5" w:rsidR="005E30EF" w:rsidRPr="00BC1153" w:rsidRDefault="005E30EF" w:rsidP="00190084">
            <w:pPr>
              <w:numPr>
                <w:ilvl w:val="0"/>
                <w:numId w:val="110"/>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A reserve for cost pressures at £</w:t>
            </w:r>
            <w:r w:rsidR="0084544B">
              <w:rPr>
                <w:rFonts w:ascii="Arial" w:hAnsi="Arial" w:cs="Arial"/>
              </w:rPr>
              <w:t>XXX</w:t>
            </w:r>
            <w:r w:rsidRPr="00BC1153">
              <w:rPr>
                <w:rFonts w:ascii="Arial" w:hAnsi="Arial" w:cs="Arial"/>
              </w:rPr>
              <w:t>m p.a. to F</w:t>
            </w:r>
            <w:r w:rsidR="00BB06ED">
              <w:rPr>
                <w:rFonts w:ascii="Arial" w:hAnsi="Arial" w:cs="Arial"/>
              </w:rPr>
              <w:t>Y24 rising to £</w:t>
            </w:r>
            <w:r w:rsidR="0084544B">
              <w:rPr>
                <w:rFonts w:ascii="Arial" w:hAnsi="Arial" w:cs="Arial"/>
              </w:rPr>
              <w:t>XXX</w:t>
            </w:r>
            <w:r w:rsidR="00BB06ED">
              <w:rPr>
                <w:rFonts w:ascii="Arial" w:hAnsi="Arial" w:cs="Arial"/>
              </w:rPr>
              <w:t>m p.a. to FY29</w:t>
            </w:r>
            <w:r w:rsidRPr="00BC1153">
              <w:rPr>
                <w:rFonts w:ascii="Arial" w:hAnsi="Arial" w:cs="Arial"/>
              </w:rPr>
              <w:t>.</w:t>
            </w:r>
          </w:p>
          <w:p w14:paraId="7A2C1A2C" w14:textId="70C0EFE5" w:rsidR="005E30EF" w:rsidRPr="00BC1153" w:rsidRDefault="005E30EF" w:rsidP="00FF6E56">
            <w:pPr>
              <w:numPr>
                <w:ilvl w:val="0"/>
                <w:numId w:val="110"/>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 xml:space="preserve">This is to cover additional business as usual investment required e.g. </w:t>
            </w:r>
            <w:r w:rsidR="009739BA" w:rsidRPr="00BC1153">
              <w:rPr>
                <w:rFonts w:ascii="Arial" w:hAnsi="Arial" w:cs="Arial"/>
              </w:rPr>
              <w:t xml:space="preserve">to </w:t>
            </w:r>
            <w:r w:rsidRPr="00BC1153">
              <w:rPr>
                <w:rFonts w:ascii="Arial" w:hAnsi="Arial" w:cs="Arial"/>
              </w:rPr>
              <w:t>address new regulatory requirements and/or to remain competitive in the future market</w:t>
            </w:r>
          </w:p>
        </w:tc>
        <w:tc>
          <w:tcPr>
            <w:tcW w:w="2395" w:type="dxa"/>
          </w:tcPr>
          <w:p w14:paraId="08F50565" w14:textId="566680C4" w:rsidR="005E30EF" w:rsidRPr="00BC1153" w:rsidRDefault="005E30EF" w:rsidP="00190084">
            <w:pPr>
              <w:numPr>
                <w:ilvl w:val="0"/>
                <w:numId w:val="110"/>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 xml:space="preserve">Cost pressures in </w:t>
            </w:r>
            <w:r>
              <w:rPr>
                <w:rFonts w:ascii="Arial" w:hAnsi="Arial" w:cs="Arial"/>
              </w:rPr>
              <w:t>FY20</w:t>
            </w:r>
            <w:r w:rsidRPr="00BC1153">
              <w:rPr>
                <w:rFonts w:ascii="Arial" w:hAnsi="Arial" w:cs="Arial"/>
              </w:rPr>
              <w:t xml:space="preserve"> were £</w:t>
            </w:r>
            <w:r w:rsidR="0084544B">
              <w:rPr>
                <w:rFonts w:ascii="Arial" w:hAnsi="Arial" w:cs="Arial"/>
              </w:rPr>
              <w:t>XXX</w:t>
            </w:r>
            <w:r w:rsidRPr="00BC1153">
              <w:rPr>
                <w:rFonts w:ascii="Arial" w:hAnsi="Arial" w:cs="Arial"/>
              </w:rPr>
              <w:t>m</w:t>
            </w:r>
          </w:p>
        </w:tc>
        <w:tc>
          <w:tcPr>
            <w:tcW w:w="3078" w:type="dxa"/>
          </w:tcPr>
          <w:p w14:paraId="3ADCAD76" w14:textId="77777777" w:rsidR="005E30EF" w:rsidRPr="00BC1153" w:rsidRDefault="005E30EF" w:rsidP="00BE31A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These cost reserves are together held to cover the risk of additional costs, including the key risks highlighted above.</w:t>
            </w:r>
          </w:p>
          <w:p w14:paraId="3EF7636E" w14:textId="77777777" w:rsidR="005E30EF" w:rsidRPr="00BC1153" w:rsidRDefault="005E30EF" w:rsidP="00BE31AE">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33AE4B74" w14:textId="77777777" w:rsidR="005E30EF" w:rsidRDefault="005E30EF" w:rsidP="00BE31AE">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C1153">
              <w:rPr>
                <w:rFonts w:ascii="Arial" w:hAnsi="Arial" w:cs="Arial"/>
              </w:rPr>
              <w:t xml:space="preserve">In addition this will cover the revenue implications of capital risks.  </w:t>
            </w:r>
            <w:r>
              <w:rPr>
                <w:rFonts w:ascii="Arial" w:hAnsi="Arial" w:cs="Arial"/>
              </w:rPr>
              <w:t>These are set out in section 6.3.</w:t>
            </w:r>
            <w:r w:rsidRPr="009D4A7A">
              <w:rPr>
                <w:rFonts w:ascii="Arial" w:hAnsi="Arial" w:cs="Arial"/>
              </w:rPr>
              <w:t xml:space="preserve">2.  </w:t>
            </w:r>
          </w:p>
          <w:p w14:paraId="40916879" w14:textId="77777777" w:rsidR="005E30EF" w:rsidRDefault="005E30EF" w:rsidP="00BE31AE">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2561C0CD" w14:textId="77777777" w:rsidR="005E30EF" w:rsidRPr="00BC1153" w:rsidRDefault="005E30EF" w:rsidP="00BE31AE">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The overall sufficiency of these reserves is tested in the sensitivity analysis in section 6.5.</w:t>
            </w:r>
          </w:p>
        </w:tc>
      </w:tr>
    </w:tbl>
    <w:p w14:paraId="3358586C" w14:textId="77777777" w:rsidR="005E30EF" w:rsidRDefault="005E30EF" w:rsidP="005E30EF">
      <w:pPr>
        <w:pBdr>
          <w:top w:val="nil"/>
          <w:left w:val="nil"/>
          <w:bottom w:val="nil"/>
          <w:right w:val="nil"/>
          <w:between w:val="nil"/>
        </w:pBdr>
        <w:tabs>
          <w:tab w:val="left" w:pos="567"/>
        </w:tabs>
        <w:rPr>
          <w:rFonts w:ascii="Arial" w:eastAsia="Arial" w:hAnsi="Arial" w:cs="Arial"/>
          <w:bCs/>
          <w:color w:val="000000"/>
          <w:highlight w:val="yellow"/>
        </w:rPr>
      </w:pPr>
    </w:p>
    <w:p w14:paraId="5A0D2FC2" w14:textId="77777777" w:rsidR="0057327F" w:rsidRDefault="0057327F">
      <w:pPr>
        <w:rPr>
          <w:rFonts w:ascii="Arial" w:eastAsia="Arial" w:hAnsi="Arial" w:cs="Arial"/>
          <w:b/>
          <w:bCs/>
          <w:color w:val="000000"/>
        </w:rPr>
      </w:pPr>
      <w:bookmarkStart w:id="311" w:name="_Ref30433395"/>
      <w:r>
        <w:rPr>
          <w:rFonts w:ascii="Arial" w:eastAsia="Arial" w:hAnsi="Arial" w:cs="Arial"/>
          <w:b/>
          <w:bCs/>
          <w:color w:val="000000"/>
        </w:rPr>
        <w:lastRenderedPageBreak/>
        <w:br w:type="page"/>
      </w:r>
    </w:p>
    <w:p w14:paraId="5F44E679" w14:textId="6CD59DA2" w:rsidR="005E30EF" w:rsidRPr="00282224" w:rsidRDefault="005E30EF" w:rsidP="005E0D57">
      <w:pPr>
        <w:pStyle w:val="ListParagraph"/>
        <w:numPr>
          <w:ilvl w:val="2"/>
          <w:numId w:val="1"/>
        </w:numPr>
        <w:pBdr>
          <w:top w:val="nil"/>
          <w:left w:val="nil"/>
          <w:bottom w:val="nil"/>
          <w:right w:val="nil"/>
          <w:between w:val="nil"/>
        </w:pBdr>
        <w:tabs>
          <w:tab w:val="left" w:pos="567"/>
        </w:tabs>
        <w:rPr>
          <w:rFonts w:ascii="Arial" w:eastAsia="Arial" w:hAnsi="Arial" w:cs="Arial"/>
          <w:b/>
          <w:bCs/>
          <w:color w:val="000000"/>
        </w:rPr>
      </w:pPr>
      <w:r w:rsidRPr="00282224">
        <w:rPr>
          <w:rFonts w:ascii="Arial" w:eastAsia="Arial" w:hAnsi="Arial" w:cs="Arial"/>
          <w:b/>
          <w:bCs/>
          <w:color w:val="000000"/>
        </w:rPr>
        <w:lastRenderedPageBreak/>
        <w:t>Capital</w:t>
      </w:r>
      <w:bookmarkEnd w:id="311"/>
    </w:p>
    <w:p w14:paraId="714A957B" w14:textId="77777777" w:rsidR="005E30EF" w:rsidRPr="00282224" w:rsidRDefault="005E30EF" w:rsidP="005E30EF">
      <w:pPr>
        <w:pBdr>
          <w:top w:val="nil"/>
          <w:left w:val="nil"/>
          <w:bottom w:val="nil"/>
          <w:right w:val="nil"/>
          <w:between w:val="nil"/>
        </w:pBdr>
        <w:tabs>
          <w:tab w:val="left" w:pos="567"/>
        </w:tabs>
        <w:rPr>
          <w:rFonts w:ascii="Arial" w:eastAsia="Arial" w:hAnsi="Arial" w:cs="Arial"/>
          <w:b/>
          <w:bCs/>
          <w:color w:val="000000"/>
        </w:rPr>
      </w:pPr>
      <w:r w:rsidRPr="00282224">
        <w:rPr>
          <w:rFonts w:ascii="Arial" w:eastAsia="Arial" w:hAnsi="Arial" w:cs="Arial"/>
          <w:b/>
          <w:bCs/>
          <w:color w:val="000000"/>
        </w:rPr>
        <w:t>Overview</w:t>
      </w:r>
    </w:p>
    <w:p w14:paraId="54A2B159" w14:textId="0271FD2A" w:rsidR="00AF7894" w:rsidRDefault="00AF7894" w:rsidP="00AF7894">
      <w:pPr>
        <w:pStyle w:val="Caption"/>
      </w:pPr>
      <w:r>
        <w:t xml:space="preserve">Figure </w:t>
      </w:r>
      <w:r w:rsidR="00320059">
        <w:fldChar w:fldCharType="begin"/>
      </w:r>
      <w:r w:rsidR="00320059">
        <w:instrText xml:space="preserve"> SEQ Figure \* ARABIC </w:instrText>
      </w:r>
      <w:r w:rsidR="00320059">
        <w:fldChar w:fldCharType="separate"/>
      </w:r>
      <w:r w:rsidR="00A936CD">
        <w:rPr>
          <w:noProof/>
        </w:rPr>
        <w:t>16</w:t>
      </w:r>
      <w:r w:rsidR="00320059">
        <w:fldChar w:fldCharType="end"/>
      </w:r>
      <w:r>
        <w:t xml:space="preserve">: </w:t>
      </w:r>
      <w:r>
        <w:rPr>
          <w:b w:val="0"/>
          <w:bCs w:val="0"/>
        </w:rPr>
        <w:t>S</w:t>
      </w:r>
      <w:r w:rsidRPr="00FE40FA">
        <w:rPr>
          <w:b w:val="0"/>
          <w:bCs w:val="0"/>
        </w:rPr>
        <w:t>ummary of the sources and application of capital funding</w:t>
      </w:r>
    </w:p>
    <w:p w14:paraId="4F32E123" w14:textId="3566D165" w:rsidR="005E30EF" w:rsidRDefault="005E30EF" w:rsidP="005E30EF">
      <w:pPr>
        <w:pBdr>
          <w:top w:val="nil"/>
          <w:left w:val="nil"/>
          <w:bottom w:val="nil"/>
          <w:right w:val="nil"/>
          <w:between w:val="nil"/>
        </w:pBdr>
        <w:tabs>
          <w:tab w:val="left" w:pos="567"/>
        </w:tabs>
        <w:rPr>
          <w:rFonts w:ascii="Arial" w:eastAsia="Arial" w:hAnsi="Arial" w:cs="Arial"/>
          <w:bCs/>
          <w:color w:val="000000"/>
        </w:rPr>
      </w:pPr>
    </w:p>
    <w:p w14:paraId="11E042BB" w14:textId="481854E2" w:rsidR="0084544B" w:rsidRPr="004F4B79" w:rsidRDefault="0084544B" w:rsidP="005E30EF">
      <w:p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[Redacted]</w:t>
      </w:r>
    </w:p>
    <w:p w14:paraId="6DF3EBF4" w14:textId="20CC9160" w:rsidR="005E30EF" w:rsidRPr="00237844" w:rsidRDefault="00B84265" w:rsidP="00190084">
      <w:pPr>
        <w:pStyle w:val="ListParagraph"/>
        <w:numPr>
          <w:ilvl w:val="0"/>
          <w:numId w:val="123"/>
        </w:numPr>
        <w:spacing w:after="160" w:line="259" w:lineRule="auto"/>
        <w:rPr>
          <w:rFonts w:ascii="Arial" w:hAnsi="Arial" w:cs="Arial"/>
          <w:b/>
        </w:rPr>
      </w:pPr>
      <w:r>
        <w:rPr>
          <w:rFonts w:ascii="Arial" w:hAnsi="Arial" w:cs="Arial"/>
        </w:rPr>
        <w:t>Land purchase of £</w:t>
      </w:r>
      <w:r w:rsidR="0084544B">
        <w:rPr>
          <w:rFonts w:ascii="Arial" w:hAnsi="Arial" w:cs="Arial"/>
        </w:rPr>
        <w:t>XXX</w:t>
      </w:r>
      <w:r w:rsidR="005E30EF" w:rsidRPr="00237844">
        <w:rPr>
          <w:rFonts w:ascii="Arial" w:hAnsi="Arial" w:cs="Arial"/>
        </w:rPr>
        <w:t xml:space="preserve">m for 2 acres of St Pancras site.  This is showing the </w:t>
      </w:r>
      <w:r w:rsidR="009739BA">
        <w:rPr>
          <w:rFonts w:ascii="Arial" w:hAnsi="Arial" w:cs="Arial"/>
        </w:rPr>
        <w:t>total £</w:t>
      </w:r>
      <w:r w:rsidR="0084544B">
        <w:rPr>
          <w:rFonts w:ascii="Arial" w:hAnsi="Arial" w:cs="Arial"/>
        </w:rPr>
        <w:t>XXX</w:t>
      </w:r>
      <w:r w:rsidR="009739BA">
        <w:rPr>
          <w:rFonts w:ascii="Arial" w:hAnsi="Arial" w:cs="Arial"/>
        </w:rPr>
        <w:t xml:space="preserve">m cost, </w:t>
      </w:r>
      <w:r w:rsidR="005E30EF" w:rsidRPr="00237844">
        <w:rPr>
          <w:rFonts w:ascii="Arial" w:hAnsi="Arial" w:cs="Arial"/>
        </w:rPr>
        <w:t>net of the UCL contribution of £10m</w:t>
      </w:r>
      <w:r w:rsidR="00BB06ED">
        <w:rPr>
          <w:rFonts w:ascii="Arial" w:hAnsi="Arial" w:cs="Arial"/>
        </w:rPr>
        <w:t>, and including Stamp Duty Land Tax at 5%.</w:t>
      </w:r>
    </w:p>
    <w:p w14:paraId="41AFF397" w14:textId="19ACCCFC" w:rsidR="005E30EF" w:rsidRPr="00237844" w:rsidRDefault="005E30EF" w:rsidP="00190084">
      <w:pPr>
        <w:pStyle w:val="ListParagraph"/>
        <w:numPr>
          <w:ilvl w:val="0"/>
          <w:numId w:val="123"/>
        </w:numPr>
        <w:spacing w:after="160" w:line="259" w:lineRule="auto"/>
        <w:rPr>
          <w:rFonts w:ascii="Arial" w:hAnsi="Arial" w:cs="Arial"/>
          <w:b/>
        </w:rPr>
      </w:pPr>
      <w:r w:rsidRPr="00237844">
        <w:rPr>
          <w:rFonts w:ascii="Arial" w:hAnsi="Arial" w:cs="Arial"/>
        </w:rPr>
        <w:t>Design and construction costs based on RIBA stage 1 costs assessed by Gardiner and Theobald (</w:t>
      </w:r>
      <w:r w:rsidR="00BB06ED">
        <w:rPr>
          <w:rFonts w:ascii="Arial" w:hAnsi="Arial" w:cs="Arial"/>
        </w:rPr>
        <w:t xml:space="preserve">Cost Consultants / </w:t>
      </w:r>
      <w:r w:rsidRPr="00237844">
        <w:rPr>
          <w:rFonts w:ascii="Arial" w:hAnsi="Arial" w:cs="Arial"/>
        </w:rPr>
        <w:t>Q</w:t>
      </w:r>
      <w:r w:rsidR="00BB06ED">
        <w:rPr>
          <w:rFonts w:ascii="Arial" w:hAnsi="Arial" w:cs="Arial"/>
        </w:rPr>
        <w:t>uantity Surveyors</w:t>
      </w:r>
      <w:r w:rsidRPr="00237844">
        <w:rPr>
          <w:rFonts w:ascii="Arial" w:hAnsi="Arial" w:cs="Arial"/>
        </w:rPr>
        <w:t>)</w:t>
      </w:r>
      <w:r w:rsidR="00AF7894">
        <w:rPr>
          <w:rFonts w:ascii="Arial" w:hAnsi="Arial" w:cs="Arial"/>
        </w:rPr>
        <w:t>.</w:t>
      </w:r>
    </w:p>
    <w:p w14:paraId="1620BCC1" w14:textId="62F1C0A7" w:rsidR="005E30EF" w:rsidRPr="00237844" w:rsidRDefault="005E30EF" w:rsidP="00190084">
      <w:pPr>
        <w:pStyle w:val="ListParagraph"/>
        <w:numPr>
          <w:ilvl w:val="0"/>
          <w:numId w:val="123"/>
        </w:numPr>
        <w:spacing w:after="160" w:line="259" w:lineRule="auto"/>
        <w:rPr>
          <w:rFonts w:ascii="Arial" w:hAnsi="Arial" w:cs="Arial"/>
          <w:b/>
        </w:rPr>
      </w:pPr>
      <w:r w:rsidRPr="00237844">
        <w:rPr>
          <w:rFonts w:ascii="Arial" w:hAnsi="Arial" w:cs="Arial"/>
        </w:rPr>
        <w:t>City road proceeds based on the mid-point of the valuation estimate from CBRE</w:t>
      </w:r>
      <w:r w:rsidR="00BB06ED">
        <w:rPr>
          <w:rFonts w:ascii="Arial" w:hAnsi="Arial" w:cs="Arial"/>
        </w:rPr>
        <w:t xml:space="preserve"> (£</w:t>
      </w:r>
      <w:r w:rsidR="0084544B">
        <w:rPr>
          <w:rFonts w:ascii="Arial" w:hAnsi="Arial" w:cs="Arial"/>
        </w:rPr>
        <w:t>XXX</w:t>
      </w:r>
      <w:r w:rsidR="00BB06ED">
        <w:rPr>
          <w:rFonts w:ascii="Arial" w:hAnsi="Arial" w:cs="Arial"/>
        </w:rPr>
        <w:t>m in total)</w:t>
      </w:r>
      <w:r w:rsidRPr="00237844">
        <w:rPr>
          <w:rFonts w:ascii="Arial" w:hAnsi="Arial" w:cs="Arial"/>
        </w:rPr>
        <w:t xml:space="preserve">, split between </w:t>
      </w:r>
      <w:r w:rsidR="00267569">
        <w:rPr>
          <w:rFonts w:ascii="Arial" w:hAnsi="Arial" w:cs="Arial"/>
        </w:rPr>
        <w:t>Moorfields</w:t>
      </w:r>
      <w:r w:rsidR="00267569" w:rsidRPr="00715BA4">
        <w:rPr>
          <w:rFonts w:ascii="Arial" w:hAnsi="Arial" w:cs="Arial"/>
        </w:rPr>
        <w:t xml:space="preserve"> </w:t>
      </w:r>
      <w:r w:rsidRPr="00237844">
        <w:rPr>
          <w:rFonts w:ascii="Arial" w:hAnsi="Arial" w:cs="Arial"/>
        </w:rPr>
        <w:t>and UCL on the basis of an expert determination</w:t>
      </w:r>
      <w:r w:rsidR="00AF7894">
        <w:rPr>
          <w:rFonts w:ascii="Arial" w:hAnsi="Arial" w:cs="Arial"/>
        </w:rPr>
        <w:t>.</w:t>
      </w:r>
    </w:p>
    <w:p w14:paraId="00F5E3E0" w14:textId="6F78AA05" w:rsidR="005E30EF" w:rsidRPr="00237844" w:rsidRDefault="005E30EF" w:rsidP="00190084">
      <w:pPr>
        <w:pStyle w:val="ListParagraph"/>
        <w:numPr>
          <w:ilvl w:val="0"/>
          <w:numId w:val="123"/>
        </w:numPr>
        <w:spacing w:after="160" w:line="259" w:lineRule="auto"/>
        <w:rPr>
          <w:rFonts w:ascii="Arial" w:hAnsi="Arial" w:cs="Arial"/>
          <w:b/>
        </w:rPr>
      </w:pPr>
      <w:r w:rsidRPr="00237844">
        <w:rPr>
          <w:rFonts w:ascii="Arial" w:hAnsi="Arial" w:cs="Arial"/>
        </w:rPr>
        <w:t>Charitable donations of £</w:t>
      </w:r>
      <w:r w:rsidR="0084544B">
        <w:rPr>
          <w:rFonts w:ascii="Arial" w:hAnsi="Arial" w:cs="Arial"/>
        </w:rPr>
        <w:t>XXX</w:t>
      </w:r>
      <w:r w:rsidRPr="00237844">
        <w:rPr>
          <w:rFonts w:ascii="Arial" w:hAnsi="Arial" w:cs="Arial"/>
        </w:rPr>
        <w:t>m – over 50% of this has already been committed to by donors</w:t>
      </w:r>
      <w:r w:rsidR="00AF7894">
        <w:rPr>
          <w:rFonts w:ascii="Arial" w:hAnsi="Arial" w:cs="Arial"/>
        </w:rPr>
        <w:t>.</w:t>
      </w:r>
      <w:r w:rsidR="009C09B9">
        <w:rPr>
          <w:rFonts w:ascii="Arial" w:hAnsi="Arial" w:cs="Arial"/>
        </w:rPr>
        <w:t xml:space="preserve">  Further </w:t>
      </w:r>
      <w:r w:rsidR="00064AA9">
        <w:rPr>
          <w:rFonts w:ascii="Arial" w:hAnsi="Arial" w:cs="Arial"/>
        </w:rPr>
        <w:t>detail is set out in Appendix 6B</w:t>
      </w:r>
      <w:r w:rsidR="009C09B9">
        <w:rPr>
          <w:rFonts w:ascii="Arial" w:hAnsi="Arial" w:cs="Arial"/>
        </w:rPr>
        <w:t>.</w:t>
      </w:r>
    </w:p>
    <w:p w14:paraId="7433BED8" w14:textId="031F7C7A" w:rsidR="005E30EF" w:rsidRPr="00237844" w:rsidRDefault="005E30EF" w:rsidP="00190084">
      <w:pPr>
        <w:pStyle w:val="ListParagraph"/>
        <w:numPr>
          <w:ilvl w:val="0"/>
          <w:numId w:val="123"/>
        </w:numPr>
        <w:spacing w:after="160" w:line="259" w:lineRule="auto"/>
        <w:rPr>
          <w:rFonts w:ascii="Arial" w:hAnsi="Arial" w:cs="Arial"/>
          <w:b/>
        </w:rPr>
      </w:pPr>
      <w:r w:rsidRPr="00237844">
        <w:rPr>
          <w:rFonts w:ascii="Arial" w:hAnsi="Arial" w:cs="Arial"/>
        </w:rPr>
        <w:t>£</w:t>
      </w:r>
      <w:r w:rsidR="0084544B">
        <w:rPr>
          <w:rFonts w:ascii="Arial" w:hAnsi="Arial" w:cs="Arial"/>
        </w:rPr>
        <w:t>XXX</w:t>
      </w:r>
      <w:r w:rsidRPr="00237844">
        <w:rPr>
          <w:rFonts w:ascii="Arial" w:hAnsi="Arial" w:cs="Arial"/>
        </w:rPr>
        <w:t>m of STP/PDC funding – approved by DHSC as part of Phase 4 capital bids</w:t>
      </w:r>
      <w:r w:rsidR="00AF7894">
        <w:rPr>
          <w:rFonts w:ascii="Arial" w:hAnsi="Arial" w:cs="Arial"/>
        </w:rPr>
        <w:t>.</w:t>
      </w:r>
    </w:p>
    <w:p w14:paraId="002D66B3" w14:textId="69F71522" w:rsidR="005E30EF" w:rsidRPr="00237844" w:rsidRDefault="00BB06ED" w:rsidP="00190084">
      <w:pPr>
        <w:pStyle w:val="ListParagraph"/>
        <w:numPr>
          <w:ilvl w:val="0"/>
          <w:numId w:val="123"/>
        </w:numPr>
        <w:spacing w:after="160" w:line="259" w:lineRule="auto"/>
        <w:rPr>
          <w:rFonts w:ascii="Arial" w:hAnsi="Arial" w:cs="Arial"/>
          <w:b/>
        </w:rPr>
      </w:pPr>
      <w:r>
        <w:rPr>
          <w:rFonts w:ascii="Arial" w:hAnsi="Arial" w:cs="Arial"/>
        </w:rPr>
        <w:t>£</w:t>
      </w:r>
      <w:r w:rsidR="0084544B">
        <w:rPr>
          <w:rFonts w:ascii="Arial" w:hAnsi="Arial" w:cs="Arial"/>
        </w:rPr>
        <w:t>XXX</w:t>
      </w:r>
      <w:r w:rsidR="005E30EF" w:rsidRPr="00237844">
        <w:rPr>
          <w:rFonts w:ascii="Arial" w:hAnsi="Arial" w:cs="Arial"/>
        </w:rPr>
        <w:t xml:space="preserve">m of </w:t>
      </w:r>
      <w:r w:rsidR="00267569">
        <w:rPr>
          <w:rFonts w:ascii="Arial" w:hAnsi="Arial" w:cs="Arial"/>
        </w:rPr>
        <w:t>Moorfields</w:t>
      </w:r>
      <w:r w:rsidR="00267569" w:rsidRPr="00715BA4">
        <w:rPr>
          <w:rFonts w:ascii="Arial" w:hAnsi="Arial" w:cs="Arial"/>
        </w:rPr>
        <w:t xml:space="preserve"> </w:t>
      </w:r>
      <w:r w:rsidR="005E30EF" w:rsidRPr="00237844">
        <w:rPr>
          <w:rFonts w:ascii="Arial" w:hAnsi="Arial" w:cs="Arial"/>
        </w:rPr>
        <w:t xml:space="preserve">cash – as set out in the previous section, the cash balance remains positive throughout the period to FY30, and NHSI’s liquidity risk rating only falls below a ‘2’ in one year - due to the impact on </w:t>
      </w:r>
      <w:r w:rsidR="005E30EF">
        <w:rPr>
          <w:rFonts w:ascii="Arial" w:hAnsi="Arial" w:cs="Arial"/>
        </w:rPr>
        <w:t xml:space="preserve">net </w:t>
      </w:r>
      <w:r w:rsidR="005E30EF" w:rsidRPr="00237844">
        <w:rPr>
          <w:rFonts w:ascii="Arial" w:hAnsi="Arial" w:cs="Arial"/>
        </w:rPr>
        <w:t>current assets of the bridging loan in FY26</w:t>
      </w:r>
      <w:r w:rsidR="005E30EF">
        <w:rPr>
          <w:rFonts w:ascii="Arial" w:hAnsi="Arial" w:cs="Arial"/>
        </w:rPr>
        <w:t>.</w:t>
      </w:r>
    </w:p>
    <w:p w14:paraId="68C99434" w14:textId="756365BC" w:rsidR="005E30EF" w:rsidRPr="00AF7894" w:rsidRDefault="00AF7894" w:rsidP="005E30EF">
      <w:pPr>
        <w:spacing w:after="160" w:line="259" w:lineRule="auto"/>
        <w:jc w:val="both"/>
        <w:rPr>
          <w:rFonts w:ascii="Arial" w:hAnsi="Arial" w:cs="Arial"/>
        </w:rPr>
      </w:pPr>
      <w:r w:rsidRPr="00AF7894">
        <w:rPr>
          <w:rFonts w:ascii="Arial" w:hAnsi="Arial" w:cs="Arial"/>
        </w:rPr>
        <w:fldChar w:fldCharType="begin"/>
      </w:r>
      <w:r w:rsidRPr="00AF7894">
        <w:rPr>
          <w:rFonts w:ascii="Arial" w:hAnsi="Arial" w:cs="Arial"/>
        </w:rPr>
        <w:instrText xml:space="preserve"> REF _Ref30433617 \h </w:instrText>
      </w:r>
      <w:r>
        <w:rPr>
          <w:rFonts w:ascii="Arial" w:hAnsi="Arial" w:cs="Arial"/>
        </w:rPr>
        <w:instrText xml:space="preserve"> \* MERGEFORMAT </w:instrText>
      </w:r>
      <w:r w:rsidRPr="00AF7894">
        <w:rPr>
          <w:rFonts w:ascii="Arial" w:hAnsi="Arial" w:cs="Arial"/>
        </w:rPr>
      </w:r>
      <w:r w:rsidRPr="00AF7894">
        <w:rPr>
          <w:rFonts w:ascii="Arial" w:hAnsi="Arial" w:cs="Arial"/>
        </w:rPr>
        <w:fldChar w:fldCharType="separate"/>
      </w:r>
      <w:r w:rsidR="00A936CD" w:rsidRPr="00A936CD">
        <w:rPr>
          <w:rFonts w:ascii="Arial" w:hAnsi="Arial" w:cs="Arial"/>
        </w:rPr>
        <w:t xml:space="preserve">Table </w:t>
      </w:r>
      <w:r w:rsidR="00A936CD" w:rsidRPr="00A936CD">
        <w:rPr>
          <w:rFonts w:ascii="Arial" w:hAnsi="Arial" w:cs="Arial"/>
          <w:noProof/>
        </w:rPr>
        <w:t>29</w:t>
      </w:r>
      <w:r w:rsidRPr="00AF7894">
        <w:rPr>
          <w:rFonts w:ascii="Arial" w:hAnsi="Arial" w:cs="Arial"/>
        </w:rPr>
        <w:fldChar w:fldCharType="end"/>
      </w:r>
      <w:r w:rsidRPr="00AF7894">
        <w:rPr>
          <w:rFonts w:ascii="Arial" w:hAnsi="Arial" w:cs="Arial"/>
        </w:rPr>
        <w:t xml:space="preserve"> </w:t>
      </w:r>
      <w:r w:rsidR="005E30EF" w:rsidRPr="00AF7894">
        <w:rPr>
          <w:rFonts w:ascii="Arial" w:hAnsi="Arial" w:cs="Arial"/>
        </w:rPr>
        <w:t>analyses the summary above in terms of the annual impact.</w:t>
      </w:r>
    </w:p>
    <w:p w14:paraId="7FA7296A" w14:textId="5E98D19C" w:rsidR="00AF7894" w:rsidRDefault="00AF7894" w:rsidP="00AF7894">
      <w:pPr>
        <w:pStyle w:val="Caption"/>
      </w:pPr>
      <w:bookmarkStart w:id="312" w:name="_Ref30433617"/>
      <w:r>
        <w:t xml:space="preserve">Table </w:t>
      </w:r>
      <w:r>
        <w:fldChar w:fldCharType="begin"/>
      </w:r>
      <w:r>
        <w:instrText xml:space="preserve"> SEQ Table \* ARABIC </w:instrText>
      </w:r>
      <w:r>
        <w:fldChar w:fldCharType="separate"/>
      </w:r>
      <w:r w:rsidR="00A936CD">
        <w:rPr>
          <w:noProof/>
        </w:rPr>
        <w:t>29</w:t>
      </w:r>
      <w:r>
        <w:fldChar w:fldCharType="end"/>
      </w:r>
      <w:bookmarkEnd w:id="312"/>
      <w:r>
        <w:t xml:space="preserve">: </w:t>
      </w:r>
      <w:r w:rsidRPr="000473F7">
        <w:rPr>
          <w:b w:val="0"/>
          <w:bCs w:val="0"/>
        </w:rPr>
        <w:t>Annual cash flows – sources and applications of capital funding</w:t>
      </w:r>
    </w:p>
    <w:p w14:paraId="06E2C9FD" w14:textId="4B49AA8B" w:rsidR="005E30EF" w:rsidRDefault="005E30EF" w:rsidP="00494792">
      <w:pPr>
        <w:pBdr>
          <w:top w:val="nil"/>
          <w:left w:val="nil"/>
          <w:bottom w:val="nil"/>
          <w:right w:val="nil"/>
          <w:between w:val="nil"/>
        </w:pBdr>
        <w:tabs>
          <w:tab w:val="left" w:pos="567"/>
        </w:tabs>
        <w:rPr>
          <w:rFonts w:ascii="Arial" w:eastAsia="Arial" w:hAnsi="Arial" w:cs="Arial"/>
          <w:bCs/>
          <w:color w:val="000000"/>
        </w:rPr>
      </w:pPr>
    </w:p>
    <w:p w14:paraId="5E2277D4" w14:textId="069F55B7" w:rsidR="0084544B" w:rsidRPr="0011342D" w:rsidRDefault="0084544B" w:rsidP="00494792">
      <w:p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[Redacted=</w:t>
      </w:r>
    </w:p>
    <w:p w14:paraId="456B907A" w14:textId="38202CD8" w:rsidR="005E30EF" w:rsidRPr="00237844" w:rsidRDefault="005E30EF" w:rsidP="00190084">
      <w:pPr>
        <w:pStyle w:val="ListParagraph"/>
        <w:numPr>
          <w:ilvl w:val="0"/>
          <w:numId w:val="124"/>
        </w:numPr>
        <w:spacing w:after="160" w:line="259" w:lineRule="auto"/>
        <w:rPr>
          <w:rFonts w:ascii="Arial" w:hAnsi="Arial" w:cs="Arial"/>
        </w:rPr>
      </w:pPr>
      <w:r w:rsidRPr="00237844">
        <w:rPr>
          <w:rFonts w:ascii="Arial" w:hAnsi="Arial" w:cs="Arial"/>
        </w:rPr>
        <w:t xml:space="preserve">City road proceeds assumed as </w:t>
      </w:r>
      <w:r w:rsidR="0084544B">
        <w:rPr>
          <w:rFonts w:ascii="Arial" w:hAnsi="Arial" w:cs="Arial"/>
        </w:rPr>
        <w:t>[Redacted]</w:t>
      </w:r>
    </w:p>
    <w:p w14:paraId="4A92808C" w14:textId="759BAC45" w:rsidR="005E30EF" w:rsidRPr="00237844" w:rsidRDefault="005E30EF" w:rsidP="00190084">
      <w:pPr>
        <w:pStyle w:val="ListParagraph"/>
        <w:numPr>
          <w:ilvl w:val="0"/>
          <w:numId w:val="124"/>
        </w:numPr>
        <w:spacing w:after="160" w:line="259" w:lineRule="auto"/>
        <w:rPr>
          <w:rFonts w:ascii="Arial" w:hAnsi="Arial" w:cs="Arial"/>
        </w:rPr>
      </w:pPr>
      <w:r w:rsidRPr="00237844">
        <w:rPr>
          <w:rFonts w:ascii="Arial" w:hAnsi="Arial" w:cs="Arial"/>
        </w:rPr>
        <w:t xml:space="preserve">Charitable donation phasing based on </w:t>
      </w:r>
      <w:r>
        <w:rPr>
          <w:rFonts w:ascii="Arial" w:hAnsi="Arial" w:cs="Arial"/>
        </w:rPr>
        <w:t xml:space="preserve">MEC </w:t>
      </w:r>
      <w:r w:rsidRPr="00237844">
        <w:rPr>
          <w:rFonts w:ascii="Arial" w:hAnsi="Arial" w:cs="Arial"/>
        </w:rPr>
        <w:t>assumption that funding will be received around key milestones towards the end of construction and opening of facility</w:t>
      </w:r>
      <w:r w:rsidR="00AF7894">
        <w:rPr>
          <w:rFonts w:ascii="Arial" w:hAnsi="Arial" w:cs="Arial"/>
        </w:rPr>
        <w:t>.</w:t>
      </w:r>
      <w:r w:rsidR="00BB06ED">
        <w:rPr>
          <w:rFonts w:ascii="Arial" w:hAnsi="Arial" w:cs="Arial"/>
        </w:rPr>
        <w:t xml:space="preserve">  This will be determined in detail with donors after FBC approval.</w:t>
      </w:r>
    </w:p>
    <w:p w14:paraId="715A47BC" w14:textId="73FE270E" w:rsidR="005E30EF" w:rsidRPr="00237844" w:rsidRDefault="005E30EF" w:rsidP="00190084">
      <w:pPr>
        <w:pStyle w:val="ListParagraph"/>
        <w:numPr>
          <w:ilvl w:val="0"/>
          <w:numId w:val="124"/>
        </w:numPr>
        <w:spacing w:after="160" w:line="259" w:lineRule="auto"/>
        <w:rPr>
          <w:rFonts w:ascii="Arial" w:hAnsi="Arial" w:cs="Arial"/>
        </w:rPr>
      </w:pPr>
      <w:r w:rsidRPr="00237844">
        <w:rPr>
          <w:rFonts w:ascii="Arial" w:hAnsi="Arial" w:cs="Arial"/>
        </w:rPr>
        <w:t>STP funds cannot be drawn down prior to FBC approval or prior to need – they therefore begin in FY23 when the initial cash received from City Road sale has been utilised</w:t>
      </w:r>
      <w:r w:rsidR="00AF7894">
        <w:rPr>
          <w:rFonts w:ascii="Arial" w:hAnsi="Arial" w:cs="Arial"/>
        </w:rPr>
        <w:t>.</w:t>
      </w:r>
    </w:p>
    <w:p w14:paraId="2F7EDF13" w14:textId="45653090" w:rsidR="005E30EF" w:rsidRPr="00237844" w:rsidRDefault="005E30EF" w:rsidP="00190084">
      <w:pPr>
        <w:pStyle w:val="ListParagraph"/>
        <w:numPr>
          <w:ilvl w:val="0"/>
          <w:numId w:val="124"/>
        </w:numPr>
        <w:spacing w:after="160" w:line="259" w:lineRule="auto"/>
        <w:rPr>
          <w:rFonts w:ascii="Arial" w:hAnsi="Arial" w:cs="Arial"/>
        </w:rPr>
      </w:pPr>
      <w:r w:rsidRPr="00237844">
        <w:rPr>
          <w:rFonts w:ascii="Arial" w:hAnsi="Arial" w:cs="Arial"/>
        </w:rPr>
        <w:t>The bridging loan is assumed to be drawn down in one instalment – a significant proportion is therefore ahead of need (£</w:t>
      </w:r>
      <w:r w:rsidR="0084544B">
        <w:rPr>
          <w:rFonts w:ascii="Arial" w:hAnsi="Arial" w:cs="Arial"/>
        </w:rPr>
        <w:t>XXX</w:t>
      </w:r>
      <w:r w:rsidRPr="00237844">
        <w:rPr>
          <w:rFonts w:ascii="Arial" w:hAnsi="Arial" w:cs="Arial"/>
        </w:rPr>
        <w:t xml:space="preserve">m at the end of FY25).  </w:t>
      </w:r>
    </w:p>
    <w:p w14:paraId="12315584" w14:textId="77777777" w:rsidR="0058157E" w:rsidRDefault="0058157E" w:rsidP="005E30EF">
      <w:pPr>
        <w:rPr>
          <w:rFonts w:ascii="Arial" w:hAnsi="Arial" w:cs="Arial"/>
          <w:b/>
        </w:rPr>
      </w:pPr>
    </w:p>
    <w:p w14:paraId="5AEF372C" w14:textId="77777777" w:rsidR="0058157E" w:rsidRDefault="0058157E" w:rsidP="005E30EF">
      <w:pPr>
        <w:rPr>
          <w:rFonts w:ascii="Arial" w:hAnsi="Arial" w:cs="Arial"/>
          <w:b/>
        </w:rPr>
      </w:pPr>
    </w:p>
    <w:p w14:paraId="56B58D81" w14:textId="77777777" w:rsidR="0058157E" w:rsidRDefault="0058157E" w:rsidP="005E30EF">
      <w:pPr>
        <w:rPr>
          <w:rFonts w:ascii="Arial" w:hAnsi="Arial" w:cs="Arial"/>
          <w:b/>
        </w:rPr>
      </w:pPr>
    </w:p>
    <w:p w14:paraId="1AAE9231" w14:textId="77777777" w:rsidR="0058157E" w:rsidRDefault="0058157E" w:rsidP="005E30EF">
      <w:pPr>
        <w:rPr>
          <w:rFonts w:ascii="Arial" w:hAnsi="Arial" w:cs="Arial"/>
          <w:b/>
        </w:rPr>
      </w:pPr>
    </w:p>
    <w:p w14:paraId="30742839" w14:textId="77777777" w:rsidR="0058157E" w:rsidRDefault="0058157E" w:rsidP="005E30EF">
      <w:pPr>
        <w:rPr>
          <w:rFonts w:ascii="Arial" w:hAnsi="Arial" w:cs="Arial"/>
          <w:b/>
        </w:rPr>
      </w:pPr>
    </w:p>
    <w:p w14:paraId="3F706618" w14:textId="77777777" w:rsidR="0058157E" w:rsidRDefault="0058157E" w:rsidP="005E30EF">
      <w:pPr>
        <w:rPr>
          <w:rFonts w:ascii="Arial" w:hAnsi="Arial" w:cs="Arial"/>
          <w:b/>
        </w:rPr>
      </w:pPr>
    </w:p>
    <w:p w14:paraId="4BDD0DF3" w14:textId="77777777" w:rsidR="0058157E" w:rsidRDefault="0058157E" w:rsidP="005E30EF">
      <w:pPr>
        <w:rPr>
          <w:rFonts w:ascii="Arial" w:hAnsi="Arial" w:cs="Arial"/>
          <w:b/>
        </w:rPr>
      </w:pPr>
    </w:p>
    <w:p w14:paraId="35451B19" w14:textId="77777777" w:rsidR="0057327F" w:rsidRDefault="0057327F">
      <w:pPr>
        <w:rPr>
          <w:rFonts w:ascii="Arial" w:hAnsi="Arial" w:cs="Arial"/>
          <w:b/>
        </w:rPr>
      </w:pPr>
      <w:r>
        <w:rPr>
          <w:rFonts w:ascii="Arial" w:hAnsi="Arial" w:cs="Arial"/>
          <w:b/>
        </w:rPr>
        <w:br w:type="page"/>
      </w:r>
    </w:p>
    <w:p w14:paraId="181667E4" w14:textId="5AE599AB" w:rsidR="005E30EF" w:rsidRDefault="005E30EF" w:rsidP="005E30EF">
      <w:pPr>
        <w:rPr>
          <w:rFonts w:ascii="Arial" w:hAnsi="Arial" w:cs="Arial"/>
          <w:b/>
        </w:rPr>
      </w:pPr>
      <w:r w:rsidRPr="00282224">
        <w:rPr>
          <w:rFonts w:ascii="Arial" w:hAnsi="Arial" w:cs="Arial"/>
          <w:b/>
        </w:rPr>
        <w:lastRenderedPageBreak/>
        <w:t xml:space="preserve">Key </w:t>
      </w:r>
      <w:r>
        <w:rPr>
          <w:rFonts w:ascii="Arial" w:hAnsi="Arial" w:cs="Arial"/>
          <w:b/>
        </w:rPr>
        <w:t>capital</w:t>
      </w:r>
      <w:r w:rsidRPr="00282224">
        <w:rPr>
          <w:rFonts w:ascii="Arial" w:hAnsi="Arial" w:cs="Arial"/>
          <w:b/>
        </w:rPr>
        <w:t xml:space="preserve"> assumptions, evidence and risk</w:t>
      </w:r>
    </w:p>
    <w:tbl>
      <w:tblPr>
        <w:tblStyle w:val="PlainTable12"/>
        <w:tblW w:w="10490" w:type="dxa"/>
        <w:tblInd w:w="-601" w:type="dxa"/>
        <w:tblLook w:val="04A0" w:firstRow="1" w:lastRow="0" w:firstColumn="1" w:lastColumn="0" w:noHBand="0" w:noVBand="1"/>
      </w:tblPr>
      <w:tblGrid>
        <w:gridCol w:w="663"/>
        <w:gridCol w:w="1635"/>
        <w:gridCol w:w="2488"/>
        <w:gridCol w:w="2069"/>
        <w:gridCol w:w="3635"/>
      </w:tblGrid>
      <w:tr w:rsidR="005E30EF" w:rsidRPr="00563A71" w14:paraId="3DFB76C1" w14:textId="77777777" w:rsidTr="00FF6E5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3" w:type="dxa"/>
            <w:shd w:val="clear" w:color="auto" w:fill="4F81BD"/>
          </w:tcPr>
          <w:p w14:paraId="2E9C58E4" w14:textId="77777777" w:rsidR="005E30EF" w:rsidRPr="00563A71" w:rsidRDefault="005E30EF" w:rsidP="00FF6E56">
            <w:pPr>
              <w:spacing w:line="259" w:lineRule="auto"/>
              <w:rPr>
                <w:rFonts w:ascii="Arial" w:hAnsi="Arial" w:cs="Arial"/>
              </w:rPr>
            </w:pPr>
          </w:p>
        </w:tc>
        <w:tc>
          <w:tcPr>
            <w:tcW w:w="1635" w:type="dxa"/>
            <w:shd w:val="clear" w:color="auto" w:fill="4F81BD"/>
          </w:tcPr>
          <w:p w14:paraId="3F0AEC1C" w14:textId="77777777" w:rsidR="005E30EF" w:rsidRPr="0025490F" w:rsidRDefault="005E30EF" w:rsidP="00FF6E56">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5490F">
              <w:rPr>
                <w:rFonts w:ascii="Arial" w:hAnsi="Arial" w:cs="Arial"/>
                <w:color w:val="FFFFFF" w:themeColor="background1"/>
              </w:rPr>
              <w:t>Item</w:t>
            </w:r>
          </w:p>
        </w:tc>
        <w:tc>
          <w:tcPr>
            <w:tcW w:w="2488" w:type="dxa"/>
            <w:shd w:val="clear" w:color="auto" w:fill="4F81BD"/>
          </w:tcPr>
          <w:p w14:paraId="2110BA60" w14:textId="77777777" w:rsidR="005E30EF" w:rsidRPr="0025490F" w:rsidRDefault="005E30EF" w:rsidP="00FF6E56">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5490F">
              <w:rPr>
                <w:rFonts w:ascii="Arial" w:hAnsi="Arial" w:cs="Arial"/>
                <w:color w:val="FFFFFF" w:themeColor="background1"/>
              </w:rPr>
              <w:t>Key assumption</w:t>
            </w:r>
          </w:p>
        </w:tc>
        <w:tc>
          <w:tcPr>
            <w:tcW w:w="2069" w:type="dxa"/>
            <w:shd w:val="clear" w:color="auto" w:fill="4F81BD"/>
          </w:tcPr>
          <w:p w14:paraId="19CAC44D" w14:textId="77777777" w:rsidR="005E30EF" w:rsidRPr="0025490F" w:rsidRDefault="005E30EF" w:rsidP="00FF6E56">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5490F">
              <w:rPr>
                <w:rFonts w:ascii="Arial" w:hAnsi="Arial" w:cs="Arial"/>
                <w:color w:val="FFFFFF" w:themeColor="background1"/>
              </w:rPr>
              <w:t>Supporting evidence</w:t>
            </w:r>
          </w:p>
        </w:tc>
        <w:tc>
          <w:tcPr>
            <w:tcW w:w="3635" w:type="dxa"/>
            <w:shd w:val="clear" w:color="auto" w:fill="4F81BD"/>
          </w:tcPr>
          <w:p w14:paraId="12D98622" w14:textId="77777777" w:rsidR="005E30EF" w:rsidRPr="0025490F" w:rsidRDefault="005E30EF" w:rsidP="00FF6E56">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5490F">
              <w:rPr>
                <w:rFonts w:ascii="Arial" w:hAnsi="Arial" w:cs="Arial"/>
                <w:color w:val="FFFFFF" w:themeColor="background1"/>
              </w:rPr>
              <w:t>Risk/Certainty</w:t>
            </w:r>
          </w:p>
        </w:tc>
      </w:tr>
      <w:tr w:rsidR="005E30EF" w:rsidRPr="00563A71" w14:paraId="37D0750B" w14:textId="77777777" w:rsidTr="00FF6E5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663" w:type="dxa"/>
            <w:shd w:val="clear" w:color="auto" w:fill="BDD6EE"/>
            <w:textDirection w:val="btLr"/>
            <w:vAlign w:val="center"/>
          </w:tcPr>
          <w:p w14:paraId="7307B0FD" w14:textId="77777777" w:rsidR="005E30EF" w:rsidRPr="00563A71" w:rsidRDefault="005E30EF" w:rsidP="00BE31AE">
            <w:pPr>
              <w:spacing w:after="160" w:line="259" w:lineRule="auto"/>
              <w:ind w:left="113" w:right="113"/>
              <w:jc w:val="center"/>
              <w:rPr>
                <w:rFonts w:ascii="Arial" w:hAnsi="Arial" w:cs="Arial"/>
              </w:rPr>
            </w:pPr>
            <w:r w:rsidRPr="00563A71">
              <w:rPr>
                <w:rFonts w:ascii="Arial" w:hAnsi="Arial" w:cs="Arial"/>
              </w:rPr>
              <w:t>BAU</w:t>
            </w:r>
          </w:p>
        </w:tc>
        <w:tc>
          <w:tcPr>
            <w:tcW w:w="1635" w:type="dxa"/>
          </w:tcPr>
          <w:p w14:paraId="091DC2D0" w14:textId="77777777" w:rsidR="005E30EF" w:rsidRPr="00563A71" w:rsidRDefault="005E30EF" w:rsidP="00BE31AE">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63A71">
              <w:rPr>
                <w:rFonts w:ascii="Arial" w:hAnsi="Arial" w:cs="Arial"/>
              </w:rPr>
              <w:t>BAU capital</w:t>
            </w:r>
          </w:p>
        </w:tc>
        <w:tc>
          <w:tcPr>
            <w:tcW w:w="2488" w:type="dxa"/>
          </w:tcPr>
          <w:p w14:paraId="55C7646D" w14:textId="5604D2D6" w:rsidR="005E30EF" w:rsidRPr="00563A71" w:rsidRDefault="005E30EF" w:rsidP="00190084">
            <w:pPr>
              <w:numPr>
                <w:ilvl w:val="0"/>
                <w:numId w:val="112"/>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63A71">
              <w:rPr>
                <w:rFonts w:ascii="Arial" w:hAnsi="Arial" w:cs="Arial"/>
              </w:rPr>
              <w:t>Capex assumed to require c. £</w:t>
            </w:r>
            <w:r w:rsidR="0084544B">
              <w:rPr>
                <w:rFonts w:ascii="Arial" w:hAnsi="Arial" w:cs="Arial"/>
              </w:rPr>
              <w:t>XXX</w:t>
            </w:r>
            <w:r w:rsidRPr="00563A71">
              <w:rPr>
                <w:rFonts w:ascii="Arial" w:hAnsi="Arial" w:cs="Arial"/>
              </w:rPr>
              <w:t>m per annum in normal circumstances</w:t>
            </w:r>
          </w:p>
          <w:p w14:paraId="5D6492A5" w14:textId="1219435F" w:rsidR="005E30EF" w:rsidRPr="00563A71" w:rsidRDefault="005E30EF" w:rsidP="006B30A3">
            <w:pPr>
              <w:numPr>
                <w:ilvl w:val="0"/>
                <w:numId w:val="112"/>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63A71">
              <w:rPr>
                <w:rFonts w:ascii="Arial" w:hAnsi="Arial" w:cs="Arial"/>
              </w:rPr>
              <w:t>In the two years prior to opening the new facility, the assumption is that it will be possible to reduce capex to c. £</w:t>
            </w:r>
            <w:r w:rsidR="0084544B">
              <w:rPr>
                <w:rFonts w:ascii="Arial" w:hAnsi="Arial" w:cs="Arial"/>
              </w:rPr>
              <w:t>XXX</w:t>
            </w:r>
            <w:r w:rsidR="006B30A3">
              <w:rPr>
                <w:rFonts w:ascii="Arial" w:hAnsi="Arial" w:cs="Arial"/>
              </w:rPr>
              <w:t>m.</w:t>
            </w:r>
            <w:r w:rsidRPr="00563A71">
              <w:rPr>
                <w:rFonts w:ascii="Arial" w:hAnsi="Arial" w:cs="Arial"/>
              </w:rPr>
              <w:t xml:space="preserve"> </w:t>
            </w:r>
          </w:p>
        </w:tc>
        <w:tc>
          <w:tcPr>
            <w:tcW w:w="2069" w:type="dxa"/>
          </w:tcPr>
          <w:p w14:paraId="765AB71A" w14:textId="77777777" w:rsidR="005E30EF" w:rsidRPr="00563A71" w:rsidRDefault="005E30EF" w:rsidP="00190084">
            <w:pPr>
              <w:numPr>
                <w:ilvl w:val="0"/>
                <w:numId w:val="9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Underlying h</w:t>
            </w:r>
            <w:r w:rsidRPr="00563A71">
              <w:rPr>
                <w:rFonts w:ascii="Arial" w:hAnsi="Arial" w:cs="Arial"/>
              </w:rPr>
              <w:t>istorical trend</w:t>
            </w:r>
          </w:p>
        </w:tc>
        <w:tc>
          <w:tcPr>
            <w:tcW w:w="3635" w:type="dxa"/>
            <w:shd w:val="clear" w:color="auto" w:fill="E2EFD9"/>
          </w:tcPr>
          <w:p w14:paraId="112F679E" w14:textId="77777777" w:rsidR="005E30EF" w:rsidRDefault="005E30EF" w:rsidP="00BE31AE">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63A71">
              <w:rPr>
                <w:rFonts w:ascii="Arial" w:hAnsi="Arial" w:cs="Arial"/>
              </w:rPr>
              <w:t>Operational risk will need to be managed with respect to maintenance during this transition period</w:t>
            </w:r>
          </w:p>
          <w:p w14:paraId="62A6E5F3" w14:textId="64AFDFAA" w:rsidR="005E30EF" w:rsidRPr="00563A71" w:rsidRDefault="005E30EF" w:rsidP="006B30A3">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BAU capex levels for network sites are m</w:t>
            </w:r>
            <w:r w:rsidR="006B30A3">
              <w:rPr>
                <w:rFonts w:ascii="Arial" w:hAnsi="Arial" w:cs="Arial"/>
              </w:rPr>
              <w:t>aintained throughout the period.</w:t>
            </w:r>
          </w:p>
        </w:tc>
      </w:tr>
      <w:tr w:rsidR="00FF6E56" w:rsidRPr="00563A71" w14:paraId="2C06D67F" w14:textId="77777777" w:rsidTr="00FF6E56">
        <w:trPr>
          <w:cantSplit/>
          <w:trHeight w:val="648"/>
        </w:trPr>
        <w:tc>
          <w:tcPr>
            <w:cnfStyle w:val="001000000000" w:firstRow="0" w:lastRow="0" w:firstColumn="1" w:lastColumn="0" w:oddVBand="0" w:evenVBand="0" w:oddHBand="0" w:evenHBand="0" w:firstRowFirstColumn="0" w:firstRowLastColumn="0" w:lastRowFirstColumn="0" w:lastRowLastColumn="0"/>
            <w:tcW w:w="663" w:type="dxa"/>
            <w:vMerge w:val="restart"/>
            <w:shd w:val="clear" w:color="auto" w:fill="BDD6EE"/>
            <w:textDirection w:val="btLr"/>
            <w:vAlign w:val="center"/>
          </w:tcPr>
          <w:p w14:paraId="5326F1B3" w14:textId="77777777" w:rsidR="00FF6E56" w:rsidRPr="00563A71" w:rsidRDefault="00FF6E56" w:rsidP="00BE31AE">
            <w:pPr>
              <w:spacing w:after="160" w:line="259" w:lineRule="auto"/>
              <w:ind w:left="113" w:right="113"/>
              <w:jc w:val="center"/>
              <w:rPr>
                <w:rFonts w:ascii="Arial" w:hAnsi="Arial" w:cs="Arial"/>
              </w:rPr>
            </w:pPr>
            <w:r w:rsidRPr="00563A71">
              <w:rPr>
                <w:rFonts w:ascii="Arial" w:hAnsi="Arial" w:cs="Arial"/>
              </w:rPr>
              <w:t>Build Costs</w:t>
            </w:r>
          </w:p>
        </w:tc>
        <w:tc>
          <w:tcPr>
            <w:tcW w:w="1635" w:type="dxa"/>
          </w:tcPr>
          <w:p w14:paraId="18133D8A" w14:textId="77777777" w:rsidR="00FF6E56" w:rsidRPr="00563A71" w:rsidRDefault="00FF6E56" w:rsidP="00BE31AE">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563A71">
              <w:rPr>
                <w:rFonts w:ascii="Arial" w:hAnsi="Arial" w:cs="Arial"/>
              </w:rPr>
              <w:t>Land</w:t>
            </w:r>
          </w:p>
        </w:tc>
        <w:tc>
          <w:tcPr>
            <w:tcW w:w="2488" w:type="dxa"/>
          </w:tcPr>
          <w:p w14:paraId="352CA4FC" w14:textId="673054E4" w:rsidR="00FF6E56" w:rsidRPr="00563A71" w:rsidRDefault="006B30A3" w:rsidP="00190084">
            <w:pPr>
              <w:numPr>
                <w:ilvl w:val="0"/>
                <w:numId w:val="9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r w:rsidR="0084544B">
              <w:rPr>
                <w:rFonts w:ascii="Arial" w:hAnsi="Arial" w:cs="Arial"/>
              </w:rPr>
              <w:t>XXX</w:t>
            </w:r>
            <w:r w:rsidR="00FF6E56" w:rsidRPr="00563A71">
              <w:rPr>
                <w:rFonts w:ascii="Arial" w:hAnsi="Arial" w:cs="Arial"/>
              </w:rPr>
              <w:t>m cost of land shown net of UCL contribution of £</w:t>
            </w:r>
            <w:r w:rsidR="0084544B">
              <w:rPr>
                <w:rFonts w:ascii="Arial" w:hAnsi="Arial" w:cs="Arial"/>
              </w:rPr>
              <w:t>XXX</w:t>
            </w:r>
            <w:r w:rsidR="00FF6E56" w:rsidRPr="00563A71">
              <w:rPr>
                <w:rFonts w:ascii="Arial" w:hAnsi="Arial" w:cs="Arial"/>
              </w:rPr>
              <w:t>m</w:t>
            </w:r>
            <w:r>
              <w:rPr>
                <w:rFonts w:ascii="Arial" w:hAnsi="Arial" w:cs="Arial"/>
              </w:rPr>
              <w:t xml:space="preserve"> (and including £</w:t>
            </w:r>
            <w:r w:rsidR="0084544B">
              <w:rPr>
                <w:rFonts w:ascii="Arial" w:hAnsi="Arial" w:cs="Arial"/>
              </w:rPr>
              <w:t>XXX</w:t>
            </w:r>
            <w:r>
              <w:rPr>
                <w:rFonts w:ascii="Arial" w:hAnsi="Arial" w:cs="Arial"/>
              </w:rPr>
              <w:t>m for Stamp Duty Land Tax</w:t>
            </w:r>
          </w:p>
        </w:tc>
        <w:tc>
          <w:tcPr>
            <w:tcW w:w="2069" w:type="dxa"/>
          </w:tcPr>
          <w:p w14:paraId="0F5826E0" w14:textId="4BD1AA74" w:rsidR="00FF6E56" w:rsidRPr="009739BA" w:rsidRDefault="00FF6E56" w:rsidP="00190084">
            <w:pPr>
              <w:numPr>
                <w:ilvl w:val="0"/>
                <w:numId w:val="9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63A71">
              <w:rPr>
                <w:rFonts w:ascii="Arial" w:hAnsi="Arial" w:cs="Arial"/>
              </w:rPr>
              <w:t>Agreed price with C&amp;I</w:t>
            </w:r>
            <w:r>
              <w:rPr>
                <w:rFonts w:ascii="Arial" w:hAnsi="Arial" w:cs="Arial"/>
              </w:rPr>
              <w:t>, as set out in the option agreement</w:t>
            </w:r>
          </w:p>
        </w:tc>
        <w:tc>
          <w:tcPr>
            <w:tcW w:w="3635" w:type="dxa"/>
            <w:shd w:val="clear" w:color="auto" w:fill="E2EFD9"/>
          </w:tcPr>
          <w:p w14:paraId="43D81805" w14:textId="77777777" w:rsidR="00FF6E56" w:rsidRPr="00563A71" w:rsidRDefault="00FF6E56" w:rsidP="00BE31AE">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p w14:paraId="541E5DF1" w14:textId="77777777" w:rsidR="00FF6E56" w:rsidRPr="00563A71" w:rsidRDefault="00FF6E56" w:rsidP="00BE31AE">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F6E56" w:rsidRPr="00563A71" w14:paraId="32A770D2" w14:textId="77777777" w:rsidTr="00FF6E56">
        <w:trPr>
          <w:cnfStyle w:val="000000100000" w:firstRow="0" w:lastRow="0" w:firstColumn="0" w:lastColumn="0" w:oddVBand="0" w:evenVBand="0" w:oddHBand="1" w:evenHBand="0" w:firstRowFirstColumn="0" w:firstRowLastColumn="0" w:lastRowFirstColumn="0" w:lastRowLastColumn="0"/>
          <w:cantSplit/>
          <w:trHeight w:val="558"/>
        </w:trPr>
        <w:tc>
          <w:tcPr>
            <w:cnfStyle w:val="001000000000" w:firstRow="0" w:lastRow="0" w:firstColumn="1" w:lastColumn="0" w:oddVBand="0" w:evenVBand="0" w:oddHBand="0" w:evenHBand="0" w:firstRowFirstColumn="0" w:firstRowLastColumn="0" w:lastRowFirstColumn="0" w:lastRowLastColumn="0"/>
            <w:tcW w:w="663" w:type="dxa"/>
            <w:vMerge/>
            <w:shd w:val="clear" w:color="auto" w:fill="BDD6EE"/>
            <w:textDirection w:val="btLr"/>
            <w:vAlign w:val="center"/>
          </w:tcPr>
          <w:p w14:paraId="1D5F87DA" w14:textId="77777777" w:rsidR="00FF6E56" w:rsidRPr="00563A71" w:rsidRDefault="00FF6E56" w:rsidP="00BE31AE">
            <w:pPr>
              <w:spacing w:after="160" w:line="259" w:lineRule="auto"/>
              <w:ind w:left="113" w:right="113"/>
              <w:jc w:val="center"/>
              <w:rPr>
                <w:rFonts w:ascii="Arial" w:hAnsi="Arial" w:cs="Arial"/>
              </w:rPr>
            </w:pPr>
          </w:p>
        </w:tc>
        <w:tc>
          <w:tcPr>
            <w:tcW w:w="1635" w:type="dxa"/>
          </w:tcPr>
          <w:p w14:paraId="74EB7522" w14:textId="77777777" w:rsidR="00FF6E56" w:rsidRPr="00563A71" w:rsidRDefault="00FF6E56" w:rsidP="00BE31AE">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63A71">
              <w:rPr>
                <w:rFonts w:ascii="Arial" w:hAnsi="Arial" w:cs="Arial"/>
              </w:rPr>
              <w:t>Works</w:t>
            </w:r>
          </w:p>
        </w:tc>
        <w:tc>
          <w:tcPr>
            <w:tcW w:w="2488" w:type="dxa"/>
          </w:tcPr>
          <w:p w14:paraId="07F98960" w14:textId="4435AC1C" w:rsidR="00FF6E56" w:rsidRPr="00563A71" w:rsidRDefault="00FF6E56" w:rsidP="00190084">
            <w:pPr>
              <w:numPr>
                <w:ilvl w:val="0"/>
                <w:numId w:val="9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63A71">
              <w:rPr>
                <w:rFonts w:ascii="Arial" w:hAnsi="Arial" w:cs="Arial"/>
              </w:rPr>
              <w:t>£</w:t>
            </w:r>
            <w:r w:rsidR="0084544B">
              <w:rPr>
                <w:rFonts w:ascii="Arial" w:hAnsi="Arial" w:cs="Arial"/>
              </w:rPr>
              <w:t>XXX</w:t>
            </w:r>
            <w:r w:rsidRPr="00563A71">
              <w:rPr>
                <w:rFonts w:ascii="Arial" w:hAnsi="Arial" w:cs="Arial"/>
              </w:rPr>
              <w:t>m cost covering design, construction and commissioning</w:t>
            </w:r>
          </w:p>
        </w:tc>
        <w:tc>
          <w:tcPr>
            <w:tcW w:w="2069" w:type="dxa"/>
          </w:tcPr>
          <w:p w14:paraId="0B17CA45" w14:textId="3A57F260" w:rsidR="00FF6E56" w:rsidRPr="00563A71" w:rsidRDefault="00FF6E56" w:rsidP="00190084">
            <w:pPr>
              <w:numPr>
                <w:ilvl w:val="0"/>
                <w:numId w:val="9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63A71">
              <w:rPr>
                <w:rFonts w:ascii="Arial" w:hAnsi="Arial" w:cs="Arial"/>
              </w:rPr>
              <w:t xml:space="preserve">Stage 1 costing by </w:t>
            </w:r>
            <w:r>
              <w:rPr>
                <w:rFonts w:ascii="Arial" w:hAnsi="Arial" w:cs="Arial"/>
              </w:rPr>
              <w:t>G&amp;T</w:t>
            </w:r>
            <w:r w:rsidRPr="00563A71">
              <w:rPr>
                <w:rFonts w:ascii="Arial" w:hAnsi="Arial" w:cs="Arial"/>
              </w:rPr>
              <w:t xml:space="preserve"> (QS/cost consultants)</w:t>
            </w:r>
          </w:p>
        </w:tc>
        <w:tc>
          <w:tcPr>
            <w:tcW w:w="3635" w:type="dxa"/>
            <w:vMerge w:val="restart"/>
            <w:shd w:val="clear" w:color="auto" w:fill="FFE599"/>
          </w:tcPr>
          <w:p w14:paraId="2AB77ADB" w14:textId="0B56B0A6" w:rsidR="00FF6E56" w:rsidRPr="00563A71" w:rsidRDefault="0057327F" w:rsidP="00BE31AE">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b/>
              </w:rPr>
              <w:t>Key risk 5: Increased construction costs</w:t>
            </w:r>
            <w:r w:rsidR="00FF6E56" w:rsidRPr="00563A71">
              <w:rPr>
                <w:rFonts w:ascii="Arial" w:hAnsi="Arial" w:cs="Arial"/>
              </w:rPr>
              <w:t xml:space="preserve"> </w:t>
            </w:r>
          </w:p>
          <w:p w14:paraId="5BF0E977" w14:textId="77777777" w:rsidR="00FF6E56" w:rsidRPr="00563A71" w:rsidRDefault="00FF6E56" w:rsidP="00BE31AE">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63A71">
              <w:rPr>
                <w:rFonts w:ascii="Arial" w:hAnsi="Arial" w:cs="Arial"/>
              </w:rPr>
              <w:t>Risk of increased costs.</w:t>
            </w:r>
          </w:p>
          <w:p w14:paraId="44396621" w14:textId="77777777" w:rsidR="00FF6E56" w:rsidRPr="00563A71" w:rsidRDefault="00FF6E56" w:rsidP="00BE31AE">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63A71">
              <w:rPr>
                <w:rFonts w:ascii="Arial" w:hAnsi="Arial" w:cs="Arial"/>
              </w:rPr>
              <w:t>Contingency (10%) and optimism bias (15%) held against these costs to cover assessed construction risks</w:t>
            </w:r>
          </w:p>
          <w:p w14:paraId="690FC90B" w14:textId="77777777" w:rsidR="00FF6E56" w:rsidRPr="00563A71" w:rsidRDefault="00FF6E56" w:rsidP="00BE31AE">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p w14:paraId="1DA088A9" w14:textId="77777777" w:rsidR="00FF6E56" w:rsidRPr="00563A71" w:rsidRDefault="00FF6E56" w:rsidP="00BE31AE">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F6E56" w:rsidRPr="00563A71" w14:paraId="7993471A" w14:textId="77777777" w:rsidTr="00FF6E56">
        <w:trPr>
          <w:cantSplit/>
          <w:trHeight w:val="694"/>
        </w:trPr>
        <w:tc>
          <w:tcPr>
            <w:cnfStyle w:val="001000000000" w:firstRow="0" w:lastRow="0" w:firstColumn="1" w:lastColumn="0" w:oddVBand="0" w:evenVBand="0" w:oddHBand="0" w:evenHBand="0" w:firstRowFirstColumn="0" w:firstRowLastColumn="0" w:lastRowFirstColumn="0" w:lastRowLastColumn="0"/>
            <w:tcW w:w="663" w:type="dxa"/>
            <w:vMerge/>
            <w:shd w:val="clear" w:color="auto" w:fill="BDD6EE"/>
            <w:textDirection w:val="btLr"/>
            <w:vAlign w:val="center"/>
          </w:tcPr>
          <w:p w14:paraId="5C9FEF52" w14:textId="77777777" w:rsidR="00FF6E56" w:rsidRPr="00563A71" w:rsidRDefault="00FF6E56" w:rsidP="00BE31AE">
            <w:pPr>
              <w:spacing w:after="160" w:line="259" w:lineRule="auto"/>
              <w:ind w:left="113" w:right="113"/>
              <w:jc w:val="center"/>
              <w:rPr>
                <w:rFonts w:ascii="Arial" w:hAnsi="Arial" w:cs="Arial"/>
              </w:rPr>
            </w:pPr>
          </w:p>
        </w:tc>
        <w:tc>
          <w:tcPr>
            <w:tcW w:w="1635" w:type="dxa"/>
          </w:tcPr>
          <w:p w14:paraId="7EACFE1E" w14:textId="77777777" w:rsidR="00FF6E56" w:rsidRPr="00563A71" w:rsidRDefault="00FF6E56" w:rsidP="00BE31AE">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563A71">
              <w:rPr>
                <w:rFonts w:ascii="Arial" w:hAnsi="Arial" w:cs="Arial"/>
              </w:rPr>
              <w:t>IT and medical equipment</w:t>
            </w:r>
          </w:p>
        </w:tc>
        <w:tc>
          <w:tcPr>
            <w:tcW w:w="2488" w:type="dxa"/>
          </w:tcPr>
          <w:p w14:paraId="4D9DC33A" w14:textId="5A187C9F" w:rsidR="00FF6E56" w:rsidRPr="00563A71" w:rsidRDefault="00FF6E56" w:rsidP="00190084">
            <w:pPr>
              <w:numPr>
                <w:ilvl w:val="0"/>
                <w:numId w:val="9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63A71">
              <w:rPr>
                <w:rFonts w:ascii="Arial" w:hAnsi="Arial" w:cs="Arial"/>
              </w:rPr>
              <w:t>£</w:t>
            </w:r>
            <w:r w:rsidR="0084544B">
              <w:rPr>
                <w:rFonts w:ascii="Arial" w:hAnsi="Arial" w:cs="Arial"/>
              </w:rPr>
              <w:t>XXX</w:t>
            </w:r>
            <w:r w:rsidRPr="00563A71">
              <w:rPr>
                <w:rFonts w:ascii="Arial" w:hAnsi="Arial" w:cs="Arial"/>
              </w:rPr>
              <w:t>m cost</w:t>
            </w:r>
          </w:p>
          <w:p w14:paraId="38576B80" w14:textId="77777777" w:rsidR="00FF6E56" w:rsidRPr="00563A71" w:rsidRDefault="00FF6E56" w:rsidP="00190084">
            <w:pPr>
              <w:numPr>
                <w:ilvl w:val="0"/>
                <w:numId w:val="9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63A71">
              <w:rPr>
                <w:rFonts w:ascii="Arial" w:hAnsi="Arial" w:cs="Arial"/>
              </w:rPr>
              <w:t>Assumed a transfer of 40% of existing equipment</w:t>
            </w:r>
          </w:p>
        </w:tc>
        <w:tc>
          <w:tcPr>
            <w:tcW w:w="2069" w:type="dxa"/>
          </w:tcPr>
          <w:p w14:paraId="0CC3E8C4" w14:textId="77777777" w:rsidR="00FF6E56" w:rsidRPr="00563A71" w:rsidRDefault="00FF6E56" w:rsidP="00190084">
            <w:pPr>
              <w:numPr>
                <w:ilvl w:val="0"/>
                <w:numId w:val="9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63A71">
              <w:rPr>
                <w:rFonts w:ascii="Arial" w:hAnsi="Arial" w:cs="Arial"/>
              </w:rPr>
              <w:t xml:space="preserve">Based on review </w:t>
            </w:r>
            <w:r>
              <w:rPr>
                <w:rFonts w:ascii="Arial" w:hAnsi="Arial" w:cs="Arial"/>
              </w:rPr>
              <w:t>of</w:t>
            </w:r>
            <w:r w:rsidRPr="00563A71">
              <w:rPr>
                <w:rFonts w:ascii="Arial" w:hAnsi="Arial" w:cs="Arial"/>
              </w:rPr>
              <w:t xml:space="preserve"> requirement by MTS</w:t>
            </w:r>
            <w:r>
              <w:rPr>
                <w:rFonts w:ascii="Arial" w:hAnsi="Arial" w:cs="Arial"/>
              </w:rPr>
              <w:t>, aligned to costing in OB forms</w:t>
            </w:r>
          </w:p>
        </w:tc>
        <w:tc>
          <w:tcPr>
            <w:tcW w:w="3635" w:type="dxa"/>
            <w:vMerge/>
            <w:shd w:val="clear" w:color="auto" w:fill="FFE599"/>
          </w:tcPr>
          <w:p w14:paraId="52C563D2" w14:textId="77777777" w:rsidR="00FF6E56" w:rsidRPr="00563A71" w:rsidRDefault="00FF6E56" w:rsidP="00BE31AE">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F6E56" w:rsidRPr="00563A71" w14:paraId="7E211DCA" w14:textId="77777777" w:rsidTr="00FF6E5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663" w:type="dxa"/>
            <w:vMerge/>
            <w:shd w:val="clear" w:color="auto" w:fill="BDD6EE"/>
            <w:textDirection w:val="btLr"/>
            <w:vAlign w:val="center"/>
          </w:tcPr>
          <w:p w14:paraId="221BAC27" w14:textId="77777777" w:rsidR="00FF6E56" w:rsidRPr="00563A71" w:rsidRDefault="00FF6E56" w:rsidP="00BE31AE">
            <w:pPr>
              <w:spacing w:after="160" w:line="259" w:lineRule="auto"/>
              <w:ind w:left="113" w:right="113"/>
              <w:jc w:val="center"/>
              <w:rPr>
                <w:rFonts w:ascii="Arial" w:hAnsi="Arial" w:cs="Arial"/>
              </w:rPr>
            </w:pPr>
          </w:p>
        </w:tc>
        <w:tc>
          <w:tcPr>
            <w:tcW w:w="1635" w:type="dxa"/>
          </w:tcPr>
          <w:p w14:paraId="1AA829D0" w14:textId="77777777" w:rsidR="00FF6E56" w:rsidRPr="00563A71" w:rsidRDefault="00FF6E56" w:rsidP="00BE31AE">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63A71">
              <w:rPr>
                <w:rFonts w:ascii="Arial" w:hAnsi="Arial" w:cs="Arial"/>
              </w:rPr>
              <w:t>Lifecycle</w:t>
            </w:r>
          </w:p>
        </w:tc>
        <w:tc>
          <w:tcPr>
            <w:tcW w:w="2488" w:type="dxa"/>
          </w:tcPr>
          <w:p w14:paraId="4058DBA4" w14:textId="7871C06B" w:rsidR="00FF6E56" w:rsidRPr="00563A71" w:rsidRDefault="00FF6E56" w:rsidP="00190084">
            <w:pPr>
              <w:numPr>
                <w:ilvl w:val="0"/>
                <w:numId w:val="9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63A71">
              <w:rPr>
                <w:rFonts w:ascii="Arial" w:hAnsi="Arial" w:cs="Arial"/>
              </w:rPr>
              <w:t>Lifecycle costs of £</w:t>
            </w:r>
            <w:r w:rsidR="0084544B">
              <w:rPr>
                <w:rFonts w:ascii="Arial" w:hAnsi="Arial" w:cs="Arial"/>
              </w:rPr>
              <w:t>XXX</w:t>
            </w:r>
            <w:r w:rsidRPr="00563A71">
              <w:rPr>
                <w:rFonts w:ascii="Arial" w:hAnsi="Arial" w:cs="Arial"/>
              </w:rPr>
              <w:t xml:space="preserve"> per sq m</w:t>
            </w:r>
          </w:p>
          <w:p w14:paraId="2BEEFC92" w14:textId="77777777" w:rsidR="00FF6E56" w:rsidRPr="00563A71" w:rsidRDefault="00FF6E56" w:rsidP="00190084">
            <w:pPr>
              <w:numPr>
                <w:ilvl w:val="0"/>
                <w:numId w:val="9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15</w:t>
            </w:r>
            <w:r w:rsidRPr="00563A71">
              <w:rPr>
                <w:rFonts w:ascii="Arial" w:hAnsi="Arial" w:cs="Arial"/>
              </w:rPr>
              <w:t xml:space="preserve">% </w:t>
            </w:r>
            <w:r>
              <w:rPr>
                <w:rFonts w:ascii="Arial" w:hAnsi="Arial" w:cs="Arial"/>
              </w:rPr>
              <w:t>optimism bias included</w:t>
            </w:r>
          </w:p>
          <w:p w14:paraId="0A5C264A" w14:textId="77777777" w:rsidR="00FF6E56" w:rsidRPr="00563A71" w:rsidRDefault="00FF6E56" w:rsidP="00190084">
            <w:pPr>
              <w:numPr>
                <w:ilvl w:val="0"/>
                <w:numId w:val="9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63A71">
              <w:rPr>
                <w:rFonts w:ascii="Arial" w:hAnsi="Arial" w:cs="Arial"/>
              </w:rPr>
              <w:t>Phased based on life of component, mainly 5, 10 and 25 years</w:t>
            </w:r>
            <w:r>
              <w:rPr>
                <w:rFonts w:ascii="Arial" w:hAnsi="Arial" w:cs="Arial"/>
              </w:rPr>
              <w:t>.</w:t>
            </w:r>
          </w:p>
        </w:tc>
        <w:tc>
          <w:tcPr>
            <w:tcW w:w="2069" w:type="dxa"/>
          </w:tcPr>
          <w:p w14:paraId="0C358FAC" w14:textId="211ACE52" w:rsidR="00FF6E56" w:rsidRPr="00563A71" w:rsidRDefault="00FF6E56" w:rsidP="00190084">
            <w:pPr>
              <w:numPr>
                <w:ilvl w:val="0"/>
                <w:numId w:val="9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63A71">
              <w:rPr>
                <w:rFonts w:ascii="Arial" w:hAnsi="Arial" w:cs="Arial"/>
              </w:rPr>
              <w:t xml:space="preserve">Benchmarked costing and profiling by </w:t>
            </w:r>
            <w:r>
              <w:rPr>
                <w:rFonts w:ascii="Arial" w:hAnsi="Arial" w:cs="Arial"/>
              </w:rPr>
              <w:t>G&amp;T</w:t>
            </w:r>
            <w:r w:rsidRPr="00563A71">
              <w:rPr>
                <w:rFonts w:ascii="Arial" w:hAnsi="Arial" w:cs="Arial"/>
              </w:rPr>
              <w:t xml:space="preserve"> </w:t>
            </w:r>
          </w:p>
        </w:tc>
        <w:tc>
          <w:tcPr>
            <w:tcW w:w="3635" w:type="dxa"/>
            <w:tcBorders>
              <w:bottom w:val="single" w:sz="4" w:space="0" w:color="BFBFBF"/>
            </w:tcBorders>
            <w:shd w:val="clear" w:color="auto" w:fill="E2EFD9"/>
          </w:tcPr>
          <w:p w14:paraId="7DD56218" w14:textId="77777777" w:rsidR="00FF6E56" w:rsidRPr="00563A71" w:rsidRDefault="00FF6E56" w:rsidP="00BE31AE">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Optimism bias of 15</w:t>
            </w:r>
            <w:r w:rsidRPr="00563A71">
              <w:rPr>
                <w:rFonts w:ascii="Arial" w:hAnsi="Arial" w:cs="Arial"/>
              </w:rPr>
              <w:t>% held against risk</w:t>
            </w:r>
          </w:p>
        </w:tc>
      </w:tr>
      <w:tr w:rsidR="00FF6E56" w:rsidRPr="00563A71" w14:paraId="36F16C29" w14:textId="77777777" w:rsidTr="00FF6E56">
        <w:trPr>
          <w:cantSplit/>
          <w:trHeight w:val="1063"/>
        </w:trPr>
        <w:tc>
          <w:tcPr>
            <w:cnfStyle w:val="001000000000" w:firstRow="0" w:lastRow="0" w:firstColumn="1" w:lastColumn="0" w:oddVBand="0" w:evenVBand="0" w:oddHBand="0" w:evenHBand="0" w:firstRowFirstColumn="0" w:firstRowLastColumn="0" w:lastRowFirstColumn="0" w:lastRowLastColumn="0"/>
            <w:tcW w:w="663" w:type="dxa"/>
            <w:vMerge/>
            <w:shd w:val="clear" w:color="auto" w:fill="BDD6EE"/>
            <w:textDirection w:val="btLr"/>
            <w:vAlign w:val="center"/>
          </w:tcPr>
          <w:p w14:paraId="5780BDF3" w14:textId="77777777" w:rsidR="00FF6E56" w:rsidRPr="00563A71" w:rsidRDefault="00FF6E56" w:rsidP="00BE31AE">
            <w:pPr>
              <w:spacing w:after="160" w:line="259" w:lineRule="auto"/>
              <w:ind w:left="113" w:right="113"/>
              <w:jc w:val="center"/>
              <w:rPr>
                <w:rFonts w:ascii="Arial" w:hAnsi="Arial" w:cs="Arial"/>
              </w:rPr>
            </w:pPr>
          </w:p>
        </w:tc>
        <w:tc>
          <w:tcPr>
            <w:tcW w:w="1635" w:type="dxa"/>
          </w:tcPr>
          <w:p w14:paraId="0103FEF4" w14:textId="77777777" w:rsidR="00FF6E56" w:rsidRPr="00563A71" w:rsidRDefault="00FF6E56" w:rsidP="00BE31AE">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VAT</w:t>
            </w:r>
          </w:p>
        </w:tc>
        <w:tc>
          <w:tcPr>
            <w:tcW w:w="2488" w:type="dxa"/>
          </w:tcPr>
          <w:p w14:paraId="11588ACB" w14:textId="7FA36CFD" w:rsidR="00FF6E56" w:rsidRPr="00563A71" w:rsidRDefault="00FF6E56" w:rsidP="00190084">
            <w:pPr>
              <w:numPr>
                <w:ilvl w:val="0"/>
                <w:numId w:val="9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VAT on construction costs is assumed to be 75% recoverable.</w:t>
            </w:r>
          </w:p>
        </w:tc>
        <w:tc>
          <w:tcPr>
            <w:tcW w:w="2069" w:type="dxa"/>
          </w:tcPr>
          <w:p w14:paraId="0CD15169" w14:textId="77777777" w:rsidR="00FF6E56" w:rsidRPr="00563A71" w:rsidRDefault="00FF6E56" w:rsidP="00FF6E56">
            <w:p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635" w:type="dxa"/>
            <w:tcBorders>
              <w:bottom w:val="single" w:sz="4" w:space="0" w:color="BFBFBF"/>
            </w:tcBorders>
            <w:shd w:val="clear" w:color="auto" w:fill="E2EFD9"/>
          </w:tcPr>
          <w:p w14:paraId="552CE8F2" w14:textId="77777777" w:rsidR="00FF6E56" w:rsidRDefault="00FF6E56" w:rsidP="00BE31AE">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This is a prudent recovery assumption aligned with the level assumed in the SOC/LABC.</w:t>
            </w:r>
          </w:p>
        </w:tc>
      </w:tr>
      <w:tr w:rsidR="00FF6E56" w:rsidRPr="00563A71" w14:paraId="3A0B37CA" w14:textId="77777777" w:rsidTr="00FF6E5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663" w:type="dxa"/>
            <w:vMerge w:val="restart"/>
            <w:shd w:val="clear" w:color="auto" w:fill="BDD6EE"/>
            <w:textDirection w:val="btLr"/>
            <w:vAlign w:val="center"/>
          </w:tcPr>
          <w:p w14:paraId="66CF33C3" w14:textId="77777777" w:rsidR="00FF6E56" w:rsidRPr="00563A71" w:rsidRDefault="00FF6E56" w:rsidP="00FF6E56">
            <w:pPr>
              <w:spacing w:after="160" w:line="259" w:lineRule="auto"/>
              <w:ind w:left="113" w:right="113"/>
              <w:jc w:val="center"/>
              <w:rPr>
                <w:rFonts w:ascii="Arial" w:hAnsi="Arial" w:cs="Arial"/>
              </w:rPr>
            </w:pPr>
            <w:r w:rsidRPr="00563A71">
              <w:rPr>
                <w:rFonts w:ascii="Arial" w:hAnsi="Arial" w:cs="Arial"/>
              </w:rPr>
              <w:lastRenderedPageBreak/>
              <w:t>Transaction specific</w:t>
            </w:r>
          </w:p>
        </w:tc>
        <w:tc>
          <w:tcPr>
            <w:tcW w:w="1635" w:type="dxa"/>
          </w:tcPr>
          <w:p w14:paraId="3601BBFF" w14:textId="1185ABEE" w:rsidR="00FF6E56" w:rsidRPr="00563A71" w:rsidRDefault="00FF6E56" w:rsidP="00FF6E5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63A71">
              <w:rPr>
                <w:rFonts w:ascii="Arial" w:hAnsi="Arial" w:cs="Arial"/>
              </w:rPr>
              <w:t xml:space="preserve">Charitable donations </w:t>
            </w:r>
          </w:p>
        </w:tc>
        <w:tc>
          <w:tcPr>
            <w:tcW w:w="2488" w:type="dxa"/>
          </w:tcPr>
          <w:p w14:paraId="50218614" w14:textId="3EEFAED9" w:rsidR="00FF6E56" w:rsidRDefault="00FF6E56" w:rsidP="00FF6E56">
            <w:pPr>
              <w:numPr>
                <w:ilvl w:val="0"/>
                <w:numId w:val="9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63A71">
              <w:rPr>
                <w:rFonts w:ascii="Arial" w:hAnsi="Arial" w:cs="Arial"/>
              </w:rPr>
              <w:t>£</w:t>
            </w:r>
            <w:r w:rsidR="002B2926">
              <w:rPr>
                <w:rFonts w:ascii="Arial" w:hAnsi="Arial" w:cs="Arial"/>
              </w:rPr>
              <w:t>XXX</w:t>
            </w:r>
            <w:r w:rsidRPr="00563A71">
              <w:rPr>
                <w:rFonts w:ascii="Arial" w:hAnsi="Arial" w:cs="Arial"/>
              </w:rPr>
              <w:t>m of donations phased over FY25 to FY28</w:t>
            </w:r>
          </w:p>
          <w:p w14:paraId="74AA812E" w14:textId="20F0592C" w:rsidR="00FF6E56" w:rsidRPr="00563A71" w:rsidRDefault="00064AA9" w:rsidP="00FF6E56">
            <w:pPr>
              <w:numPr>
                <w:ilvl w:val="0"/>
                <w:numId w:val="9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See Appendix 6B</w:t>
            </w:r>
          </w:p>
        </w:tc>
        <w:tc>
          <w:tcPr>
            <w:tcW w:w="2069" w:type="dxa"/>
            <w:tcBorders>
              <w:right w:val="single" w:sz="4" w:space="0" w:color="BFBFBF"/>
            </w:tcBorders>
          </w:tcPr>
          <w:p w14:paraId="6DFB4BF8" w14:textId="77777777" w:rsidR="00FF6E56" w:rsidRPr="00563A71" w:rsidRDefault="00FF6E56" w:rsidP="00FF6E56">
            <w:pPr>
              <w:numPr>
                <w:ilvl w:val="0"/>
                <w:numId w:val="9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63A71">
              <w:rPr>
                <w:rFonts w:ascii="Arial" w:hAnsi="Arial" w:cs="Arial"/>
              </w:rPr>
              <w:t>Feasibility study</w:t>
            </w:r>
          </w:p>
          <w:p w14:paraId="4C2AB0D4" w14:textId="5C9E6506" w:rsidR="00FF6E56" w:rsidRPr="00563A71" w:rsidRDefault="00FF6E56" w:rsidP="00FF6E56">
            <w:pPr>
              <w:numPr>
                <w:ilvl w:val="0"/>
                <w:numId w:val="9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63A71">
              <w:rPr>
                <w:rFonts w:ascii="Arial" w:hAnsi="Arial" w:cs="Arial"/>
              </w:rPr>
              <w:t xml:space="preserve">51% of funds already committed </w:t>
            </w:r>
          </w:p>
        </w:tc>
        <w:tc>
          <w:tcPr>
            <w:tcW w:w="3635" w:type="dxa"/>
            <w:tcBorders>
              <w:top w:val="single" w:sz="4" w:space="0" w:color="BFBFBF"/>
              <w:left w:val="single" w:sz="4" w:space="0" w:color="BFBFBF"/>
              <w:bottom w:val="single" w:sz="4" w:space="0" w:color="BFBFBF"/>
              <w:right w:val="single" w:sz="4" w:space="0" w:color="BFBFBF"/>
            </w:tcBorders>
            <w:shd w:val="clear" w:color="auto" w:fill="EAF1DD" w:themeFill="accent3" w:themeFillTint="33"/>
          </w:tcPr>
          <w:p w14:paraId="09F29357" w14:textId="49300FF0" w:rsidR="00FF6E56" w:rsidRPr="00366594" w:rsidRDefault="00366594" w:rsidP="00366594">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366594">
              <w:rPr>
                <w:rFonts w:ascii="Arial" w:eastAsia="Times New Roman" w:hAnsi="Arial" w:cs="Arial"/>
              </w:rPr>
              <w:t>This will remain a risk until fully funded but given 51% achieved to date (vs a</w:t>
            </w:r>
            <w:r>
              <w:rPr>
                <w:rFonts w:ascii="Arial" w:eastAsia="Times New Roman" w:hAnsi="Arial" w:cs="Arial"/>
              </w:rPr>
              <w:t>n expectation of 40%</w:t>
            </w:r>
            <w:r w:rsidRPr="00366594">
              <w:rPr>
                <w:rFonts w:ascii="Arial" w:eastAsia="Times New Roman" w:hAnsi="Arial" w:cs="Arial"/>
              </w:rPr>
              <w:t xml:space="preserve"> </w:t>
            </w:r>
            <w:r>
              <w:rPr>
                <w:rFonts w:ascii="Arial" w:eastAsia="Times New Roman" w:hAnsi="Arial" w:cs="Arial"/>
              </w:rPr>
              <w:t>by the time the public campaign begins</w:t>
            </w:r>
            <w:r w:rsidRPr="00366594">
              <w:rPr>
                <w:rFonts w:ascii="Arial" w:eastAsia="Times New Roman" w:hAnsi="Arial" w:cs="Arial"/>
              </w:rPr>
              <w:t>), the trust is confident the donations are achievable / currently above plan</w:t>
            </w:r>
            <w:r w:rsidR="0057327F">
              <w:rPr>
                <w:rFonts w:ascii="Arial" w:eastAsia="Times New Roman" w:hAnsi="Arial" w:cs="Arial"/>
              </w:rPr>
              <w:t>.</w:t>
            </w:r>
          </w:p>
        </w:tc>
      </w:tr>
      <w:tr w:rsidR="00FF6E56" w:rsidRPr="00563A71" w14:paraId="6E5CBEC1" w14:textId="77777777" w:rsidTr="00FF6E56">
        <w:trPr>
          <w:cantSplit/>
          <w:trHeight w:val="517"/>
        </w:trPr>
        <w:tc>
          <w:tcPr>
            <w:cnfStyle w:val="001000000000" w:firstRow="0" w:lastRow="0" w:firstColumn="1" w:lastColumn="0" w:oddVBand="0" w:evenVBand="0" w:oddHBand="0" w:evenHBand="0" w:firstRowFirstColumn="0" w:firstRowLastColumn="0" w:lastRowFirstColumn="0" w:lastRowLastColumn="0"/>
            <w:tcW w:w="663" w:type="dxa"/>
            <w:vMerge/>
            <w:shd w:val="clear" w:color="auto" w:fill="BDD6EE"/>
            <w:textDirection w:val="btLr"/>
            <w:vAlign w:val="center"/>
          </w:tcPr>
          <w:p w14:paraId="69C3F04A" w14:textId="77777777" w:rsidR="00FF6E56" w:rsidRPr="00563A71" w:rsidRDefault="00FF6E56" w:rsidP="00FF6E56">
            <w:pPr>
              <w:spacing w:after="160" w:line="259" w:lineRule="auto"/>
              <w:ind w:left="113" w:right="113"/>
              <w:jc w:val="center"/>
              <w:rPr>
                <w:rFonts w:ascii="Arial" w:hAnsi="Arial" w:cs="Arial"/>
              </w:rPr>
            </w:pPr>
          </w:p>
        </w:tc>
        <w:tc>
          <w:tcPr>
            <w:tcW w:w="1635" w:type="dxa"/>
          </w:tcPr>
          <w:p w14:paraId="1CE63195" w14:textId="4A358AE5" w:rsidR="00FF6E56" w:rsidRPr="00563A71" w:rsidRDefault="00FF6E56" w:rsidP="00FF6E5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563A71">
              <w:rPr>
                <w:rFonts w:ascii="Arial" w:hAnsi="Arial" w:cs="Arial"/>
              </w:rPr>
              <w:t>PDC</w:t>
            </w:r>
          </w:p>
        </w:tc>
        <w:tc>
          <w:tcPr>
            <w:tcW w:w="2488" w:type="dxa"/>
          </w:tcPr>
          <w:p w14:paraId="4608EDC8" w14:textId="0C139CEB" w:rsidR="00FF6E56" w:rsidRPr="00563A71" w:rsidRDefault="00FF6E56" w:rsidP="00FF6E56">
            <w:pPr>
              <w:numPr>
                <w:ilvl w:val="0"/>
                <w:numId w:val="9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63A71">
              <w:rPr>
                <w:rFonts w:ascii="Arial" w:hAnsi="Arial" w:cs="Arial"/>
              </w:rPr>
              <w:t>£</w:t>
            </w:r>
            <w:r w:rsidR="0084544B">
              <w:rPr>
                <w:rFonts w:ascii="Arial" w:hAnsi="Arial" w:cs="Arial"/>
              </w:rPr>
              <w:t>XXX</w:t>
            </w:r>
            <w:r w:rsidRPr="00563A71">
              <w:rPr>
                <w:rFonts w:ascii="Arial" w:hAnsi="Arial" w:cs="Arial"/>
              </w:rPr>
              <w:t>m approved by DHSC</w:t>
            </w:r>
          </w:p>
        </w:tc>
        <w:tc>
          <w:tcPr>
            <w:tcW w:w="2069" w:type="dxa"/>
          </w:tcPr>
          <w:p w14:paraId="5F96E486" w14:textId="3C5B7F21" w:rsidR="00FF6E56" w:rsidRPr="00563A71" w:rsidRDefault="00FF6E56" w:rsidP="00FF6E56">
            <w:pPr>
              <w:numPr>
                <w:ilvl w:val="0"/>
                <w:numId w:val="9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63A71">
              <w:rPr>
                <w:rFonts w:ascii="Arial" w:hAnsi="Arial" w:cs="Arial"/>
              </w:rPr>
              <w:t>DHSC confirmation letter</w:t>
            </w:r>
          </w:p>
        </w:tc>
        <w:tc>
          <w:tcPr>
            <w:tcW w:w="3635" w:type="dxa"/>
            <w:tcBorders>
              <w:top w:val="single" w:sz="4" w:space="0" w:color="BFBFBF"/>
            </w:tcBorders>
            <w:shd w:val="clear" w:color="auto" w:fill="EAF1DD" w:themeFill="accent3" w:themeFillTint="33"/>
          </w:tcPr>
          <w:p w14:paraId="3AC9E4D6" w14:textId="77777777" w:rsidR="00FF6E56" w:rsidRDefault="00FF6E56" w:rsidP="00FF6E5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F6E56" w:rsidRPr="00563A71" w14:paraId="7FFDE95E" w14:textId="77777777" w:rsidTr="00FF6E5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663" w:type="dxa"/>
            <w:vMerge/>
            <w:shd w:val="clear" w:color="auto" w:fill="BDD6EE"/>
            <w:textDirection w:val="btLr"/>
            <w:vAlign w:val="center"/>
          </w:tcPr>
          <w:p w14:paraId="0F39A3F6" w14:textId="77777777" w:rsidR="00FF6E56" w:rsidRPr="00563A71" w:rsidRDefault="00FF6E56" w:rsidP="00FF6E56">
            <w:pPr>
              <w:spacing w:after="160" w:line="259" w:lineRule="auto"/>
              <w:ind w:left="113" w:right="113"/>
              <w:jc w:val="center"/>
              <w:rPr>
                <w:rFonts w:ascii="Arial" w:hAnsi="Arial" w:cs="Arial"/>
              </w:rPr>
            </w:pPr>
          </w:p>
        </w:tc>
        <w:tc>
          <w:tcPr>
            <w:tcW w:w="1635" w:type="dxa"/>
          </w:tcPr>
          <w:p w14:paraId="3153DE3F" w14:textId="3A1F0F41" w:rsidR="00FF6E56" w:rsidRPr="00563A71" w:rsidRDefault="00FF6E56" w:rsidP="00FF6E5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63A71">
              <w:rPr>
                <w:rFonts w:ascii="Arial" w:hAnsi="Arial" w:cs="Arial"/>
              </w:rPr>
              <w:t>Opening of facility</w:t>
            </w:r>
          </w:p>
        </w:tc>
        <w:tc>
          <w:tcPr>
            <w:tcW w:w="2488" w:type="dxa"/>
          </w:tcPr>
          <w:p w14:paraId="5499031C" w14:textId="77777777" w:rsidR="00FF6E56" w:rsidRPr="00563A71" w:rsidRDefault="00FF6E56" w:rsidP="00FF6E56">
            <w:pPr>
              <w:numPr>
                <w:ilvl w:val="0"/>
                <w:numId w:val="9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63A71">
              <w:rPr>
                <w:rFonts w:ascii="Arial" w:hAnsi="Arial" w:cs="Arial"/>
              </w:rPr>
              <w:t>Assumed April 2026</w:t>
            </w:r>
          </w:p>
          <w:p w14:paraId="7981F478" w14:textId="0D19227D" w:rsidR="00FF6E56" w:rsidRPr="00563A71" w:rsidRDefault="00FF6E56" w:rsidP="00FF6E56">
            <w:pPr>
              <w:numPr>
                <w:ilvl w:val="0"/>
                <w:numId w:val="9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63A71">
              <w:rPr>
                <w:rFonts w:ascii="Arial" w:hAnsi="Arial" w:cs="Arial"/>
              </w:rPr>
              <w:t>Based on the timing of a series of events in the critical path</w:t>
            </w:r>
          </w:p>
        </w:tc>
        <w:tc>
          <w:tcPr>
            <w:tcW w:w="2069" w:type="dxa"/>
          </w:tcPr>
          <w:p w14:paraId="098C9AC8" w14:textId="184CDCAB" w:rsidR="00FF6E56" w:rsidRPr="00563A71" w:rsidRDefault="00FF6E56" w:rsidP="00FF6E56">
            <w:pPr>
              <w:numPr>
                <w:ilvl w:val="0"/>
                <w:numId w:val="9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Programme</w:t>
            </w:r>
            <w:r w:rsidRPr="00563A71">
              <w:rPr>
                <w:rFonts w:ascii="Arial" w:hAnsi="Arial" w:cs="Arial"/>
              </w:rPr>
              <w:t xml:space="preserve"> assumptions</w:t>
            </w:r>
          </w:p>
        </w:tc>
        <w:tc>
          <w:tcPr>
            <w:tcW w:w="3635" w:type="dxa"/>
            <w:tcBorders>
              <w:top w:val="single" w:sz="4" w:space="0" w:color="BFBFBF"/>
            </w:tcBorders>
            <w:shd w:val="clear" w:color="auto" w:fill="FFE599"/>
          </w:tcPr>
          <w:p w14:paraId="57BA5BFE" w14:textId="5859FFE6" w:rsidR="00FF6E56" w:rsidRPr="00563A71" w:rsidRDefault="00062436" w:rsidP="00FF6E5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Key risk 5</w:t>
            </w:r>
            <w:r w:rsidR="00FF6E56" w:rsidRPr="00563A71">
              <w:rPr>
                <w:rFonts w:ascii="Arial" w:hAnsi="Arial" w:cs="Arial"/>
                <w:b/>
              </w:rPr>
              <w:t xml:space="preserve">: </w:t>
            </w:r>
            <w:r w:rsidR="0057327F">
              <w:rPr>
                <w:rFonts w:ascii="Arial" w:hAnsi="Arial" w:cs="Arial"/>
                <w:b/>
              </w:rPr>
              <w:t xml:space="preserve">increased construction costs </w:t>
            </w:r>
            <w:r>
              <w:rPr>
                <w:rFonts w:ascii="Arial" w:hAnsi="Arial" w:cs="Arial"/>
                <w:b/>
              </w:rPr>
              <w:t>(</w:t>
            </w:r>
            <w:r w:rsidR="0057327F">
              <w:rPr>
                <w:rFonts w:ascii="Arial" w:hAnsi="Arial" w:cs="Arial"/>
                <w:b/>
              </w:rPr>
              <w:t>due to delays</w:t>
            </w:r>
            <w:r>
              <w:rPr>
                <w:rFonts w:ascii="Arial" w:hAnsi="Arial" w:cs="Arial"/>
                <w:b/>
              </w:rPr>
              <w:t>)</w:t>
            </w:r>
          </w:p>
          <w:p w14:paraId="2368113E" w14:textId="77777777" w:rsidR="00FF6E56" w:rsidRPr="00563A71" w:rsidRDefault="00FF6E56" w:rsidP="00FF6E5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63A71">
              <w:rPr>
                <w:rFonts w:ascii="Arial" w:hAnsi="Arial" w:cs="Arial"/>
              </w:rPr>
              <w:t>Delays to events on the critical path could lead an overall delay of the project – with implications for, e.g.:</w:t>
            </w:r>
          </w:p>
          <w:p w14:paraId="6A6A3590" w14:textId="77777777" w:rsidR="00FF6E56" w:rsidRPr="00563A71" w:rsidRDefault="00FF6E56" w:rsidP="00FF6E56">
            <w:pPr>
              <w:numPr>
                <w:ilvl w:val="0"/>
                <w:numId w:val="113"/>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63A71">
              <w:rPr>
                <w:rFonts w:ascii="Arial" w:hAnsi="Arial" w:cs="Arial"/>
              </w:rPr>
              <w:t>Inflation costs</w:t>
            </w:r>
          </w:p>
          <w:p w14:paraId="0795BE71" w14:textId="77777777" w:rsidR="00FF6E56" w:rsidRPr="00563A71" w:rsidRDefault="00FF6E56" w:rsidP="00FF6E56">
            <w:pPr>
              <w:numPr>
                <w:ilvl w:val="0"/>
                <w:numId w:val="113"/>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63A71">
              <w:rPr>
                <w:rFonts w:ascii="Arial" w:hAnsi="Arial" w:cs="Arial"/>
              </w:rPr>
              <w:t>Penalty payment to buyer of City Road</w:t>
            </w:r>
          </w:p>
          <w:p w14:paraId="16B7A276" w14:textId="77777777" w:rsidR="00FF6E56" w:rsidRDefault="00FF6E56" w:rsidP="00FF6E56">
            <w:pPr>
              <w:numPr>
                <w:ilvl w:val="0"/>
                <w:numId w:val="113"/>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63A71">
              <w:rPr>
                <w:rFonts w:ascii="Arial" w:hAnsi="Arial" w:cs="Arial"/>
              </w:rPr>
              <w:t>Additional transitional costs</w:t>
            </w:r>
          </w:p>
          <w:p w14:paraId="1DE03F31" w14:textId="77777777" w:rsidR="00FF6E56" w:rsidRDefault="00FF6E56" w:rsidP="00FF6E56">
            <w:p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p w14:paraId="721A8F71" w14:textId="3EE508BA" w:rsidR="00FF6E56" w:rsidRDefault="00FF6E56" w:rsidP="00FF6E5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Also considered as part of contingency and optimism bias on construction costs.</w:t>
            </w:r>
          </w:p>
        </w:tc>
      </w:tr>
      <w:tr w:rsidR="00FF6E56" w:rsidRPr="00563A71" w14:paraId="20ED4ECB" w14:textId="77777777" w:rsidTr="00FF6E56">
        <w:trPr>
          <w:cantSplit/>
          <w:trHeight w:val="6817"/>
        </w:trPr>
        <w:tc>
          <w:tcPr>
            <w:cnfStyle w:val="001000000000" w:firstRow="0" w:lastRow="0" w:firstColumn="1" w:lastColumn="0" w:oddVBand="0" w:evenVBand="0" w:oddHBand="0" w:evenHBand="0" w:firstRowFirstColumn="0" w:firstRowLastColumn="0" w:lastRowFirstColumn="0" w:lastRowLastColumn="0"/>
            <w:tcW w:w="663" w:type="dxa"/>
            <w:vMerge/>
            <w:shd w:val="clear" w:color="auto" w:fill="BDD6EE"/>
            <w:textDirection w:val="btLr"/>
            <w:vAlign w:val="center"/>
          </w:tcPr>
          <w:p w14:paraId="71D3EEFB" w14:textId="77777777" w:rsidR="00FF6E56" w:rsidRPr="00563A71" w:rsidRDefault="00FF6E56" w:rsidP="00FF6E56">
            <w:pPr>
              <w:spacing w:after="160" w:line="259" w:lineRule="auto"/>
              <w:ind w:left="113" w:right="113"/>
              <w:jc w:val="center"/>
              <w:rPr>
                <w:rFonts w:ascii="Arial" w:hAnsi="Arial" w:cs="Arial"/>
              </w:rPr>
            </w:pPr>
          </w:p>
        </w:tc>
        <w:tc>
          <w:tcPr>
            <w:tcW w:w="1635" w:type="dxa"/>
          </w:tcPr>
          <w:p w14:paraId="6A83FDA8" w14:textId="694CCCC6" w:rsidR="00FF6E56" w:rsidRPr="00563A71" w:rsidRDefault="00FF6E56" w:rsidP="00FF6E5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563A71">
              <w:rPr>
                <w:rFonts w:ascii="Arial" w:hAnsi="Arial" w:cs="Arial"/>
              </w:rPr>
              <w:t>Sale of City Road</w:t>
            </w:r>
          </w:p>
        </w:tc>
        <w:tc>
          <w:tcPr>
            <w:tcW w:w="2488" w:type="dxa"/>
          </w:tcPr>
          <w:p w14:paraId="4258B088" w14:textId="67778DEE" w:rsidR="00FF6E56" w:rsidRPr="00563A71" w:rsidRDefault="00BB06ED" w:rsidP="00FF6E56">
            <w:pPr>
              <w:numPr>
                <w:ilvl w:val="0"/>
                <w:numId w:val="9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Total sale price (for combimned MEH and UCL site) of £</w:t>
            </w:r>
            <w:r w:rsidR="0084544B">
              <w:rPr>
                <w:rFonts w:ascii="Arial" w:hAnsi="Arial" w:cs="Arial"/>
              </w:rPr>
              <w:t>XXX</w:t>
            </w:r>
            <w:r w:rsidR="00FF6E56" w:rsidRPr="00563A71">
              <w:rPr>
                <w:rFonts w:ascii="Arial" w:hAnsi="Arial" w:cs="Arial"/>
              </w:rPr>
              <w:t>m</w:t>
            </w:r>
            <w:r w:rsidR="00FF6E56">
              <w:rPr>
                <w:rFonts w:ascii="Arial" w:hAnsi="Arial" w:cs="Arial"/>
              </w:rPr>
              <w:t xml:space="preserve"> </w:t>
            </w:r>
            <w:r>
              <w:rPr>
                <w:rFonts w:ascii="Arial" w:hAnsi="Arial" w:cs="Arial"/>
              </w:rPr>
              <w:t xml:space="preserve">– representing the midpoint </w:t>
            </w:r>
            <w:r w:rsidR="00FF6E56">
              <w:rPr>
                <w:rFonts w:ascii="Arial" w:hAnsi="Arial" w:cs="Arial"/>
              </w:rPr>
              <w:t>per CBRE valuation report)</w:t>
            </w:r>
          </w:p>
          <w:p w14:paraId="57A38426" w14:textId="28B728DF" w:rsidR="00BB06ED" w:rsidRDefault="00BB06ED" w:rsidP="00FF6E56">
            <w:pPr>
              <w:numPr>
                <w:ilvl w:val="0"/>
                <w:numId w:val="9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Sales costs are included in  revenue costs during FY21/22</w:t>
            </w:r>
          </w:p>
          <w:p w14:paraId="44047E03" w14:textId="64DB99AE" w:rsidR="00FF6E56" w:rsidRDefault="00FF6E56" w:rsidP="00FF6E56">
            <w:pPr>
              <w:numPr>
                <w:ilvl w:val="0"/>
                <w:numId w:val="9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Moorfields</w:t>
            </w:r>
            <w:r w:rsidRPr="00715BA4">
              <w:rPr>
                <w:rFonts w:ascii="Arial" w:hAnsi="Arial" w:cs="Arial"/>
              </w:rPr>
              <w:t xml:space="preserve"> </w:t>
            </w:r>
            <w:r w:rsidRPr="00563A71">
              <w:rPr>
                <w:rFonts w:ascii="Arial" w:hAnsi="Arial" w:cs="Arial"/>
              </w:rPr>
              <w:t>share of based on expert determination</w:t>
            </w:r>
          </w:p>
          <w:p w14:paraId="64A6F437" w14:textId="418967B0" w:rsidR="00FF6E56" w:rsidRPr="00563A71" w:rsidRDefault="0084544B" w:rsidP="00FF6E56">
            <w:pPr>
              <w:numPr>
                <w:ilvl w:val="0"/>
                <w:numId w:val="9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[Redacted]</w:t>
            </w:r>
          </w:p>
        </w:tc>
        <w:tc>
          <w:tcPr>
            <w:tcW w:w="2069" w:type="dxa"/>
          </w:tcPr>
          <w:p w14:paraId="683BC2E9" w14:textId="77777777" w:rsidR="00FF6E56" w:rsidRDefault="00FF6E56" w:rsidP="00FF6E56">
            <w:pPr>
              <w:numPr>
                <w:ilvl w:val="0"/>
                <w:numId w:val="9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CBRE valuation report</w:t>
            </w:r>
          </w:p>
          <w:p w14:paraId="73F3C82E" w14:textId="57B14F6B" w:rsidR="00FF6E56" w:rsidRPr="00563A71" w:rsidRDefault="00FF6E56" w:rsidP="00FF6E56">
            <w:pPr>
              <w:numPr>
                <w:ilvl w:val="0"/>
                <w:numId w:val="99"/>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Expert determination of the apportionment of sale proceeds between the partners</w:t>
            </w:r>
            <w:r w:rsidRPr="00563A71">
              <w:rPr>
                <w:rFonts w:ascii="Arial" w:hAnsi="Arial" w:cs="Arial"/>
              </w:rPr>
              <w:t xml:space="preserve"> </w:t>
            </w:r>
          </w:p>
        </w:tc>
        <w:tc>
          <w:tcPr>
            <w:tcW w:w="3635" w:type="dxa"/>
            <w:tcBorders>
              <w:top w:val="single" w:sz="4" w:space="0" w:color="BFBFBF"/>
            </w:tcBorders>
            <w:shd w:val="clear" w:color="auto" w:fill="D99594" w:themeFill="accent2" w:themeFillTint="99"/>
          </w:tcPr>
          <w:p w14:paraId="48408F7E" w14:textId="77777777" w:rsidR="00FF6E56" w:rsidRPr="00563A71" w:rsidRDefault="00FF6E56" w:rsidP="00FF6E5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563A71">
              <w:rPr>
                <w:rFonts w:ascii="Arial" w:hAnsi="Arial" w:cs="Arial"/>
                <w:b/>
              </w:rPr>
              <w:t xml:space="preserve">Key risk 6a: Sale proceeds </w:t>
            </w:r>
            <w:r>
              <w:rPr>
                <w:rFonts w:ascii="Arial" w:hAnsi="Arial" w:cs="Arial"/>
                <w:b/>
              </w:rPr>
              <w:t>- amount</w:t>
            </w:r>
          </w:p>
          <w:p w14:paraId="6FCDA385" w14:textId="77777777" w:rsidR="00FF6E56" w:rsidRPr="00563A71" w:rsidRDefault="00FF6E56" w:rsidP="00FF6E5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563A71">
              <w:rPr>
                <w:rFonts w:ascii="Arial" w:hAnsi="Arial" w:cs="Arial"/>
              </w:rPr>
              <w:t>There is uncertainty in the sale valuation.</w:t>
            </w:r>
          </w:p>
          <w:p w14:paraId="3F0721D9" w14:textId="5DF91EF4" w:rsidR="00FF6E56" w:rsidRPr="00563A71" w:rsidRDefault="00FF6E56" w:rsidP="00FF6E5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rPr>
              <w:t>N</w:t>
            </w:r>
            <w:r w:rsidRPr="00563A71">
              <w:rPr>
                <w:rFonts w:ascii="Arial" w:hAnsi="Arial" w:cs="Arial"/>
              </w:rPr>
              <w:t xml:space="preserve">ote: </w:t>
            </w:r>
            <w:r w:rsidR="0084544B">
              <w:rPr>
                <w:rFonts w:ascii="Arial" w:hAnsi="Arial" w:cs="Arial"/>
              </w:rPr>
              <w:t>[Redacted]</w:t>
            </w:r>
          </w:p>
          <w:p w14:paraId="0FAA577A" w14:textId="77777777" w:rsidR="00FF6E56" w:rsidRDefault="00FF6E56" w:rsidP="00FF6E56">
            <w:pPr>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Key risk 6b: Sale proceeds – timing</w:t>
            </w:r>
          </w:p>
          <w:p w14:paraId="6A53839F" w14:textId="6B75A359" w:rsidR="00FF6E56" w:rsidRDefault="0084544B" w:rsidP="00FF6E56">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[Redacted]</w:t>
            </w:r>
          </w:p>
        </w:tc>
      </w:tr>
      <w:tr w:rsidR="00FF6E56" w:rsidRPr="00563A71" w14:paraId="042A0A0F" w14:textId="77777777" w:rsidTr="00FF6E56">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663" w:type="dxa"/>
            <w:shd w:val="clear" w:color="auto" w:fill="BDD6EE"/>
            <w:textDirection w:val="btLr"/>
            <w:vAlign w:val="center"/>
          </w:tcPr>
          <w:p w14:paraId="78905A92" w14:textId="77777777" w:rsidR="00FF6E56" w:rsidRPr="00563A71" w:rsidRDefault="00FF6E56" w:rsidP="00FF6E56">
            <w:pPr>
              <w:spacing w:after="160" w:line="259" w:lineRule="auto"/>
              <w:ind w:left="113" w:right="113"/>
              <w:jc w:val="center"/>
              <w:rPr>
                <w:rFonts w:ascii="Arial" w:hAnsi="Arial" w:cs="Arial"/>
              </w:rPr>
            </w:pPr>
            <w:r w:rsidRPr="00563A71">
              <w:rPr>
                <w:rFonts w:ascii="Arial" w:hAnsi="Arial" w:cs="Arial"/>
              </w:rPr>
              <w:t>Generic risk</w:t>
            </w:r>
          </w:p>
        </w:tc>
        <w:tc>
          <w:tcPr>
            <w:tcW w:w="1635" w:type="dxa"/>
          </w:tcPr>
          <w:p w14:paraId="54EF7FC2" w14:textId="77777777" w:rsidR="00FF6E56" w:rsidRPr="00563A71" w:rsidRDefault="00FF6E56" w:rsidP="00FF6E5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63A71">
              <w:rPr>
                <w:rFonts w:ascii="Arial" w:hAnsi="Arial" w:cs="Arial"/>
              </w:rPr>
              <w:t>Compensation / other risk</w:t>
            </w:r>
          </w:p>
        </w:tc>
        <w:tc>
          <w:tcPr>
            <w:tcW w:w="2488" w:type="dxa"/>
          </w:tcPr>
          <w:p w14:paraId="030524E6" w14:textId="1B087E67" w:rsidR="00FF6E56" w:rsidRPr="00563A71" w:rsidRDefault="00FF6E56" w:rsidP="00FF6E56">
            <w:pPr>
              <w:numPr>
                <w:ilvl w:val="0"/>
                <w:numId w:val="9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563A71">
              <w:rPr>
                <w:rFonts w:ascii="Arial" w:hAnsi="Arial" w:cs="Arial"/>
              </w:rPr>
              <w:t>£</w:t>
            </w:r>
            <w:r w:rsidR="0084544B">
              <w:rPr>
                <w:rFonts w:ascii="Arial" w:hAnsi="Arial" w:cs="Arial"/>
              </w:rPr>
              <w:t>XXX</w:t>
            </w:r>
            <w:r w:rsidRPr="00563A71">
              <w:rPr>
                <w:rFonts w:ascii="Arial" w:hAnsi="Arial" w:cs="Arial"/>
              </w:rPr>
              <w:t>m contingency is held in FY22 against potential compensation payments required in relation to the build, and any other potential capital risk not directly related to build costs (</w:t>
            </w:r>
            <w:r>
              <w:rPr>
                <w:rFonts w:ascii="Arial" w:hAnsi="Arial" w:cs="Arial"/>
              </w:rPr>
              <w:t xml:space="preserve">which are </w:t>
            </w:r>
            <w:r w:rsidRPr="00563A71">
              <w:rPr>
                <w:rFonts w:ascii="Arial" w:hAnsi="Arial" w:cs="Arial"/>
              </w:rPr>
              <w:t>assumed to be covered by contingency and optimism bias)</w:t>
            </w:r>
            <w:r w:rsidR="00BB06ED">
              <w:rPr>
                <w:rFonts w:ascii="Arial" w:hAnsi="Arial" w:cs="Arial"/>
              </w:rPr>
              <w:t xml:space="preserve">.  </w:t>
            </w:r>
          </w:p>
        </w:tc>
        <w:tc>
          <w:tcPr>
            <w:tcW w:w="2069" w:type="dxa"/>
          </w:tcPr>
          <w:p w14:paraId="776542D9" w14:textId="77777777" w:rsidR="00FF6E56" w:rsidRPr="00563A71" w:rsidRDefault="00FF6E56" w:rsidP="00FF6E56">
            <w:pPr>
              <w:spacing w:after="160" w:line="259" w:lineRule="auto"/>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635" w:type="dxa"/>
            <w:shd w:val="clear" w:color="auto" w:fill="D9D9D9"/>
          </w:tcPr>
          <w:p w14:paraId="02C280FD" w14:textId="01439B33" w:rsidR="00FF6E56" w:rsidRPr="00563A71" w:rsidRDefault="00FF6E56" w:rsidP="00FF6E5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Contingency and optimism bias held as part of the capital costs can be released against the risks highlighted above.</w:t>
            </w:r>
          </w:p>
          <w:p w14:paraId="7ADB2194" w14:textId="77777777" w:rsidR="00FF6E56" w:rsidRPr="00563A71" w:rsidRDefault="00FF6E56" w:rsidP="00FF6E5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63A71">
              <w:rPr>
                <w:rFonts w:ascii="Arial" w:hAnsi="Arial" w:cs="Arial"/>
              </w:rPr>
              <w:t>The generic contingency here can cover some additional risk</w:t>
            </w:r>
            <w:r>
              <w:rPr>
                <w:rFonts w:ascii="Arial" w:hAnsi="Arial" w:cs="Arial"/>
              </w:rPr>
              <w:t>, e.g. related to other events such as compensation requirements.</w:t>
            </w:r>
          </w:p>
          <w:p w14:paraId="43A42966" w14:textId="77777777" w:rsidR="00FF6E56" w:rsidRPr="00563A71" w:rsidRDefault="00FF6E56" w:rsidP="00FF6E56">
            <w:pPr>
              <w:spacing w:after="160"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63A71">
              <w:rPr>
                <w:rFonts w:ascii="Arial" w:hAnsi="Arial" w:cs="Arial"/>
              </w:rPr>
              <w:t xml:space="preserve">Beyond this, the mitigation to capital costs is capital loan funding – the revenue cost for this would be covered by revenue </w:t>
            </w:r>
            <w:r>
              <w:rPr>
                <w:rFonts w:ascii="Arial" w:hAnsi="Arial" w:cs="Arial"/>
              </w:rPr>
              <w:t>contingency set out in section 6.3.1</w:t>
            </w:r>
            <w:r w:rsidRPr="00563A71">
              <w:rPr>
                <w:rFonts w:ascii="Arial" w:hAnsi="Arial" w:cs="Arial"/>
              </w:rPr>
              <w:t>.</w:t>
            </w:r>
          </w:p>
          <w:p w14:paraId="0BD4F790" w14:textId="4003261D" w:rsidR="00FF6E56" w:rsidRPr="00563A71" w:rsidRDefault="00FF6E56" w:rsidP="00FF6E56">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Assessed further in sensitivity analysis in section </w:t>
            </w:r>
            <w:r w:rsidRPr="00237844">
              <w:rPr>
                <w:rFonts w:ascii="Arial" w:hAnsi="Arial" w:cs="Arial"/>
              </w:rPr>
              <w:t>6.6</w:t>
            </w:r>
          </w:p>
        </w:tc>
      </w:tr>
    </w:tbl>
    <w:p w14:paraId="5BD0A482" w14:textId="77777777" w:rsidR="005E30EF" w:rsidRPr="00351C3D" w:rsidRDefault="005E30EF" w:rsidP="005E30EF">
      <w:bookmarkStart w:id="313" w:name="_Toc413331350"/>
      <w:bookmarkStart w:id="314" w:name="_Toc409771219"/>
    </w:p>
    <w:p w14:paraId="0722C7AA" w14:textId="77777777" w:rsidR="00BB06ED" w:rsidRDefault="00BB06ED">
      <w:pPr>
        <w:rPr>
          <w:rFonts w:ascii="Arial" w:eastAsia="Arial" w:hAnsi="Arial" w:cs="Arial"/>
          <w:b/>
          <w:sz w:val="24"/>
          <w:szCs w:val="24"/>
        </w:rPr>
      </w:pPr>
      <w:bookmarkStart w:id="315" w:name="_Ref30429724"/>
      <w:bookmarkStart w:id="316" w:name="_Toc32842739"/>
      <w:r>
        <w:rPr>
          <w:rFonts w:ascii="Arial" w:eastAsia="Arial" w:hAnsi="Arial" w:cs="Arial"/>
        </w:rPr>
        <w:br w:type="page"/>
      </w:r>
    </w:p>
    <w:p w14:paraId="6E43FEDE" w14:textId="13E65A4C" w:rsidR="005E30EF" w:rsidRPr="00F25120" w:rsidRDefault="005E30EF" w:rsidP="005E0D57">
      <w:pPr>
        <w:pStyle w:val="Heading2"/>
        <w:numPr>
          <w:ilvl w:val="1"/>
          <w:numId w:val="1"/>
        </w:numPr>
        <w:rPr>
          <w:rFonts w:ascii="Arial" w:eastAsia="Arial" w:hAnsi="Arial" w:cs="Arial"/>
        </w:rPr>
      </w:pPr>
      <w:r w:rsidRPr="00F25120">
        <w:rPr>
          <w:rFonts w:ascii="Arial" w:eastAsia="Arial" w:hAnsi="Arial" w:cs="Arial"/>
        </w:rPr>
        <w:lastRenderedPageBreak/>
        <w:t>Review of forecast financial statements</w:t>
      </w:r>
      <w:bookmarkEnd w:id="315"/>
      <w:bookmarkEnd w:id="316"/>
    </w:p>
    <w:p w14:paraId="5D65B8F7" w14:textId="77777777" w:rsidR="00AF7894" w:rsidRDefault="00AF7894" w:rsidP="00AF7894">
      <w:pPr>
        <w:spacing w:after="0"/>
        <w:rPr>
          <w:rFonts w:ascii="Arial" w:hAnsi="Arial" w:cs="Arial"/>
        </w:rPr>
      </w:pPr>
    </w:p>
    <w:p w14:paraId="41957D37" w14:textId="44C890BF" w:rsidR="005E30EF" w:rsidRPr="00F25120" w:rsidRDefault="005E30EF" w:rsidP="00AF7894">
      <w:pPr>
        <w:rPr>
          <w:rFonts w:ascii="Arial" w:hAnsi="Arial" w:cs="Arial"/>
        </w:rPr>
      </w:pPr>
      <w:r w:rsidRPr="00F25120">
        <w:rPr>
          <w:rFonts w:ascii="Arial" w:hAnsi="Arial" w:cs="Arial"/>
        </w:rPr>
        <w:t xml:space="preserve">This section </w:t>
      </w:r>
      <w:r>
        <w:rPr>
          <w:rFonts w:ascii="Arial" w:hAnsi="Arial" w:cs="Arial"/>
        </w:rPr>
        <w:t>reviews the core financial statements on an annual basis over the forecast period, and provides commentary on key movements.</w:t>
      </w:r>
    </w:p>
    <w:p w14:paraId="1EF1767B" w14:textId="77777777" w:rsidR="005E30EF" w:rsidRDefault="005E30EF" w:rsidP="005E0D57">
      <w:pPr>
        <w:pStyle w:val="ListParagraph"/>
        <w:numPr>
          <w:ilvl w:val="2"/>
          <w:numId w:val="1"/>
        </w:numPr>
        <w:rPr>
          <w:rFonts w:ascii="Arial" w:hAnsi="Arial" w:cs="Arial"/>
          <w:b/>
        </w:rPr>
      </w:pPr>
      <w:r>
        <w:rPr>
          <w:rFonts w:ascii="Arial" w:hAnsi="Arial" w:cs="Arial"/>
          <w:b/>
        </w:rPr>
        <w:t>Statement of Comprehensive Income</w:t>
      </w:r>
    </w:p>
    <w:p w14:paraId="07B66F39" w14:textId="69E82C22" w:rsidR="00AF7894" w:rsidRDefault="00AF7894" w:rsidP="00AF7894">
      <w:pPr>
        <w:pStyle w:val="Caption"/>
      </w:pPr>
      <w:r>
        <w:t>Table</w:t>
      </w:r>
      <w:r w:rsidR="0060006F">
        <w:t xml:space="preserve"> 32</w:t>
      </w:r>
      <w:r>
        <w:t xml:space="preserve">: </w:t>
      </w:r>
      <w:r w:rsidRPr="00AF7894">
        <w:rPr>
          <w:b w:val="0"/>
          <w:bCs w:val="0"/>
        </w:rPr>
        <w:t>Statement of Comprehensive Income</w:t>
      </w:r>
    </w:p>
    <w:p w14:paraId="305B1BCF" w14:textId="2FE5ECA4" w:rsidR="005E30EF" w:rsidRDefault="005E30EF" w:rsidP="005E30EF">
      <w:pPr>
        <w:rPr>
          <w:rFonts w:ascii="Arial" w:hAnsi="Arial" w:cs="Arial"/>
          <w:b/>
        </w:rPr>
      </w:pPr>
    </w:p>
    <w:p w14:paraId="3E6956EA" w14:textId="2C6BC95C" w:rsidR="0084544B" w:rsidRPr="0084544B" w:rsidRDefault="0084544B" w:rsidP="005E30EF">
      <w:pPr>
        <w:rPr>
          <w:rFonts w:ascii="Arial" w:hAnsi="Arial" w:cs="Arial"/>
        </w:rPr>
      </w:pPr>
      <w:r w:rsidRPr="0084544B">
        <w:rPr>
          <w:rFonts w:ascii="Arial" w:hAnsi="Arial" w:cs="Arial"/>
        </w:rPr>
        <w:t>[Redacted]</w:t>
      </w:r>
    </w:p>
    <w:p w14:paraId="3246A6D9" w14:textId="125BC2D9" w:rsidR="005E30EF" w:rsidRPr="001F2EA3" w:rsidRDefault="005E30EF" w:rsidP="00190084">
      <w:pPr>
        <w:pStyle w:val="ListParagraph"/>
        <w:numPr>
          <w:ilvl w:val="0"/>
          <w:numId w:val="115"/>
        </w:numPr>
        <w:rPr>
          <w:rFonts w:ascii="Arial" w:hAnsi="Arial" w:cs="Arial"/>
          <w:b/>
        </w:rPr>
      </w:pPr>
      <w:r>
        <w:rPr>
          <w:rFonts w:ascii="Arial" w:hAnsi="Arial" w:cs="Arial"/>
        </w:rPr>
        <w:t>NHS and commercial growth assumptions lead to increased income and costs over the period</w:t>
      </w:r>
      <w:r w:rsidR="00AF7894">
        <w:rPr>
          <w:rFonts w:ascii="Arial" w:hAnsi="Arial" w:cs="Arial"/>
        </w:rPr>
        <w:t>.</w:t>
      </w:r>
    </w:p>
    <w:p w14:paraId="5B7B93B8" w14:textId="1CDCC5A7" w:rsidR="005E30EF" w:rsidRPr="001F2EA3" w:rsidRDefault="006517EF" w:rsidP="00190084">
      <w:pPr>
        <w:pStyle w:val="ListParagraph"/>
        <w:numPr>
          <w:ilvl w:val="0"/>
          <w:numId w:val="115"/>
        </w:numPr>
        <w:rPr>
          <w:rFonts w:ascii="Arial" w:hAnsi="Arial" w:cs="Arial"/>
          <w:b/>
        </w:rPr>
      </w:pPr>
      <w:r>
        <w:rPr>
          <w:rFonts w:ascii="Arial" w:hAnsi="Arial" w:cs="Arial"/>
        </w:rPr>
        <w:t>Non-recurrent project</w:t>
      </w:r>
      <w:r w:rsidR="005E30EF">
        <w:rPr>
          <w:rFonts w:ascii="Arial" w:hAnsi="Arial" w:cs="Arial"/>
        </w:rPr>
        <w:t xml:space="preserve"> costs </w:t>
      </w:r>
      <w:r>
        <w:rPr>
          <w:rFonts w:ascii="Arial" w:hAnsi="Arial" w:cs="Arial"/>
        </w:rPr>
        <w:t xml:space="preserve">are incurred </w:t>
      </w:r>
      <w:r w:rsidR="005E30EF">
        <w:rPr>
          <w:rFonts w:ascii="Arial" w:hAnsi="Arial" w:cs="Arial"/>
        </w:rPr>
        <w:t>in the period FY</w:t>
      </w:r>
      <w:r>
        <w:rPr>
          <w:rFonts w:ascii="Arial" w:hAnsi="Arial" w:cs="Arial"/>
        </w:rPr>
        <w:t xml:space="preserve">20 to FY24 and </w:t>
      </w:r>
      <w:r w:rsidR="005E30EF">
        <w:rPr>
          <w:rFonts w:ascii="Arial" w:hAnsi="Arial" w:cs="Arial"/>
        </w:rPr>
        <w:t>transitional/move costs in the period FY26 to FY28</w:t>
      </w:r>
      <w:r>
        <w:rPr>
          <w:rFonts w:ascii="Arial" w:hAnsi="Arial" w:cs="Arial"/>
        </w:rPr>
        <w:t>, which suppresses recurrent EBITDA.</w:t>
      </w:r>
    </w:p>
    <w:p w14:paraId="2EDEDF39" w14:textId="1CB566A2" w:rsidR="005E30EF" w:rsidRPr="001F2EA3" w:rsidRDefault="005E30EF" w:rsidP="00190084">
      <w:pPr>
        <w:pStyle w:val="ListParagraph"/>
        <w:numPr>
          <w:ilvl w:val="0"/>
          <w:numId w:val="115"/>
        </w:numPr>
        <w:rPr>
          <w:rFonts w:ascii="Arial" w:hAnsi="Arial" w:cs="Arial"/>
          <w:b/>
        </w:rPr>
      </w:pPr>
      <w:r>
        <w:rPr>
          <w:rFonts w:ascii="Arial" w:hAnsi="Arial" w:cs="Arial"/>
        </w:rPr>
        <w:t>PDC charges increase over the period due to capitalised construction costs from FY22 to FY27.  Depreciation increases in FY27 and FY28 reflecting the part year effects relating to the opening of the new facility</w:t>
      </w:r>
      <w:r w:rsidR="00AF7894">
        <w:rPr>
          <w:rFonts w:ascii="Arial" w:hAnsi="Arial" w:cs="Arial"/>
        </w:rPr>
        <w:t>.</w:t>
      </w:r>
    </w:p>
    <w:p w14:paraId="37265E55" w14:textId="1AAC2C3F" w:rsidR="005E30EF" w:rsidRPr="00D6330A" w:rsidRDefault="005E30EF" w:rsidP="00190084">
      <w:pPr>
        <w:pStyle w:val="ListParagraph"/>
        <w:numPr>
          <w:ilvl w:val="0"/>
          <w:numId w:val="115"/>
        </w:numPr>
        <w:rPr>
          <w:rFonts w:ascii="Arial" w:hAnsi="Arial" w:cs="Arial"/>
          <w:b/>
        </w:rPr>
      </w:pPr>
      <w:r>
        <w:rPr>
          <w:rFonts w:ascii="Arial" w:hAnsi="Arial" w:cs="Arial"/>
        </w:rPr>
        <w:t>Gain on disposal recognised in FY27 when the sale of City Road becomes unconditional</w:t>
      </w:r>
      <w:r w:rsidR="00AF7894">
        <w:rPr>
          <w:rFonts w:ascii="Arial" w:hAnsi="Arial" w:cs="Arial"/>
        </w:rPr>
        <w:t>.</w:t>
      </w:r>
    </w:p>
    <w:p w14:paraId="701F4C6D" w14:textId="5253A19C" w:rsidR="00FF6E56" w:rsidRPr="00494792" w:rsidRDefault="00BB06ED" w:rsidP="00494792">
      <w:pPr>
        <w:pStyle w:val="ListParagraph"/>
        <w:numPr>
          <w:ilvl w:val="0"/>
          <w:numId w:val="115"/>
        </w:numPr>
        <w:rPr>
          <w:rFonts w:ascii="Arial" w:hAnsi="Arial" w:cs="Arial"/>
          <w:b/>
        </w:rPr>
      </w:pPr>
      <w:r>
        <w:rPr>
          <w:rFonts w:ascii="Arial" w:hAnsi="Arial" w:cs="Arial"/>
        </w:rPr>
        <w:t>A</w:t>
      </w:r>
      <w:r w:rsidR="005E30EF">
        <w:rPr>
          <w:rFonts w:ascii="Arial" w:hAnsi="Arial" w:cs="Arial"/>
        </w:rPr>
        <w:t xml:space="preserve">n adjusted surplus </w:t>
      </w:r>
      <w:r>
        <w:rPr>
          <w:rFonts w:ascii="Arial" w:hAnsi="Arial" w:cs="Arial"/>
        </w:rPr>
        <w:t>is</w:t>
      </w:r>
      <w:r w:rsidR="005E30EF">
        <w:rPr>
          <w:rFonts w:ascii="Arial" w:hAnsi="Arial" w:cs="Arial"/>
        </w:rPr>
        <w:t xml:space="preserve"> reported from FY29 onwards – the first year without transitional costs or part year effects from the opening of the facility.  This demonstrates affordability from a revenue perspective.</w:t>
      </w:r>
    </w:p>
    <w:p w14:paraId="23997FD4" w14:textId="77777777" w:rsidR="00FF6E56" w:rsidRPr="001F2EA3" w:rsidRDefault="00FF6E56" w:rsidP="005E30EF">
      <w:pPr>
        <w:pStyle w:val="ListParagraph"/>
        <w:rPr>
          <w:rFonts w:ascii="Arial" w:hAnsi="Arial" w:cs="Arial"/>
          <w:b/>
        </w:rPr>
      </w:pPr>
    </w:p>
    <w:p w14:paraId="5827AFCB" w14:textId="77777777" w:rsidR="0069407C" w:rsidRDefault="0069407C">
      <w:pPr>
        <w:rPr>
          <w:rFonts w:ascii="Arial" w:hAnsi="Arial" w:cs="Arial"/>
          <w:b/>
        </w:rPr>
      </w:pPr>
      <w:r>
        <w:rPr>
          <w:rFonts w:ascii="Arial" w:hAnsi="Arial" w:cs="Arial"/>
          <w:b/>
        </w:rPr>
        <w:br w:type="page"/>
      </w:r>
    </w:p>
    <w:p w14:paraId="3D8C1865" w14:textId="27F409C6" w:rsidR="005E30EF" w:rsidRDefault="005E30EF" w:rsidP="005E0D57">
      <w:pPr>
        <w:pStyle w:val="ListParagraph"/>
        <w:numPr>
          <w:ilvl w:val="2"/>
          <w:numId w:val="1"/>
        </w:numPr>
        <w:rPr>
          <w:rFonts w:ascii="Arial" w:hAnsi="Arial" w:cs="Arial"/>
          <w:b/>
        </w:rPr>
      </w:pPr>
      <w:r w:rsidRPr="000A6E30">
        <w:rPr>
          <w:rFonts w:ascii="Arial" w:hAnsi="Arial" w:cs="Arial"/>
          <w:b/>
        </w:rPr>
        <w:lastRenderedPageBreak/>
        <w:t>Statement of Financial Position</w:t>
      </w:r>
    </w:p>
    <w:p w14:paraId="66D4EFBC" w14:textId="421F36EB" w:rsidR="00AF7894" w:rsidRDefault="00AF7894" w:rsidP="00AF7894">
      <w:pPr>
        <w:pStyle w:val="Caption"/>
      </w:pPr>
      <w:r>
        <w:t xml:space="preserve">Table </w:t>
      </w:r>
      <w:r>
        <w:fldChar w:fldCharType="begin"/>
      </w:r>
      <w:r>
        <w:instrText xml:space="preserve"> SEQ Table \* ARABIC </w:instrText>
      </w:r>
      <w:r>
        <w:fldChar w:fldCharType="separate"/>
      </w:r>
      <w:r w:rsidR="00A936CD">
        <w:rPr>
          <w:noProof/>
        </w:rPr>
        <w:t>30</w:t>
      </w:r>
      <w:r>
        <w:fldChar w:fldCharType="end"/>
      </w:r>
      <w:r>
        <w:t xml:space="preserve">: </w:t>
      </w:r>
      <w:r w:rsidRPr="00A77C4D">
        <w:rPr>
          <w:b w:val="0"/>
          <w:bCs w:val="0"/>
        </w:rPr>
        <w:t>Statement of Financial Position</w:t>
      </w:r>
    </w:p>
    <w:p w14:paraId="62154128" w14:textId="73E52834" w:rsidR="00E71A26" w:rsidRDefault="00E71A26" w:rsidP="00E71A26">
      <w:pPr>
        <w:rPr>
          <w:rFonts w:ascii="Arial" w:hAnsi="Arial" w:cs="Arial"/>
          <w:b/>
        </w:rPr>
      </w:pPr>
    </w:p>
    <w:p w14:paraId="5000FD3E" w14:textId="0BA3DA7E" w:rsidR="0084544B" w:rsidRPr="0084544B" w:rsidRDefault="0084544B" w:rsidP="00E71A26">
      <w:pPr>
        <w:rPr>
          <w:rFonts w:ascii="Arial" w:hAnsi="Arial" w:cs="Arial"/>
        </w:rPr>
      </w:pPr>
      <w:r w:rsidRPr="0084544B">
        <w:rPr>
          <w:rFonts w:ascii="Arial" w:hAnsi="Arial" w:cs="Arial"/>
        </w:rPr>
        <w:t>[Redacted]</w:t>
      </w:r>
    </w:p>
    <w:p w14:paraId="43FD5BFE" w14:textId="709E6EEA" w:rsidR="005E30EF" w:rsidRPr="00D6330A" w:rsidRDefault="005E30EF" w:rsidP="00190084">
      <w:pPr>
        <w:pStyle w:val="ListParagraph"/>
        <w:numPr>
          <w:ilvl w:val="0"/>
          <w:numId w:val="116"/>
        </w:numPr>
        <w:rPr>
          <w:rFonts w:ascii="Arial" w:hAnsi="Arial" w:cs="Arial"/>
          <w:b/>
        </w:rPr>
      </w:pPr>
      <w:r>
        <w:rPr>
          <w:rFonts w:ascii="Arial" w:hAnsi="Arial" w:cs="Arial"/>
        </w:rPr>
        <w:t>Current assets increase slightly over the period reflecting the increasing (nominal) income base of the organisation</w:t>
      </w:r>
      <w:r w:rsidR="00AF7894">
        <w:rPr>
          <w:rFonts w:ascii="Arial" w:hAnsi="Arial" w:cs="Arial"/>
        </w:rPr>
        <w:t>.</w:t>
      </w:r>
      <w:r w:rsidR="00E71A26">
        <w:rPr>
          <w:rFonts w:ascii="Arial" w:hAnsi="Arial" w:cs="Arial"/>
        </w:rPr>
        <w:t xml:space="preserve"> </w:t>
      </w:r>
    </w:p>
    <w:p w14:paraId="69BEFBCF" w14:textId="1EDA94F7" w:rsidR="005E30EF" w:rsidRPr="00D6330A" w:rsidRDefault="005E30EF" w:rsidP="00190084">
      <w:pPr>
        <w:pStyle w:val="ListParagraph"/>
        <w:numPr>
          <w:ilvl w:val="0"/>
          <w:numId w:val="116"/>
        </w:numPr>
        <w:rPr>
          <w:rFonts w:ascii="Arial" w:hAnsi="Arial" w:cs="Arial"/>
          <w:b/>
        </w:rPr>
      </w:pPr>
      <w:r>
        <w:rPr>
          <w:rFonts w:ascii="Arial" w:hAnsi="Arial" w:cs="Arial"/>
        </w:rPr>
        <w:t>Non-current assets increase over the period to FY27 due to Oriel constructions costs (which run from FY22 to FY27)</w:t>
      </w:r>
      <w:r w:rsidR="00AF7894">
        <w:rPr>
          <w:rFonts w:ascii="Arial" w:hAnsi="Arial" w:cs="Arial"/>
        </w:rPr>
        <w:t>.</w:t>
      </w:r>
      <w:r w:rsidR="00E71A26">
        <w:rPr>
          <w:rFonts w:ascii="Arial" w:hAnsi="Arial" w:cs="Arial"/>
        </w:rPr>
        <w:t xml:space="preserve">  </w:t>
      </w:r>
    </w:p>
    <w:p w14:paraId="5ECF1A8D" w14:textId="77777777" w:rsidR="005E30EF" w:rsidRPr="00EB1416" w:rsidRDefault="005E30EF" w:rsidP="00190084">
      <w:pPr>
        <w:pStyle w:val="ListParagraph"/>
        <w:numPr>
          <w:ilvl w:val="0"/>
          <w:numId w:val="116"/>
        </w:numPr>
        <w:rPr>
          <w:rFonts w:ascii="Arial" w:hAnsi="Arial" w:cs="Arial"/>
          <w:b/>
        </w:rPr>
      </w:pPr>
      <w:r>
        <w:rPr>
          <w:rFonts w:ascii="Arial" w:hAnsi="Arial" w:cs="Arial"/>
        </w:rPr>
        <w:t>Non-current liabilities reflects three elements:</w:t>
      </w:r>
    </w:p>
    <w:p w14:paraId="4A3A71B5" w14:textId="39445A36" w:rsidR="005E30EF" w:rsidRPr="009C4D9E" w:rsidRDefault="005E30EF" w:rsidP="00190084">
      <w:pPr>
        <w:pStyle w:val="ListParagraph"/>
        <w:numPr>
          <w:ilvl w:val="1"/>
          <w:numId w:val="116"/>
        </w:numPr>
        <w:rPr>
          <w:rFonts w:ascii="Arial" w:hAnsi="Arial" w:cs="Arial"/>
          <w:b/>
        </w:rPr>
      </w:pPr>
      <w:r>
        <w:rPr>
          <w:rFonts w:ascii="Arial" w:hAnsi="Arial" w:cs="Arial"/>
        </w:rPr>
        <w:t xml:space="preserve">Business as usual – assumed to remain stable at </w:t>
      </w:r>
      <w:r w:rsidR="00E71A26">
        <w:rPr>
          <w:rFonts w:ascii="Arial" w:hAnsi="Arial" w:cs="Arial"/>
        </w:rPr>
        <w:t>c £</w:t>
      </w:r>
      <w:r w:rsidR="0084544B">
        <w:rPr>
          <w:rFonts w:ascii="Arial" w:hAnsi="Arial" w:cs="Arial"/>
        </w:rPr>
        <w:t>XXX</w:t>
      </w:r>
      <w:r>
        <w:rPr>
          <w:rFonts w:ascii="Arial" w:hAnsi="Arial" w:cs="Arial"/>
        </w:rPr>
        <w:t xml:space="preserve">m p.a. for long term </w:t>
      </w:r>
      <w:r w:rsidRPr="009C4D9E">
        <w:rPr>
          <w:rFonts w:ascii="Arial" w:hAnsi="Arial" w:cs="Arial"/>
        </w:rPr>
        <w:t>creditors</w:t>
      </w:r>
      <w:r w:rsidR="00E71A26">
        <w:rPr>
          <w:rFonts w:ascii="Arial" w:hAnsi="Arial" w:cs="Arial"/>
        </w:rPr>
        <w:t xml:space="preserve"> and provisions</w:t>
      </w:r>
    </w:p>
    <w:p w14:paraId="3F290877" w14:textId="20E18E13" w:rsidR="005E30EF" w:rsidRPr="009C4D9E" w:rsidRDefault="005E30EF" w:rsidP="00190084">
      <w:pPr>
        <w:pStyle w:val="ListParagraph"/>
        <w:numPr>
          <w:ilvl w:val="1"/>
          <w:numId w:val="116"/>
        </w:numPr>
        <w:rPr>
          <w:rFonts w:ascii="Arial" w:hAnsi="Arial" w:cs="Arial"/>
          <w:b/>
        </w:rPr>
      </w:pPr>
      <w:r w:rsidRPr="009C4D9E">
        <w:rPr>
          <w:rFonts w:ascii="Arial" w:hAnsi="Arial" w:cs="Arial"/>
        </w:rPr>
        <w:t>Loans over one year – starting balance of £</w:t>
      </w:r>
      <w:r w:rsidR="0084544B">
        <w:rPr>
          <w:rFonts w:ascii="Arial" w:hAnsi="Arial" w:cs="Arial"/>
        </w:rPr>
        <w:t>XXX</w:t>
      </w:r>
      <w:r w:rsidRPr="009C4D9E">
        <w:rPr>
          <w:rFonts w:ascii="Arial" w:hAnsi="Arial" w:cs="Arial"/>
        </w:rPr>
        <w:t>m reducing by £</w:t>
      </w:r>
      <w:r w:rsidR="0084544B">
        <w:rPr>
          <w:rFonts w:ascii="Arial" w:hAnsi="Arial" w:cs="Arial"/>
        </w:rPr>
        <w:t>XXX</w:t>
      </w:r>
      <w:r w:rsidRPr="009C4D9E">
        <w:rPr>
          <w:rFonts w:ascii="Arial" w:hAnsi="Arial" w:cs="Arial"/>
        </w:rPr>
        <w:t>m p.a.</w:t>
      </w:r>
      <w:r>
        <w:rPr>
          <w:rFonts w:ascii="Arial" w:hAnsi="Arial" w:cs="Arial"/>
        </w:rPr>
        <w:t>, with the bridging loan recognised in addition for one year in FY26</w:t>
      </w:r>
      <w:r w:rsidR="00AF7894">
        <w:rPr>
          <w:rFonts w:ascii="Arial" w:hAnsi="Arial" w:cs="Arial"/>
        </w:rPr>
        <w:t>.</w:t>
      </w:r>
    </w:p>
    <w:p w14:paraId="2436A3A9" w14:textId="4FFA7A13" w:rsidR="005E30EF" w:rsidRPr="009C4D9E" w:rsidRDefault="00BB06ED" w:rsidP="00190084">
      <w:pPr>
        <w:pStyle w:val="ListParagraph"/>
        <w:numPr>
          <w:ilvl w:val="1"/>
          <w:numId w:val="116"/>
        </w:numPr>
        <w:rPr>
          <w:rFonts w:ascii="Arial" w:hAnsi="Arial" w:cs="Arial"/>
          <w:b/>
        </w:rPr>
      </w:pPr>
      <w:r>
        <w:rPr>
          <w:rFonts w:ascii="Arial" w:hAnsi="Arial" w:cs="Arial"/>
        </w:rPr>
        <w:t xml:space="preserve">City Road </w:t>
      </w:r>
      <w:r w:rsidR="0084544B">
        <w:rPr>
          <w:rFonts w:ascii="Arial" w:hAnsi="Arial" w:cs="Arial"/>
        </w:rPr>
        <w:t>[Redacted]</w:t>
      </w:r>
    </w:p>
    <w:p w14:paraId="5F31497C" w14:textId="040FE729" w:rsidR="005E30EF" w:rsidRPr="00EB1416" w:rsidRDefault="005E30EF" w:rsidP="00190084">
      <w:pPr>
        <w:pStyle w:val="ListParagraph"/>
        <w:numPr>
          <w:ilvl w:val="0"/>
          <w:numId w:val="116"/>
        </w:numPr>
        <w:rPr>
          <w:rFonts w:ascii="Arial" w:hAnsi="Arial" w:cs="Arial"/>
          <w:b/>
        </w:rPr>
      </w:pPr>
      <w:r>
        <w:rPr>
          <w:rFonts w:ascii="Arial" w:hAnsi="Arial" w:cs="Arial"/>
        </w:rPr>
        <w:t>PDC increases by £</w:t>
      </w:r>
      <w:r w:rsidR="002B2926">
        <w:rPr>
          <w:rFonts w:ascii="Arial" w:hAnsi="Arial" w:cs="Arial"/>
        </w:rPr>
        <w:t>XXX</w:t>
      </w:r>
      <w:r>
        <w:rPr>
          <w:rFonts w:ascii="Arial" w:hAnsi="Arial" w:cs="Arial"/>
        </w:rPr>
        <w:t>m reflecting the allocation of PDC funding for this project being drawn down</w:t>
      </w:r>
      <w:r w:rsidR="00AF7894">
        <w:rPr>
          <w:rFonts w:ascii="Arial" w:hAnsi="Arial" w:cs="Arial"/>
        </w:rPr>
        <w:t>.</w:t>
      </w:r>
    </w:p>
    <w:p w14:paraId="47B22306" w14:textId="2EA3BD20" w:rsidR="00FF6E56" w:rsidRPr="00494792" w:rsidRDefault="005E30EF" w:rsidP="00494792">
      <w:pPr>
        <w:pStyle w:val="ListParagraph"/>
        <w:numPr>
          <w:ilvl w:val="0"/>
          <w:numId w:val="116"/>
        </w:numPr>
        <w:rPr>
          <w:rFonts w:ascii="Arial" w:hAnsi="Arial" w:cs="Arial"/>
          <w:b/>
        </w:rPr>
      </w:pPr>
      <w:r>
        <w:rPr>
          <w:rFonts w:ascii="Arial" w:hAnsi="Arial" w:cs="Arial"/>
        </w:rPr>
        <w:t xml:space="preserve">Cash is maintained </w:t>
      </w:r>
      <w:r w:rsidR="009940CE">
        <w:rPr>
          <w:rFonts w:ascii="Arial" w:hAnsi="Arial" w:cs="Arial"/>
        </w:rPr>
        <w:t>at c. £</w:t>
      </w:r>
      <w:r w:rsidR="0084544B">
        <w:rPr>
          <w:rFonts w:ascii="Arial" w:hAnsi="Arial" w:cs="Arial"/>
        </w:rPr>
        <w:t>XXX</w:t>
      </w:r>
      <w:r w:rsidR="009940CE">
        <w:rPr>
          <w:rFonts w:ascii="Arial" w:hAnsi="Arial" w:cs="Arial"/>
        </w:rPr>
        <w:t>m or higher up to FY26</w:t>
      </w:r>
      <w:r>
        <w:rPr>
          <w:rFonts w:ascii="Arial" w:hAnsi="Arial" w:cs="Arial"/>
        </w:rPr>
        <w:t>.  T</w:t>
      </w:r>
      <w:r w:rsidR="00BB06ED">
        <w:rPr>
          <w:rFonts w:ascii="Arial" w:hAnsi="Arial" w:cs="Arial"/>
        </w:rPr>
        <w:t>his reduces to a low point of £</w:t>
      </w:r>
      <w:r w:rsidR="0084544B">
        <w:rPr>
          <w:rFonts w:ascii="Arial" w:hAnsi="Arial" w:cs="Arial"/>
        </w:rPr>
        <w:t>XXX</w:t>
      </w:r>
      <w:r>
        <w:rPr>
          <w:rFonts w:ascii="Arial" w:hAnsi="Arial" w:cs="Arial"/>
        </w:rPr>
        <w:t xml:space="preserve">m in FY27 as a result of the use of </w:t>
      </w:r>
      <w:r w:rsidR="00267569">
        <w:rPr>
          <w:rFonts w:ascii="Arial" w:hAnsi="Arial" w:cs="Arial"/>
        </w:rPr>
        <w:t>Moorfields</w:t>
      </w:r>
      <w:r w:rsidR="00267569" w:rsidRPr="00715BA4">
        <w:rPr>
          <w:rFonts w:ascii="Arial" w:hAnsi="Arial" w:cs="Arial"/>
        </w:rPr>
        <w:t xml:space="preserve"> </w:t>
      </w:r>
      <w:r>
        <w:rPr>
          <w:rFonts w:ascii="Arial" w:hAnsi="Arial" w:cs="Arial"/>
        </w:rPr>
        <w:t>internal cash to fund the capital programme and to fund transitional revenue costs – this still represents a net current asset position wi</w:t>
      </w:r>
      <w:r w:rsidR="00E71A26">
        <w:rPr>
          <w:rFonts w:ascii="Arial" w:hAnsi="Arial" w:cs="Arial"/>
        </w:rPr>
        <w:t>th a liquidity risk rating of ‘1</w:t>
      </w:r>
      <w:r>
        <w:rPr>
          <w:rFonts w:ascii="Arial" w:hAnsi="Arial" w:cs="Arial"/>
        </w:rPr>
        <w:t>’ under the NHSI framework.  This demonstrates affordability from a cash perspective.</w:t>
      </w:r>
    </w:p>
    <w:p w14:paraId="68294AFE" w14:textId="77777777" w:rsidR="00FF6E56" w:rsidRPr="00D34981" w:rsidRDefault="00FF6E56" w:rsidP="005E30EF">
      <w:pPr>
        <w:pStyle w:val="ListParagraph"/>
        <w:rPr>
          <w:rFonts w:ascii="Arial" w:hAnsi="Arial" w:cs="Arial"/>
          <w:b/>
        </w:rPr>
      </w:pPr>
    </w:p>
    <w:p w14:paraId="5882C70D" w14:textId="77777777" w:rsidR="0069407C" w:rsidRDefault="0069407C">
      <w:pPr>
        <w:rPr>
          <w:rFonts w:ascii="Arial" w:hAnsi="Arial" w:cs="Arial"/>
          <w:b/>
        </w:rPr>
      </w:pPr>
      <w:r>
        <w:rPr>
          <w:rFonts w:ascii="Arial" w:hAnsi="Arial" w:cs="Arial"/>
          <w:b/>
        </w:rPr>
        <w:br w:type="page"/>
      </w:r>
    </w:p>
    <w:p w14:paraId="1C7B3863" w14:textId="6DEA81CF" w:rsidR="005E30EF" w:rsidRDefault="005E30EF" w:rsidP="005E0D57">
      <w:pPr>
        <w:pStyle w:val="ListParagraph"/>
        <w:numPr>
          <w:ilvl w:val="2"/>
          <w:numId w:val="1"/>
        </w:numPr>
        <w:ind w:left="0" w:firstLine="0"/>
        <w:rPr>
          <w:rFonts w:ascii="Arial" w:hAnsi="Arial" w:cs="Arial"/>
          <w:b/>
        </w:rPr>
      </w:pPr>
      <w:r>
        <w:rPr>
          <w:rFonts w:ascii="Arial" w:hAnsi="Arial" w:cs="Arial"/>
          <w:b/>
        </w:rPr>
        <w:lastRenderedPageBreak/>
        <w:t>Statement of Cash flows</w:t>
      </w:r>
    </w:p>
    <w:p w14:paraId="3E2EFC6A" w14:textId="656DC76E" w:rsidR="005E30EF" w:rsidRPr="00435F56" w:rsidRDefault="00AF7894" w:rsidP="00435F56">
      <w:pPr>
        <w:pStyle w:val="Caption"/>
      </w:pPr>
      <w:r>
        <w:t xml:space="preserve">Table </w:t>
      </w:r>
      <w:r>
        <w:fldChar w:fldCharType="begin"/>
      </w:r>
      <w:r>
        <w:instrText xml:space="preserve"> SEQ Table \* ARABIC </w:instrText>
      </w:r>
      <w:r>
        <w:fldChar w:fldCharType="separate"/>
      </w:r>
      <w:r w:rsidR="00A936CD">
        <w:rPr>
          <w:noProof/>
        </w:rPr>
        <w:t>31</w:t>
      </w:r>
      <w:r>
        <w:fldChar w:fldCharType="end"/>
      </w:r>
      <w:r>
        <w:t xml:space="preserve">: </w:t>
      </w:r>
      <w:r w:rsidRPr="00622B18">
        <w:rPr>
          <w:b w:val="0"/>
          <w:bCs w:val="0"/>
        </w:rPr>
        <w:t>Statement of cash flows</w:t>
      </w:r>
    </w:p>
    <w:p w14:paraId="76230AD7" w14:textId="0ECB4EB2" w:rsidR="00435F56" w:rsidRDefault="00435F56" w:rsidP="005E30EF">
      <w:pPr>
        <w:rPr>
          <w:rFonts w:ascii="Arial" w:hAnsi="Arial" w:cs="Arial"/>
        </w:rPr>
      </w:pPr>
    </w:p>
    <w:p w14:paraId="493D91B7" w14:textId="4A4BF234" w:rsidR="0084544B" w:rsidRDefault="0084544B" w:rsidP="005E30EF">
      <w:pPr>
        <w:rPr>
          <w:rFonts w:ascii="Arial" w:hAnsi="Arial" w:cs="Arial"/>
        </w:rPr>
      </w:pPr>
      <w:r>
        <w:rPr>
          <w:rFonts w:ascii="Arial" w:hAnsi="Arial" w:cs="Arial"/>
        </w:rPr>
        <w:t>[Redacted]</w:t>
      </w:r>
    </w:p>
    <w:p w14:paraId="2B964F2B" w14:textId="55F14E29" w:rsidR="005E30EF" w:rsidRPr="007F03FE" w:rsidRDefault="005E30EF" w:rsidP="005E30EF">
      <w:pPr>
        <w:rPr>
          <w:rFonts w:ascii="Arial" w:hAnsi="Arial" w:cs="Arial"/>
        </w:rPr>
      </w:pPr>
      <w:r w:rsidRPr="007F03FE">
        <w:rPr>
          <w:rFonts w:ascii="Arial" w:hAnsi="Arial" w:cs="Arial"/>
        </w:rPr>
        <w:t xml:space="preserve">The changes in the cash flow statement reflect the changes in the Statement of </w:t>
      </w:r>
      <w:r w:rsidR="00435F56">
        <w:rPr>
          <w:rFonts w:ascii="Arial" w:hAnsi="Arial" w:cs="Arial"/>
        </w:rPr>
        <w:t>Comprehensive Income</w:t>
      </w:r>
      <w:r w:rsidRPr="007F03FE">
        <w:rPr>
          <w:rFonts w:ascii="Arial" w:hAnsi="Arial" w:cs="Arial"/>
        </w:rPr>
        <w:t xml:space="preserve"> and the Statement of Financial Position described in the previous two sections.</w:t>
      </w:r>
    </w:p>
    <w:p w14:paraId="4067E43C" w14:textId="039E4D13" w:rsidR="005E30EF" w:rsidRPr="007F03FE" w:rsidRDefault="005E30EF" w:rsidP="005E30EF">
      <w:pPr>
        <w:rPr>
          <w:rFonts w:ascii="Arial" w:hAnsi="Arial" w:cs="Arial"/>
        </w:rPr>
      </w:pPr>
      <w:r w:rsidRPr="007F03FE">
        <w:rPr>
          <w:rFonts w:ascii="Arial" w:hAnsi="Arial" w:cs="Arial"/>
        </w:rPr>
        <w:t>The key conclusion is that the cash balance remains sufficient throughout period, and once clear of the transitional costs in FY27, net cash generation is rob</w:t>
      </w:r>
      <w:r w:rsidR="00BB06ED">
        <w:rPr>
          <w:rFonts w:ascii="Arial" w:hAnsi="Arial" w:cs="Arial"/>
        </w:rPr>
        <w:t>ust and increasing (FY28 to FY29, and onwards</w:t>
      </w:r>
      <w:r w:rsidRPr="007F03FE">
        <w:rPr>
          <w:rFonts w:ascii="Arial" w:hAnsi="Arial" w:cs="Arial"/>
        </w:rPr>
        <w:t>).</w:t>
      </w:r>
    </w:p>
    <w:p w14:paraId="6CABB3CD" w14:textId="29B03F45" w:rsidR="005E30EF" w:rsidRPr="00587DF1" w:rsidRDefault="005E30EF" w:rsidP="005E0D57">
      <w:pPr>
        <w:pStyle w:val="Heading2"/>
        <w:numPr>
          <w:ilvl w:val="1"/>
          <w:numId w:val="1"/>
        </w:numPr>
        <w:rPr>
          <w:rFonts w:ascii="Arial" w:eastAsia="Arial" w:hAnsi="Arial" w:cs="Arial"/>
        </w:rPr>
      </w:pPr>
      <w:bookmarkStart w:id="317" w:name="_Ref30429741"/>
      <w:bookmarkStart w:id="318" w:name="_Toc32842740"/>
      <w:bookmarkEnd w:id="313"/>
      <w:bookmarkEnd w:id="314"/>
      <w:r w:rsidRPr="00587DF1">
        <w:rPr>
          <w:rFonts w:ascii="Arial" w:eastAsia="Arial" w:hAnsi="Arial" w:cs="Arial"/>
        </w:rPr>
        <w:t>Sensitivity testing and risk assessment</w:t>
      </w:r>
      <w:bookmarkEnd w:id="317"/>
      <w:bookmarkEnd w:id="318"/>
    </w:p>
    <w:p w14:paraId="547ABE49" w14:textId="77777777" w:rsidR="00FF6E56" w:rsidRDefault="00FF6E56" w:rsidP="00FF6E56">
      <w:pPr>
        <w:pBdr>
          <w:top w:val="nil"/>
          <w:left w:val="nil"/>
          <w:bottom w:val="nil"/>
          <w:right w:val="nil"/>
          <w:between w:val="nil"/>
        </w:pBdr>
        <w:tabs>
          <w:tab w:val="left" w:pos="567"/>
        </w:tabs>
        <w:spacing w:after="0"/>
        <w:rPr>
          <w:rFonts w:ascii="Arial" w:eastAsia="Arial" w:hAnsi="Arial" w:cs="Arial"/>
          <w:bCs/>
          <w:color w:val="000000"/>
        </w:rPr>
      </w:pPr>
    </w:p>
    <w:p w14:paraId="121DAFCB" w14:textId="4A70625F" w:rsidR="005E30EF" w:rsidRDefault="005E30EF" w:rsidP="005E30EF">
      <w:p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 xml:space="preserve">The previous sections have presented the view that the project is affordable within the </w:t>
      </w:r>
      <w:r w:rsidR="00AF7894">
        <w:rPr>
          <w:rFonts w:ascii="Arial" w:eastAsia="Arial" w:hAnsi="Arial" w:cs="Arial"/>
          <w:bCs/>
          <w:color w:val="000000"/>
        </w:rPr>
        <w:t>trust</w:t>
      </w:r>
      <w:r>
        <w:rPr>
          <w:rFonts w:ascii="Arial" w:eastAsia="Arial" w:hAnsi="Arial" w:cs="Arial"/>
          <w:bCs/>
          <w:color w:val="000000"/>
        </w:rPr>
        <w:t>’s budgets in future years.</w:t>
      </w:r>
    </w:p>
    <w:p w14:paraId="17EDBD04" w14:textId="77777777" w:rsidR="005E30EF" w:rsidRDefault="005E30EF" w:rsidP="005E30EF">
      <w:p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The purpose of this section is to test the sensitivity of this conclusion to changes in the underlying assumptions, alongside a view of the likelihood of these changes occurring.</w:t>
      </w:r>
    </w:p>
    <w:p w14:paraId="1678F3C2" w14:textId="23C9F556" w:rsidR="005E30EF" w:rsidRDefault="005E30EF" w:rsidP="005E30EF">
      <w:p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 xml:space="preserve">The key risks are those highlighted in </w:t>
      </w:r>
      <w:r w:rsidRPr="009C09B9">
        <w:rPr>
          <w:rFonts w:ascii="Arial" w:eastAsia="Arial" w:hAnsi="Arial" w:cs="Arial"/>
          <w:bCs/>
          <w:color w:val="000000"/>
        </w:rPr>
        <w:t xml:space="preserve">section </w:t>
      </w:r>
      <w:r w:rsidR="009C09B9" w:rsidRPr="009C09B9">
        <w:rPr>
          <w:rFonts w:ascii="Arial" w:eastAsia="Arial" w:hAnsi="Arial" w:cs="Arial"/>
          <w:bCs/>
          <w:color w:val="000000"/>
        </w:rPr>
        <w:t>6.3.</w:t>
      </w:r>
      <w:r w:rsidRPr="009C09B9">
        <w:rPr>
          <w:rFonts w:ascii="Arial" w:eastAsia="Arial" w:hAnsi="Arial" w:cs="Arial"/>
          <w:bCs/>
          <w:color w:val="000000"/>
        </w:rPr>
        <w:t xml:space="preserve">1 (Revenue risks) and </w:t>
      </w:r>
      <w:r w:rsidR="009C09B9" w:rsidRPr="009C09B9">
        <w:rPr>
          <w:rFonts w:ascii="Arial" w:eastAsia="Arial" w:hAnsi="Arial" w:cs="Arial"/>
          <w:bCs/>
          <w:color w:val="000000"/>
        </w:rPr>
        <w:t>6.3</w:t>
      </w:r>
      <w:r w:rsidRPr="009C09B9">
        <w:rPr>
          <w:rFonts w:ascii="Arial" w:eastAsia="Arial" w:hAnsi="Arial" w:cs="Arial"/>
          <w:bCs/>
          <w:color w:val="000000"/>
        </w:rPr>
        <w:t>.2 (Capital</w:t>
      </w:r>
      <w:r>
        <w:rPr>
          <w:rFonts w:ascii="Arial" w:eastAsia="Arial" w:hAnsi="Arial" w:cs="Arial"/>
          <w:bCs/>
          <w:color w:val="000000"/>
        </w:rPr>
        <w:t xml:space="preserve"> risks).</w:t>
      </w:r>
    </w:p>
    <w:p w14:paraId="392C20E2" w14:textId="77777777" w:rsidR="005E30EF" w:rsidRDefault="005E30EF" w:rsidP="00FF6E56">
      <w:pPr>
        <w:pBdr>
          <w:top w:val="nil"/>
          <w:left w:val="nil"/>
          <w:bottom w:val="nil"/>
          <w:right w:val="nil"/>
          <w:between w:val="nil"/>
        </w:pBdr>
        <w:tabs>
          <w:tab w:val="left" w:pos="567"/>
        </w:tabs>
        <w:spacing w:after="0"/>
        <w:rPr>
          <w:rFonts w:ascii="Arial" w:eastAsia="Arial" w:hAnsi="Arial" w:cs="Arial"/>
          <w:bCs/>
          <w:color w:val="000000"/>
        </w:rPr>
      </w:pPr>
      <w:r>
        <w:rPr>
          <w:rFonts w:ascii="Arial" w:eastAsia="Arial" w:hAnsi="Arial" w:cs="Arial"/>
          <w:bCs/>
          <w:color w:val="000000"/>
        </w:rPr>
        <w:t>These have been quantified on the following basis:</w:t>
      </w:r>
    </w:p>
    <w:p w14:paraId="6CF65BE9" w14:textId="20CD92EE" w:rsidR="005E30EF" w:rsidRDefault="005E30EF" w:rsidP="00190084">
      <w:pPr>
        <w:pStyle w:val="ListParagraph"/>
        <w:numPr>
          <w:ilvl w:val="0"/>
          <w:numId w:val="117"/>
        </w:numPr>
        <w:pBdr>
          <w:top w:val="nil"/>
          <w:left w:val="nil"/>
          <w:bottom w:val="nil"/>
          <w:right w:val="nil"/>
          <w:between w:val="nil"/>
        </w:pBdr>
        <w:tabs>
          <w:tab w:val="left" w:pos="567"/>
        </w:tabs>
        <w:ind w:left="567"/>
        <w:rPr>
          <w:rFonts w:ascii="Arial" w:eastAsia="Arial" w:hAnsi="Arial" w:cs="Arial"/>
          <w:bCs/>
          <w:color w:val="000000"/>
        </w:rPr>
      </w:pPr>
      <w:r w:rsidRPr="000E5EF3">
        <w:rPr>
          <w:rFonts w:ascii="Arial" w:eastAsia="Arial" w:hAnsi="Arial" w:cs="Arial"/>
          <w:b/>
          <w:bCs/>
          <w:color w:val="000000"/>
        </w:rPr>
        <w:t xml:space="preserve">Key risk 1: </w:t>
      </w:r>
      <w:r w:rsidR="009739BA" w:rsidRPr="000E5EF3">
        <w:rPr>
          <w:rFonts w:ascii="Arial" w:eastAsia="Arial" w:hAnsi="Arial" w:cs="Arial"/>
          <w:b/>
          <w:bCs/>
          <w:color w:val="000000"/>
        </w:rPr>
        <w:t xml:space="preserve">Commissioner </w:t>
      </w:r>
      <w:r w:rsidRPr="000E5EF3">
        <w:rPr>
          <w:rFonts w:ascii="Arial" w:eastAsia="Arial" w:hAnsi="Arial" w:cs="Arial"/>
          <w:b/>
          <w:bCs/>
          <w:color w:val="000000"/>
        </w:rPr>
        <w:t>QIPP</w:t>
      </w:r>
      <w:r>
        <w:rPr>
          <w:rFonts w:ascii="Arial" w:eastAsia="Arial" w:hAnsi="Arial" w:cs="Arial"/>
          <w:bCs/>
          <w:color w:val="000000"/>
        </w:rPr>
        <w:t xml:space="preserve"> – reduced NHS growth to match the ‘with reprovisioning’ rate identified by the Edge</w:t>
      </w:r>
      <w:r w:rsidR="00DA6AE4">
        <w:rPr>
          <w:rFonts w:ascii="Arial" w:eastAsia="Arial" w:hAnsi="Arial" w:cs="Arial"/>
          <w:bCs/>
          <w:color w:val="000000"/>
        </w:rPr>
        <w:t xml:space="preserve"> H</w:t>
      </w:r>
      <w:r>
        <w:rPr>
          <w:rFonts w:ascii="Arial" w:eastAsia="Arial" w:hAnsi="Arial" w:cs="Arial"/>
          <w:bCs/>
          <w:color w:val="000000"/>
        </w:rPr>
        <w:t xml:space="preserve">ealth system growth review as part of the DMBC (equates to </w:t>
      </w:r>
      <w:r w:rsidR="00286C7F">
        <w:rPr>
          <w:rFonts w:ascii="Arial" w:eastAsia="Arial" w:hAnsi="Arial" w:cs="Arial"/>
          <w:bCs/>
          <w:color w:val="000000"/>
        </w:rPr>
        <w:t>a reduction from a c. 3.0% growth rate to c. 2.5% per annum</w:t>
      </w:r>
      <w:r>
        <w:rPr>
          <w:rFonts w:ascii="Arial" w:eastAsia="Arial" w:hAnsi="Arial" w:cs="Arial"/>
          <w:bCs/>
          <w:color w:val="000000"/>
        </w:rPr>
        <w:t>)</w:t>
      </w:r>
      <w:r w:rsidR="0025490F">
        <w:rPr>
          <w:rFonts w:ascii="Arial" w:eastAsia="Arial" w:hAnsi="Arial" w:cs="Arial"/>
          <w:bCs/>
          <w:color w:val="000000"/>
        </w:rPr>
        <w:t>.</w:t>
      </w:r>
    </w:p>
    <w:p w14:paraId="4230E35E" w14:textId="064D4DB7" w:rsidR="005E30EF" w:rsidRDefault="005E30EF" w:rsidP="00190084">
      <w:pPr>
        <w:pStyle w:val="ListParagraph"/>
        <w:numPr>
          <w:ilvl w:val="0"/>
          <w:numId w:val="117"/>
        </w:numPr>
        <w:pBdr>
          <w:top w:val="nil"/>
          <w:left w:val="nil"/>
          <w:bottom w:val="nil"/>
          <w:right w:val="nil"/>
          <w:between w:val="nil"/>
        </w:pBdr>
        <w:tabs>
          <w:tab w:val="left" w:pos="567"/>
        </w:tabs>
        <w:ind w:left="567"/>
        <w:rPr>
          <w:rFonts w:ascii="Arial" w:eastAsia="Arial" w:hAnsi="Arial" w:cs="Arial"/>
          <w:bCs/>
          <w:color w:val="000000"/>
        </w:rPr>
      </w:pPr>
      <w:r w:rsidRPr="000E5EF3">
        <w:rPr>
          <w:rFonts w:ascii="Arial" w:eastAsia="Arial" w:hAnsi="Arial" w:cs="Arial"/>
          <w:b/>
          <w:bCs/>
          <w:color w:val="000000"/>
        </w:rPr>
        <w:t>Key risk 2: NHS margin</w:t>
      </w:r>
      <w:r>
        <w:rPr>
          <w:rFonts w:ascii="Arial" w:eastAsia="Arial" w:hAnsi="Arial" w:cs="Arial"/>
          <w:bCs/>
          <w:color w:val="000000"/>
        </w:rPr>
        <w:t xml:space="preserve"> – reduced marginal cost assumption to assume that no clinical costs are fixed (</w:t>
      </w:r>
      <w:r w:rsidR="00286C7F">
        <w:rPr>
          <w:rFonts w:ascii="Arial" w:eastAsia="Arial" w:hAnsi="Arial" w:cs="Arial"/>
          <w:bCs/>
          <w:color w:val="000000"/>
        </w:rPr>
        <w:t>uplifts marginal cost from 65% to 75%</w:t>
      </w:r>
      <w:r>
        <w:rPr>
          <w:rFonts w:ascii="Arial" w:eastAsia="Arial" w:hAnsi="Arial" w:cs="Arial"/>
          <w:bCs/>
          <w:color w:val="000000"/>
        </w:rPr>
        <w:t>)</w:t>
      </w:r>
      <w:r w:rsidR="0025490F">
        <w:rPr>
          <w:rFonts w:ascii="Arial" w:eastAsia="Arial" w:hAnsi="Arial" w:cs="Arial"/>
          <w:bCs/>
          <w:color w:val="000000"/>
        </w:rPr>
        <w:t>.</w:t>
      </w:r>
    </w:p>
    <w:p w14:paraId="688F7260" w14:textId="6BA1514B" w:rsidR="005E30EF" w:rsidRDefault="005E30EF" w:rsidP="00190084">
      <w:pPr>
        <w:pStyle w:val="ListParagraph"/>
        <w:numPr>
          <w:ilvl w:val="0"/>
          <w:numId w:val="117"/>
        </w:numPr>
        <w:pBdr>
          <w:top w:val="nil"/>
          <w:left w:val="nil"/>
          <w:bottom w:val="nil"/>
          <w:right w:val="nil"/>
          <w:between w:val="nil"/>
        </w:pBdr>
        <w:tabs>
          <w:tab w:val="left" w:pos="567"/>
        </w:tabs>
        <w:ind w:left="567"/>
        <w:rPr>
          <w:rFonts w:ascii="Arial" w:eastAsia="Arial" w:hAnsi="Arial" w:cs="Arial"/>
          <w:bCs/>
          <w:color w:val="000000"/>
        </w:rPr>
      </w:pPr>
      <w:r w:rsidRPr="000E5EF3">
        <w:rPr>
          <w:rFonts w:ascii="Arial" w:eastAsia="Arial" w:hAnsi="Arial" w:cs="Arial"/>
          <w:b/>
          <w:bCs/>
          <w:color w:val="000000"/>
        </w:rPr>
        <w:t>Key risk</w:t>
      </w:r>
      <w:r w:rsidR="00062436" w:rsidRPr="000E5EF3">
        <w:rPr>
          <w:rFonts w:ascii="Arial" w:eastAsia="Arial" w:hAnsi="Arial" w:cs="Arial"/>
          <w:b/>
          <w:bCs/>
          <w:color w:val="000000"/>
        </w:rPr>
        <w:t xml:space="preserve"> 3: Commercial margin</w:t>
      </w:r>
      <w:r w:rsidR="00062436">
        <w:rPr>
          <w:rFonts w:ascii="Arial" w:eastAsia="Arial" w:hAnsi="Arial" w:cs="Arial"/>
          <w:bCs/>
          <w:color w:val="000000"/>
        </w:rPr>
        <w:t xml:space="preserve"> –</w:t>
      </w:r>
      <w:r w:rsidR="00EB740B">
        <w:rPr>
          <w:rFonts w:ascii="Arial" w:eastAsia="Arial" w:hAnsi="Arial" w:cs="Arial"/>
          <w:bCs/>
          <w:color w:val="000000"/>
        </w:rPr>
        <w:t xml:space="preserve"> the growth assumption for the t</w:t>
      </w:r>
      <w:r w:rsidR="00062436">
        <w:rPr>
          <w:rFonts w:ascii="Arial" w:eastAsia="Arial" w:hAnsi="Arial" w:cs="Arial"/>
          <w:bCs/>
          <w:color w:val="000000"/>
        </w:rPr>
        <w:t xml:space="preserve">rust is reduced </w:t>
      </w:r>
      <w:r w:rsidR="0084544B">
        <w:rPr>
          <w:rFonts w:ascii="Arial" w:eastAsia="Arial" w:hAnsi="Arial" w:cs="Arial"/>
          <w:bCs/>
          <w:color w:val="000000"/>
        </w:rPr>
        <w:t>[Redacted]</w:t>
      </w:r>
    </w:p>
    <w:p w14:paraId="6223B5EC" w14:textId="1C817E7A" w:rsidR="005E30EF" w:rsidRDefault="005E30EF" w:rsidP="00190084">
      <w:pPr>
        <w:pStyle w:val="ListParagraph"/>
        <w:numPr>
          <w:ilvl w:val="0"/>
          <w:numId w:val="117"/>
        </w:numPr>
        <w:pBdr>
          <w:top w:val="nil"/>
          <w:left w:val="nil"/>
          <w:bottom w:val="nil"/>
          <w:right w:val="nil"/>
          <w:between w:val="nil"/>
        </w:pBdr>
        <w:tabs>
          <w:tab w:val="left" w:pos="567"/>
        </w:tabs>
        <w:ind w:left="567"/>
        <w:rPr>
          <w:rFonts w:ascii="Arial" w:eastAsia="Arial" w:hAnsi="Arial" w:cs="Arial"/>
          <w:bCs/>
          <w:color w:val="000000"/>
        </w:rPr>
      </w:pPr>
      <w:r w:rsidRPr="000E5EF3">
        <w:rPr>
          <w:rFonts w:ascii="Arial" w:eastAsia="Arial" w:hAnsi="Arial" w:cs="Arial"/>
          <w:b/>
          <w:bCs/>
          <w:color w:val="000000"/>
        </w:rPr>
        <w:t>Key risk 4: CIP</w:t>
      </w:r>
      <w:r>
        <w:rPr>
          <w:rFonts w:ascii="Arial" w:eastAsia="Arial" w:hAnsi="Arial" w:cs="Arial"/>
          <w:bCs/>
          <w:color w:val="000000"/>
        </w:rPr>
        <w:t xml:space="preserve"> – assumes 20% non-achievement of CIP target year on year based on average historical achievement against CIP plan in last four years (81% achievement of plan on average)</w:t>
      </w:r>
      <w:r w:rsidR="0025490F">
        <w:rPr>
          <w:rFonts w:ascii="Arial" w:eastAsia="Arial" w:hAnsi="Arial" w:cs="Arial"/>
          <w:bCs/>
          <w:color w:val="000000"/>
        </w:rPr>
        <w:t>.</w:t>
      </w:r>
    </w:p>
    <w:p w14:paraId="0F0711E7" w14:textId="59F49C59" w:rsidR="005E30EF" w:rsidRDefault="005E30EF" w:rsidP="00190084">
      <w:pPr>
        <w:pStyle w:val="ListParagraph"/>
        <w:numPr>
          <w:ilvl w:val="0"/>
          <w:numId w:val="117"/>
        </w:numPr>
        <w:pBdr>
          <w:top w:val="nil"/>
          <w:left w:val="nil"/>
          <w:bottom w:val="nil"/>
          <w:right w:val="nil"/>
          <w:between w:val="nil"/>
        </w:pBdr>
        <w:tabs>
          <w:tab w:val="left" w:pos="567"/>
        </w:tabs>
        <w:ind w:left="567"/>
        <w:rPr>
          <w:rFonts w:ascii="Arial" w:eastAsia="Arial" w:hAnsi="Arial" w:cs="Arial"/>
          <w:bCs/>
          <w:color w:val="000000"/>
        </w:rPr>
      </w:pPr>
      <w:r w:rsidRPr="000E5EF3">
        <w:rPr>
          <w:rFonts w:ascii="Arial" w:eastAsia="Arial" w:hAnsi="Arial" w:cs="Arial"/>
          <w:b/>
          <w:bCs/>
          <w:color w:val="000000"/>
        </w:rPr>
        <w:t>Key risk 5: Construction costs</w:t>
      </w:r>
      <w:r>
        <w:rPr>
          <w:rFonts w:ascii="Arial" w:eastAsia="Arial" w:hAnsi="Arial" w:cs="Arial"/>
          <w:bCs/>
          <w:color w:val="000000"/>
        </w:rPr>
        <w:t xml:space="preserve"> – </w:t>
      </w:r>
      <w:r w:rsidR="000E5EF3">
        <w:rPr>
          <w:rFonts w:ascii="Arial" w:eastAsia="Arial" w:hAnsi="Arial" w:cs="Arial"/>
          <w:bCs/>
          <w:color w:val="000000"/>
        </w:rPr>
        <w:t>models a 25% increase in construction costs</w:t>
      </w:r>
      <w:r w:rsidR="00EB740B">
        <w:rPr>
          <w:rFonts w:ascii="Arial" w:eastAsia="Arial" w:hAnsi="Arial" w:cs="Arial"/>
          <w:bCs/>
          <w:color w:val="000000"/>
        </w:rPr>
        <w:t>.</w:t>
      </w:r>
    </w:p>
    <w:p w14:paraId="1D46855D" w14:textId="2F35798F" w:rsidR="005E30EF" w:rsidRDefault="005E30EF" w:rsidP="00190084">
      <w:pPr>
        <w:pStyle w:val="ListParagraph"/>
        <w:numPr>
          <w:ilvl w:val="0"/>
          <w:numId w:val="117"/>
        </w:numPr>
        <w:pBdr>
          <w:top w:val="nil"/>
          <w:left w:val="nil"/>
          <w:bottom w:val="nil"/>
          <w:right w:val="nil"/>
          <w:between w:val="nil"/>
        </w:pBdr>
        <w:tabs>
          <w:tab w:val="left" w:pos="567"/>
        </w:tabs>
        <w:ind w:left="567"/>
        <w:rPr>
          <w:rFonts w:ascii="Arial" w:eastAsia="Arial" w:hAnsi="Arial" w:cs="Arial"/>
          <w:bCs/>
          <w:color w:val="000000"/>
        </w:rPr>
      </w:pPr>
      <w:r w:rsidRPr="000E5EF3">
        <w:rPr>
          <w:rFonts w:ascii="Arial" w:eastAsia="Arial" w:hAnsi="Arial" w:cs="Arial"/>
          <w:b/>
          <w:bCs/>
          <w:color w:val="000000"/>
        </w:rPr>
        <w:t>Key risk 6a: City Road sale proceeds (amount)</w:t>
      </w:r>
      <w:r>
        <w:rPr>
          <w:rFonts w:ascii="Arial" w:eastAsia="Arial" w:hAnsi="Arial" w:cs="Arial"/>
          <w:bCs/>
          <w:color w:val="000000"/>
        </w:rPr>
        <w:t xml:space="preserve"> – assumes </w:t>
      </w:r>
      <w:r w:rsidR="0084544B">
        <w:rPr>
          <w:rFonts w:ascii="Arial" w:eastAsia="Arial" w:hAnsi="Arial" w:cs="Arial"/>
          <w:bCs/>
          <w:color w:val="000000"/>
        </w:rPr>
        <w:t>[Redacted]</w:t>
      </w:r>
    </w:p>
    <w:p w14:paraId="35770E56" w14:textId="289BB6AE" w:rsidR="005E30EF" w:rsidRDefault="005E30EF" w:rsidP="00190084">
      <w:pPr>
        <w:pStyle w:val="ListParagraph"/>
        <w:numPr>
          <w:ilvl w:val="0"/>
          <w:numId w:val="117"/>
        </w:numPr>
        <w:pBdr>
          <w:top w:val="nil"/>
          <w:left w:val="nil"/>
          <w:bottom w:val="nil"/>
          <w:right w:val="nil"/>
          <w:between w:val="nil"/>
        </w:pBdr>
        <w:tabs>
          <w:tab w:val="left" w:pos="567"/>
        </w:tabs>
        <w:ind w:left="567"/>
        <w:rPr>
          <w:rFonts w:ascii="Arial" w:eastAsia="Arial" w:hAnsi="Arial" w:cs="Arial"/>
          <w:bCs/>
          <w:color w:val="000000"/>
        </w:rPr>
      </w:pPr>
      <w:r w:rsidRPr="000E5EF3">
        <w:rPr>
          <w:rFonts w:ascii="Arial" w:eastAsia="Arial" w:hAnsi="Arial" w:cs="Arial"/>
          <w:b/>
          <w:bCs/>
          <w:color w:val="000000"/>
        </w:rPr>
        <w:t>Key risk 6b: City Road sale proceeds (timing)</w:t>
      </w:r>
      <w:r>
        <w:rPr>
          <w:rFonts w:ascii="Arial" w:eastAsia="Arial" w:hAnsi="Arial" w:cs="Arial"/>
          <w:bCs/>
          <w:color w:val="000000"/>
        </w:rPr>
        <w:t xml:space="preserve"> – assumes </w:t>
      </w:r>
      <w:r w:rsidR="0084544B">
        <w:rPr>
          <w:rFonts w:ascii="Arial" w:eastAsia="Arial" w:hAnsi="Arial" w:cs="Arial"/>
          <w:bCs/>
          <w:color w:val="000000"/>
        </w:rPr>
        <w:t>[Redacted]</w:t>
      </w:r>
    </w:p>
    <w:p w14:paraId="1744BE6F" w14:textId="77777777" w:rsidR="005E30EF" w:rsidRDefault="005E30EF" w:rsidP="00FF6E56">
      <w:pPr>
        <w:pBdr>
          <w:top w:val="nil"/>
          <w:left w:val="nil"/>
          <w:bottom w:val="nil"/>
          <w:right w:val="nil"/>
          <w:between w:val="nil"/>
        </w:pBdr>
        <w:tabs>
          <w:tab w:val="left" w:pos="567"/>
        </w:tabs>
        <w:spacing w:after="0"/>
        <w:rPr>
          <w:rFonts w:ascii="Arial" w:eastAsia="Arial" w:hAnsi="Arial" w:cs="Arial"/>
          <w:bCs/>
          <w:color w:val="000000"/>
        </w:rPr>
      </w:pPr>
      <w:r>
        <w:rPr>
          <w:rFonts w:ascii="Arial" w:eastAsia="Arial" w:hAnsi="Arial" w:cs="Arial"/>
          <w:bCs/>
          <w:color w:val="000000"/>
        </w:rPr>
        <w:t>Against these, the following mitigations have been quantified:</w:t>
      </w:r>
    </w:p>
    <w:p w14:paraId="41857B2E" w14:textId="06D8CA61" w:rsidR="000E5EF3" w:rsidRPr="000E5EF3" w:rsidRDefault="000E5EF3" w:rsidP="00190084">
      <w:pPr>
        <w:pStyle w:val="ListParagraph"/>
        <w:numPr>
          <w:ilvl w:val="0"/>
          <w:numId w:val="118"/>
        </w:numPr>
        <w:pBdr>
          <w:top w:val="nil"/>
          <w:left w:val="nil"/>
          <w:bottom w:val="nil"/>
          <w:right w:val="nil"/>
          <w:between w:val="nil"/>
        </w:pBdr>
        <w:tabs>
          <w:tab w:val="left" w:pos="567"/>
        </w:tabs>
        <w:ind w:left="567" w:hanging="207"/>
        <w:rPr>
          <w:rFonts w:ascii="Arial" w:eastAsia="Arial" w:hAnsi="Arial" w:cs="Arial"/>
          <w:b/>
          <w:bCs/>
          <w:color w:val="000000"/>
        </w:rPr>
      </w:pPr>
      <w:r w:rsidRPr="000E5EF3">
        <w:rPr>
          <w:rFonts w:ascii="Arial" w:eastAsia="Arial" w:hAnsi="Arial" w:cs="Arial"/>
          <w:b/>
          <w:bCs/>
          <w:color w:val="000000"/>
        </w:rPr>
        <w:t xml:space="preserve">Mitigation A: working capital </w:t>
      </w:r>
      <w:r>
        <w:rPr>
          <w:rFonts w:ascii="Arial" w:eastAsia="Arial" w:hAnsi="Arial" w:cs="Arial"/>
          <w:b/>
          <w:bCs/>
          <w:color w:val="000000"/>
        </w:rPr>
        <w:t xml:space="preserve">– </w:t>
      </w:r>
      <w:r>
        <w:rPr>
          <w:rFonts w:ascii="Arial" w:eastAsia="Arial" w:hAnsi="Arial" w:cs="Arial"/>
          <w:bCs/>
          <w:color w:val="000000"/>
        </w:rPr>
        <w:t xml:space="preserve">in the base case, some cash is used to reduce payables and some other working capital </w:t>
      </w:r>
      <w:r w:rsidR="00EB740B">
        <w:rPr>
          <w:rFonts w:ascii="Arial" w:eastAsia="Arial" w:hAnsi="Arial" w:cs="Arial"/>
          <w:bCs/>
          <w:color w:val="000000"/>
        </w:rPr>
        <w:t>adjustments</w:t>
      </w:r>
      <w:r>
        <w:rPr>
          <w:rFonts w:ascii="Arial" w:eastAsia="Arial" w:hAnsi="Arial" w:cs="Arial"/>
          <w:bCs/>
          <w:color w:val="000000"/>
        </w:rPr>
        <w:t>.  In a downside, it is assumed that this is reversed.</w:t>
      </w:r>
    </w:p>
    <w:p w14:paraId="42005E26" w14:textId="43B8894B" w:rsidR="000E5EF3" w:rsidRPr="000E5EF3" w:rsidRDefault="000E5EF3" w:rsidP="000E5EF3">
      <w:pPr>
        <w:pStyle w:val="ListParagraph"/>
        <w:numPr>
          <w:ilvl w:val="0"/>
          <w:numId w:val="118"/>
        </w:numPr>
        <w:pBdr>
          <w:top w:val="nil"/>
          <w:left w:val="nil"/>
          <w:bottom w:val="nil"/>
          <w:right w:val="nil"/>
          <w:between w:val="nil"/>
        </w:pBdr>
        <w:tabs>
          <w:tab w:val="left" w:pos="567"/>
        </w:tabs>
        <w:ind w:left="567" w:hanging="207"/>
        <w:rPr>
          <w:rFonts w:ascii="Arial" w:eastAsia="Arial" w:hAnsi="Arial" w:cs="Arial"/>
          <w:bCs/>
          <w:color w:val="000000"/>
        </w:rPr>
      </w:pPr>
      <w:r w:rsidRPr="000E5EF3">
        <w:rPr>
          <w:rFonts w:ascii="Arial" w:eastAsia="Arial" w:hAnsi="Arial" w:cs="Arial"/>
          <w:b/>
          <w:bCs/>
          <w:color w:val="000000"/>
        </w:rPr>
        <w:t>Mitigation B: release of contingency and risk reserves</w:t>
      </w:r>
      <w:r>
        <w:rPr>
          <w:rFonts w:ascii="Arial" w:eastAsia="Arial" w:hAnsi="Arial" w:cs="Arial"/>
          <w:bCs/>
          <w:color w:val="000000"/>
        </w:rPr>
        <w:t xml:space="preserve"> – assumes all the revenue risk reserves are released against the above risks.</w:t>
      </w:r>
    </w:p>
    <w:p w14:paraId="173D72CF" w14:textId="600F4E42" w:rsidR="005E30EF" w:rsidRDefault="000E5EF3" w:rsidP="00190084">
      <w:pPr>
        <w:pStyle w:val="ListParagraph"/>
        <w:numPr>
          <w:ilvl w:val="0"/>
          <w:numId w:val="118"/>
        </w:numPr>
        <w:pBdr>
          <w:top w:val="nil"/>
          <w:left w:val="nil"/>
          <w:bottom w:val="nil"/>
          <w:right w:val="nil"/>
          <w:between w:val="nil"/>
        </w:pBdr>
        <w:tabs>
          <w:tab w:val="left" w:pos="567"/>
        </w:tabs>
        <w:ind w:left="567" w:hanging="207"/>
        <w:rPr>
          <w:rFonts w:ascii="Arial" w:eastAsia="Arial" w:hAnsi="Arial" w:cs="Arial"/>
          <w:bCs/>
          <w:color w:val="000000"/>
        </w:rPr>
      </w:pPr>
      <w:r w:rsidRPr="000E5EF3">
        <w:rPr>
          <w:rFonts w:ascii="Arial" w:eastAsia="Arial" w:hAnsi="Arial" w:cs="Arial"/>
          <w:b/>
          <w:bCs/>
          <w:color w:val="000000"/>
        </w:rPr>
        <w:lastRenderedPageBreak/>
        <w:t>Mitigation C</w:t>
      </w:r>
      <w:r w:rsidR="005E30EF" w:rsidRPr="000E5EF3">
        <w:rPr>
          <w:rFonts w:ascii="Arial" w:eastAsia="Arial" w:hAnsi="Arial" w:cs="Arial"/>
          <w:b/>
          <w:bCs/>
          <w:color w:val="000000"/>
        </w:rPr>
        <w:t>: bring forward MEC reserve contribution</w:t>
      </w:r>
      <w:r w:rsidR="005E30EF">
        <w:rPr>
          <w:rFonts w:ascii="Arial" w:eastAsia="Arial" w:hAnsi="Arial" w:cs="Arial"/>
          <w:bCs/>
          <w:color w:val="000000"/>
        </w:rPr>
        <w:t xml:space="preserve"> – of the £</w:t>
      </w:r>
      <w:r w:rsidR="0084544B">
        <w:rPr>
          <w:rFonts w:ascii="Arial" w:eastAsia="Arial" w:hAnsi="Arial" w:cs="Arial"/>
          <w:bCs/>
          <w:color w:val="000000"/>
        </w:rPr>
        <w:t>XXXm</w:t>
      </w:r>
      <w:r w:rsidR="005E30EF">
        <w:rPr>
          <w:rFonts w:ascii="Arial" w:eastAsia="Arial" w:hAnsi="Arial" w:cs="Arial"/>
          <w:bCs/>
          <w:color w:val="000000"/>
        </w:rPr>
        <w:t xml:space="preserve"> of charitable donations, £</w:t>
      </w:r>
      <w:r w:rsidR="0084544B">
        <w:rPr>
          <w:rFonts w:ascii="Arial" w:eastAsia="Arial" w:hAnsi="Arial" w:cs="Arial"/>
          <w:bCs/>
          <w:color w:val="000000"/>
        </w:rPr>
        <w:t>XXX</w:t>
      </w:r>
      <w:r w:rsidR="005E30EF">
        <w:rPr>
          <w:rFonts w:ascii="Arial" w:eastAsia="Arial" w:hAnsi="Arial" w:cs="Arial"/>
          <w:bCs/>
          <w:color w:val="000000"/>
        </w:rPr>
        <w:t>m come from the Moorfield’s Eye Charity reserves and are currently held in long term investments but, in a downside scenario, could be provided earlier</w:t>
      </w:r>
      <w:r w:rsidR="0025490F">
        <w:rPr>
          <w:rFonts w:ascii="Arial" w:eastAsia="Arial" w:hAnsi="Arial" w:cs="Arial"/>
          <w:bCs/>
          <w:color w:val="000000"/>
        </w:rPr>
        <w:t>.</w:t>
      </w:r>
    </w:p>
    <w:p w14:paraId="6F9FC95E" w14:textId="463A146A" w:rsidR="000E5EF3" w:rsidRDefault="000E5EF3" w:rsidP="000E5EF3">
      <w:pPr>
        <w:pStyle w:val="ListParagraph"/>
        <w:numPr>
          <w:ilvl w:val="0"/>
          <w:numId w:val="118"/>
        </w:numPr>
        <w:pBdr>
          <w:top w:val="nil"/>
          <w:left w:val="nil"/>
          <w:bottom w:val="nil"/>
          <w:right w:val="nil"/>
          <w:between w:val="nil"/>
        </w:pBdr>
        <w:tabs>
          <w:tab w:val="left" w:pos="567"/>
        </w:tabs>
        <w:ind w:left="567" w:hanging="207"/>
        <w:rPr>
          <w:rFonts w:ascii="Arial" w:eastAsia="Arial" w:hAnsi="Arial" w:cs="Arial"/>
          <w:bCs/>
          <w:color w:val="000000"/>
        </w:rPr>
      </w:pPr>
      <w:r w:rsidRPr="000E5EF3">
        <w:rPr>
          <w:rFonts w:ascii="Arial" w:eastAsia="Arial" w:hAnsi="Arial" w:cs="Arial"/>
          <w:b/>
          <w:bCs/>
          <w:color w:val="000000"/>
        </w:rPr>
        <w:t xml:space="preserve">Mitigation D: additional capex loan funding </w:t>
      </w:r>
      <w:r>
        <w:rPr>
          <w:rFonts w:ascii="Arial" w:eastAsia="Arial" w:hAnsi="Arial" w:cs="Arial"/>
          <w:bCs/>
          <w:color w:val="000000"/>
        </w:rPr>
        <w:t>– assumes two tranches of additional capex loan funding from DHSC are drawn down to replace lost capital funding from the reduced sales proceeds and to cover the increased capital costs.</w:t>
      </w:r>
      <w:r w:rsidR="009B54A7">
        <w:rPr>
          <w:rFonts w:ascii="Arial" w:eastAsia="Arial" w:hAnsi="Arial" w:cs="Arial"/>
          <w:bCs/>
          <w:color w:val="000000"/>
        </w:rPr>
        <w:t xml:space="preserve">  In total, £</w:t>
      </w:r>
      <w:r w:rsidR="0084544B">
        <w:rPr>
          <w:rFonts w:ascii="Arial" w:eastAsia="Arial" w:hAnsi="Arial" w:cs="Arial"/>
          <w:bCs/>
          <w:color w:val="000000"/>
        </w:rPr>
        <w:t>XXX</w:t>
      </w:r>
      <w:r w:rsidR="009B54A7">
        <w:rPr>
          <w:rFonts w:ascii="Arial" w:eastAsia="Arial" w:hAnsi="Arial" w:cs="Arial"/>
          <w:bCs/>
          <w:color w:val="000000"/>
        </w:rPr>
        <w:t>m of capex loan is assumed, borrowed over a 25 year period at an interest rate of 3.5%.</w:t>
      </w:r>
    </w:p>
    <w:p w14:paraId="388F1F8B" w14:textId="3D2E0990" w:rsidR="000E5EF3" w:rsidRPr="000E5EF3" w:rsidRDefault="000E5EF3" w:rsidP="000E5EF3">
      <w:pPr>
        <w:pStyle w:val="ListParagraph"/>
        <w:numPr>
          <w:ilvl w:val="0"/>
          <w:numId w:val="118"/>
        </w:numPr>
        <w:pBdr>
          <w:top w:val="nil"/>
          <w:left w:val="nil"/>
          <w:bottom w:val="nil"/>
          <w:right w:val="nil"/>
          <w:between w:val="nil"/>
        </w:pBdr>
        <w:tabs>
          <w:tab w:val="left" w:pos="567"/>
        </w:tabs>
        <w:ind w:left="567" w:hanging="207"/>
        <w:rPr>
          <w:rFonts w:ascii="Arial" w:eastAsia="Arial" w:hAnsi="Arial" w:cs="Arial"/>
          <w:bCs/>
          <w:color w:val="000000"/>
        </w:rPr>
      </w:pPr>
      <w:r>
        <w:rPr>
          <w:rFonts w:ascii="Arial" w:eastAsia="Arial" w:hAnsi="Arial" w:cs="Arial"/>
          <w:b/>
          <w:bCs/>
          <w:color w:val="000000"/>
        </w:rPr>
        <w:t>Mitigation E</w:t>
      </w:r>
      <w:r w:rsidRPr="000E5EF3">
        <w:rPr>
          <w:rFonts w:ascii="Arial" w:eastAsia="Arial" w:hAnsi="Arial" w:cs="Arial"/>
          <w:bCs/>
          <w:color w:val="000000"/>
        </w:rPr>
        <w:t>:</w:t>
      </w:r>
      <w:r>
        <w:rPr>
          <w:rFonts w:ascii="Arial" w:eastAsia="Arial" w:hAnsi="Arial" w:cs="Arial"/>
          <w:bCs/>
          <w:color w:val="000000"/>
        </w:rPr>
        <w:t xml:space="preserve"> </w:t>
      </w:r>
      <w:r>
        <w:rPr>
          <w:rFonts w:ascii="Arial" w:eastAsia="Arial" w:hAnsi="Arial" w:cs="Arial"/>
          <w:b/>
          <w:bCs/>
          <w:color w:val="000000"/>
        </w:rPr>
        <w:t>one off measures in FY21 –</w:t>
      </w:r>
      <w:r>
        <w:rPr>
          <w:rFonts w:ascii="Arial" w:eastAsia="Arial" w:hAnsi="Arial" w:cs="Arial"/>
          <w:bCs/>
          <w:color w:val="000000"/>
        </w:rPr>
        <w:t xml:space="preserve"> assumes a small amount (£</w:t>
      </w:r>
      <w:r w:rsidR="0084544B">
        <w:rPr>
          <w:rFonts w:ascii="Arial" w:eastAsia="Arial" w:hAnsi="Arial" w:cs="Arial"/>
          <w:bCs/>
          <w:color w:val="000000"/>
        </w:rPr>
        <w:t>XXX</w:t>
      </w:r>
      <w:r>
        <w:rPr>
          <w:rFonts w:ascii="Arial" w:eastAsia="Arial" w:hAnsi="Arial" w:cs="Arial"/>
          <w:bCs/>
          <w:color w:val="000000"/>
        </w:rPr>
        <w:t>m) of above plan performance in FY20 (not included in base case) allows an at least non-recurrent improvement in FY21 in this downside.</w:t>
      </w:r>
    </w:p>
    <w:p w14:paraId="25EB888B" w14:textId="3A015C13" w:rsidR="005E30EF" w:rsidRDefault="005E30EF" w:rsidP="005E30EF">
      <w:p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 xml:space="preserve">The following tables set out the quantification of these risks and mitigation and </w:t>
      </w:r>
      <w:r w:rsidR="000E5EF3">
        <w:rPr>
          <w:rFonts w:ascii="Arial" w:eastAsia="Arial" w:hAnsi="Arial" w:cs="Arial"/>
          <w:bCs/>
          <w:color w:val="000000"/>
        </w:rPr>
        <w:t>shows the</w:t>
      </w:r>
      <w:r>
        <w:rPr>
          <w:rFonts w:ascii="Arial" w:eastAsia="Arial" w:hAnsi="Arial" w:cs="Arial"/>
          <w:bCs/>
          <w:color w:val="000000"/>
        </w:rPr>
        <w:t xml:space="preserve"> impact on adjusted surplus and then cash.</w:t>
      </w:r>
    </w:p>
    <w:p w14:paraId="1E46A12F" w14:textId="2A5EB724" w:rsidR="00494792" w:rsidRPr="00494792" w:rsidRDefault="00AF7894" w:rsidP="00494792">
      <w:pPr>
        <w:pStyle w:val="Caption"/>
        <w:rPr>
          <w:b w:val="0"/>
          <w:bCs w:val="0"/>
        </w:rPr>
      </w:pPr>
      <w:r>
        <w:t xml:space="preserve">Table </w:t>
      </w:r>
      <w:r>
        <w:fldChar w:fldCharType="begin"/>
      </w:r>
      <w:r>
        <w:instrText xml:space="preserve"> SEQ Table \* ARABIC </w:instrText>
      </w:r>
      <w:r>
        <w:fldChar w:fldCharType="separate"/>
      </w:r>
      <w:r w:rsidR="00A936CD">
        <w:rPr>
          <w:noProof/>
        </w:rPr>
        <w:t>32</w:t>
      </w:r>
      <w:r>
        <w:fldChar w:fldCharType="end"/>
      </w:r>
      <w:r>
        <w:t xml:space="preserve">: </w:t>
      </w:r>
      <w:r w:rsidR="00494792">
        <w:rPr>
          <w:b w:val="0"/>
          <w:bCs w:val="0"/>
        </w:rPr>
        <w:t>S</w:t>
      </w:r>
      <w:r w:rsidRPr="000614BF">
        <w:rPr>
          <w:b w:val="0"/>
          <w:bCs w:val="0"/>
        </w:rPr>
        <w:t>urplus after risks and mitigations</w:t>
      </w:r>
    </w:p>
    <w:p w14:paraId="4AAE8A33" w14:textId="5070684E" w:rsidR="009B54A7" w:rsidRPr="0084544B" w:rsidRDefault="0084544B" w:rsidP="00494792">
      <w:pPr>
        <w:pStyle w:val="Caption"/>
        <w:rPr>
          <w:b w:val="0"/>
          <w:i w:val="0"/>
          <w:sz w:val="22"/>
          <w:szCs w:val="22"/>
        </w:rPr>
      </w:pPr>
      <w:r w:rsidRPr="0084544B">
        <w:rPr>
          <w:b w:val="0"/>
          <w:i w:val="0"/>
          <w:sz w:val="22"/>
          <w:szCs w:val="22"/>
        </w:rPr>
        <w:t>[Redacted]</w:t>
      </w:r>
    </w:p>
    <w:p w14:paraId="720F7A49" w14:textId="77777777" w:rsidR="009B54A7" w:rsidRDefault="009B54A7" w:rsidP="00494792">
      <w:pPr>
        <w:pStyle w:val="Caption"/>
      </w:pPr>
    </w:p>
    <w:p w14:paraId="5B714D74" w14:textId="4F156A8E" w:rsidR="00494792" w:rsidRPr="00494792" w:rsidRDefault="00AF7894" w:rsidP="00494792">
      <w:pPr>
        <w:pStyle w:val="Caption"/>
      </w:pPr>
      <w:r>
        <w:t xml:space="preserve">Table </w:t>
      </w:r>
      <w:r>
        <w:fldChar w:fldCharType="begin"/>
      </w:r>
      <w:r>
        <w:instrText xml:space="preserve"> SEQ Table \* ARABIC </w:instrText>
      </w:r>
      <w:r>
        <w:fldChar w:fldCharType="separate"/>
      </w:r>
      <w:r w:rsidR="00A936CD">
        <w:rPr>
          <w:noProof/>
        </w:rPr>
        <w:t>33</w:t>
      </w:r>
      <w:r>
        <w:fldChar w:fldCharType="end"/>
      </w:r>
      <w:r>
        <w:t xml:space="preserve">: </w:t>
      </w:r>
      <w:r w:rsidRPr="0001103A">
        <w:rPr>
          <w:b w:val="0"/>
          <w:bCs w:val="0"/>
        </w:rPr>
        <w:t>Cash after risks and mitigations</w:t>
      </w:r>
    </w:p>
    <w:p w14:paraId="22D2C453" w14:textId="5763EAAA" w:rsidR="00494792" w:rsidRDefault="0084544B" w:rsidP="005E30EF">
      <w:p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[Redacted]</w:t>
      </w:r>
    </w:p>
    <w:p w14:paraId="64507471" w14:textId="35AFA1FC" w:rsidR="005E30EF" w:rsidRPr="00A90F6D" w:rsidRDefault="005E30EF" w:rsidP="00AF7894">
      <w:p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This analysis demonstrates that in this downside scenario</w:t>
      </w:r>
      <w:r w:rsidR="009B54A7">
        <w:rPr>
          <w:rFonts w:ascii="Arial" w:eastAsia="Arial" w:hAnsi="Arial" w:cs="Arial"/>
          <w:bCs/>
          <w:color w:val="000000"/>
        </w:rPr>
        <w:t>, assuming the mitigations as set out,</w:t>
      </w:r>
      <w:r>
        <w:rPr>
          <w:rFonts w:ascii="Arial" w:eastAsia="Arial" w:hAnsi="Arial" w:cs="Arial"/>
          <w:bCs/>
          <w:color w:val="000000"/>
        </w:rPr>
        <w:t xml:space="preserve"> the preferred option is still affordable, with a strong a</w:t>
      </w:r>
      <w:r w:rsidR="00EF769C">
        <w:rPr>
          <w:rFonts w:ascii="Arial" w:eastAsia="Arial" w:hAnsi="Arial" w:cs="Arial"/>
          <w:bCs/>
          <w:color w:val="000000"/>
        </w:rPr>
        <w:t>djusted surplus reported by FY29</w:t>
      </w:r>
      <w:r w:rsidR="009B54A7">
        <w:rPr>
          <w:rFonts w:ascii="Arial" w:eastAsia="Arial" w:hAnsi="Arial" w:cs="Arial"/>
          <w:bCs/>
          <w:color w:val="000000"/>
        </w:rPr>
        <w:t xml:space="preserve"> and</w:t>
      </w:r>
      <w:r>
        <w:rPr>
          <w:rFonts w:ascii="Arial" w:eastAsia="Arial" w:hAnsi="Arial" w:cs="Arial"/>
          <w:bCs/>
          <w:color w:val="000000"/>
        </w:rPr>
        <w:t xml:space="preserve"> a reasonable cash level throughout the period</w:t>
      </w:r>
      <w:r w:rsidR="009B54A7">
        <w:rPr>
          <w:rFonts w:ascii="Arial" w:eastAsia="Arial" w:hAnsi="Arial" w:cs="Arial"/>
          <w:bCs/>
          <w:color w:val="000000"/>
        </w:rPr>
        <w:t>.</w:t>
      </w:r>
    </w:p>
    <w:p w14:paraId="5D5D6765" w14:textId="315A7ED9" w:rsidR="00AE4E35" w:rsidRDefault="00AE4E35" w:rsidP="00AE4E35">
      <w:pPr>
        <w:pStyle w:val="Heading2"/>
        <w:numPr>
          <w:ilvl w:val="1"/>
          <w:numId w:val="1"/>
        </w:numPr>
        <w:rPr>
          <w:rFonts w:ascii="Arial" w:eastAsia="Arial" w:hAnsi="Arial" w:cs="Arial"/>
        </w:rPr>
      </w:pPr>
      <w:bookmarkStart w:id="319" w:name="_Ref30429754"/>
      <w:bookmarkStart w:id="320" w:name="_Toc32842741"/>
      <w:r w:rsidRPr="00AE4E35">
        <w:rPr>
          <w:rFonts w:ascii="Arial" w:eastAsia="Arial" w:hAnsi="Arial" w:cs="Arial"/>
        </w:rPr>
        <w:t>Incremental impact of the preferred option</w:t>
      </w:r>
    </w:p>
    <w:p w14:paraId="03924DFA" w14:textId="77777777" w:rsidR="009B54A7" w:rsidRDefault="009B54A7" w:rsidP="007B49BF"/>
    <w:p w14:paraId="6D2DBEAE" w14:textId="6F6EAA90" w:rsidR="007B49BF" w:rsidRDefault="00A74436" w:rsidP="007B49BF">
      <w:pPr>
        <w:rPr>
          <w:rFonts w:ascii="Arial" w:hAnsi="Arial" w:cs="Arial"/>
        </w:rPr>
      </w:pPr>
      <w:r>
        <w:rPr>
          <w:rFonts w:ascii="Arial" w:hAnsi="Arial" w:cs="Arial"/>
        </w:rPr>
        <w:t xml:space="preserve">The forecast reviewed in the previous section is based on the preferred option.  </w:t>
      </w:r>
      <w:r w:rsidR="007B49BF" w:rsidRPr="00AE4E35">
        <w:rPr>
          <w:rFonts w:ascii="Arial" w:hAnsi="Arial" w:cs="Arial"/>
        </w:rPr>
        <w:t>This section</w:t>
      </w:r>
      <w:r w:rsidR="007B49BF">
        <w:rPr>
          <w:rFonts w:ascii="Arial" w:hAnsi="Arial" w:cs="Arial"/>
        </w:rPr>
        <w:t xml:space="preserve"> reviews the incremental impact of the preferred option (option 3) compared to business as usual (</w:t>
      </w:r>
      <w:r w:rsidR="0093193F">
        <w:rPr>
          <w:rFonts w:ascii="Arial" w:hAnsi="Arial" w:cs="Arial"/>
        </w:rPr>
        <w:t xml:space="preserve">BAU - </w:t>
      </w:r>
      <w:r w:rsidR="007B49BF">
        <w:rPr>
          <w:rFonts w:ascii="Arial" w:hAnsi="Arial" w:cs="Arial"/>
        </w:rPr>
        <w:t>option 0)</w:t>
      </w:r>
      <w:r>
        <w:rPr>
          <w:rFonts w:ascii="Arial" w:hAnsi="Arial" w:cs="Arial"/>
        </w:rPr>
        <w:t>.</w:t>
      </w:r>
      <w:r w:rsidR="007B49BF">
        <w:rPr>
          <w:rFonts w:ascii="Arial" w:hAnsi="Arial" w:cs="Arial"/>
        </w:rPr>
        <w:t xml:space="preserve"> Section 6.6.1 </w:t>
      </w:r>
      <w:r w:rsidR="00AE6DB6">
        <w:rPr>
          <w:rFonts w:ascii="Arial" w:hAnsi="Arial" w:cs="Arial"/>
        </w:rPr>
        <w:t>provides a summary bridge</w:t>
      </w:r>
      <w:r w:rsidR="007B49BF">
        <w:rPr>
          <w:rFonts w:ascii="Arial" w:hAnsi="Arial" w:cs="Arial"/>
        </w:rPr>
        <w:t xml:space="preserve"> </w:t>
      </w:r>
      <w:r w:rsidR="00AE6DB6">
        <w:rPr>
          <w:rFonts w:ascii="Arial" w:hAnsi="Arial" w:cs="Arial"/>
        </w:rPr>
        <w:t xml:space="preserve">of </w:t>
      </w:r>
      <w:r w:rsidR="007B49BF">
        <w:rPr>
          <w:rFonts w:ascii="Arial" w:hAnsi="Arial" w:cs="Arial"/>
        </w:rPr>
        <w:t>the impact at a surplus level</w:t>
      </w:r>
      <w:r w:rsidR="00AE6DB6">
        <w:rPr>
          <w:rFonts w:ascii="Arial" w:hAnsi="Arial" w:cs="Arial"/>
        </w:rPr>
        <w:t xml:space="preserve"> and explains the key assumptions</w:t>
      </w:r>
      <w:r w:rsidR="007B49BF">
        <w:rPr>
          <w:rFonts w:ascii="Arial" w:hAnsi="Arial" w:cs="Arial"/>
        </w:rPr>
        <w:t>; section 6.6.2 reviews the differences between the fina</w:t>
      </w:r>
      <w:r>
        <w:rPr>
          <w:rFonts w:ascii="Arial" w:hAnsi="Arial" w:cs="Arial"/>
        </w:rPr>
        <w:t>ncial statements in further detai</w:t>
      </w:r>
      <w:r w:rsidR="007B49BF">
        <w:rPr>
          <w:rFonts w:ascii="Arial" w:hAnsi="Arial" w:cs="Arial"/>
        </w:rPr>
        <w:t xml:space="preserve">l.  </w:t>
      </w:r>
    </w:p>
    <w:p w14:paraId="52923F87" w14:textId="3AC69405" w:rsidR="007B49BF" w:rsidRDefault="007B49BF" w:rsidP="00AE4E35">
      <w:pPr>
        <w:rPr>
          <w:rFonts w:ascii="Arial" w:hAnsi="Arial" w:cs="Arial"/>
        </w:rPr>
      </w:pPr>
      <w:r>
        <w:rPr>
          <w:rFonts w:ascii="Arial" w:hAnsi="Arial" w:cs="Arial"/>
        </w:rPr>
        <w:t xml:space="preserve">The conclusion of this is that the preferred option </w:t>
      </w:r>
      <w:r w:rsidR="00A74436">
        <w:rPr>
          <w:rFonts w:ascii="Arial" w:hAnsi="Arial" w:cs="Arial"/>
        </w:rPr>
        <w:t>represents a</w:t>
      </w:r>
      <w:r w:rsidR="00F14DD3">
        <w:rPr>
          <w:rFonts w:ascii="Arial" w:hAnsi="Arial" w:cs="Arial"/>
        </w:rPr>
        <w:t xml:space="preserve"> net financial benefit to the trust within three full years of opening</w:t>
      </w:r>
      <w:r w:rsidR="00A74436">
        <w:rPr>
          <w:rFonts w:ascii="Arial" w:hAnsi="Arial" w:cs="Arial"/>
        </w:rPr>
        <w:t>.</w:t>
      </w:r>
      <w:r>
        <w:rPr>
          <w:rFonts w:ascii="Arial" w:hAnsi="Arial" w:cs="Arial"/>
        </w:rPr>
        <w:t xml:space="preserve">  </w:t>
      </w:r>
    </w:p>
    <w:p w14:paraId="03E37F21" w14:textId="0FE1BDAA" w:rsidR="007B49BF" w:rsidRPr="00391872" w:rsidRDefault="00391872" w:rsidP="007B49BF">
      <w:pPr>
        <w:pStyle w:val="ListParagraph"/>
        <w:numPr>
          <w:ilvl w:val="2"/>
          <w:numId w:val="1"/>
        </w:numPr>
        <w:rPr>
          <w:rFonts w:ascii="Arial" w:hAnsi="Arial" w:cs="Arial"/>
          <w:b/>
        </w:rPr>
      </w:pPr>
      <w:r w:rsidRPr="00391872">
        <w:rPr>
          <w:rFonts w:ascii="Arial" w:hAnsi="Arial" w:cs="Arial"/>
          <w:b/>
        </w:rPr>
        <w:t>Summary bridge of incremental impact</w:t>
      </w:r>
    </w:p>
    <w:p w14:paraId="093786B9" w14:textId="060A9695" w:rsidR="00AE4E35" w:rsidRDefault="00AE4E35" w:rsidP="00AE4E35">
      <w:pPr>
        <w:rPr>
          <w:rFonts w:ascii="Arial" w:hAnsi="Arial" w:cs="Arial"/>
        </w:rPr>
      </w:pPr>
      <w:r>
        <w:rPr>
          <w:rFonts w:ascii="Arial" w:hAnsi="Arial" w:cs="Arial"/>
        </w:rPr>
        <w:t>The following chart bridges the adjusted surplus/(deficit) at the end of the period, FY29, under the two different options.</w:t>
      </w:r>
    </w:p>
    <w:p w14:paraId="5F3F7DA9" w14:textId="6AF4020E" w:rsidR="00655C00" w:rsidRDefault="00655C00" w:rsidP="00655C00">
      <w:pPr>
        <w:pStyle w:val="Caption"/>
      </w:pPr>
      <w:bookmarkStart w:id="321" w:name="_Ref40689991"/>
      <w:r>
        <w:t xml:space="preserve">Figure </w:t>
      </w:r>
      <w:r>
        <w:fldChar w:fldCharType="begin"/>
      </w:r>
      <w:r>
        <w:instrText xml:space="preserve"> SEQ Figure \* ARABIC </w:instrText>
      </w:r>
      <w:r>
        <w:fldChar w:fldCharType="separate"/>
      </w:r>
      <w:r w:rsidR="00A936CD">
        <w:rPr>
          <w:noProof/>
        </w:rPr>
        <w:t>17</w:t>
      </w:r>
      <w:r>
        <w:fldChar w:fldCharType="end"/>
      </w:r>
      <w:bookmarkEnd w:id="321"/>
      <w:r w:rsidR="00224DCA">
        <w:t xml:space="preserve">: </w:t>
      </w:r>
      <w:r>
        <w:t>Bridge of FY29 adjusted surplus between preferred option and BAU</w:t>
      </w:r>
    </w:p>
    <w:p w14:paraId="7503B19D" w14:textId="1A2395AA" w:rsidR="00AE4E35" w:rsidRDefault="00AE4E35" w:rsidP="00AE4E35">
      <w:pPr>
        <w:rPr>
          <w:rFonts w:ascii="Arial" w:hAnsi="Arial" w:cs="Arial"/>
        </w:rPr>
      </w:pPr>
    </w:p>
    <w:p w14:paraId="3C0C8805" w14:textId="3D92584B" w:rsidR="0084544B" w:rsidRDefault="0084544B" w:rsidP="00AE4E35">
      <w:pPr>
        <w:rPr>
          <w:rFonts w:ascii="Arial" w:hAnsi="Arial" w:cs="Arial"/>
        </w:rPr>
      </w:pPr>
      <w:r>
        <w:rPr>
          <w:rFonts w:ascii="Arial" w:hAnsi="Arial" w:cs="Arial"/>
        </w:rPr>
        <w:t>[Redacted]</w:t>
      </w:r>
    </w:p>
    <w:p w14:paraId="75D0F71F" w14:textId="623166CF" w:rsidR="004E7DC8" w:rsidRDefault="004E7DC8" w:rsidP="00AE4E35">
      <w:pPr>
        <w:rPr>
          <w:rFonts w:ascii="Arial" w:hAnsi="Arial" w:cs="Arial"/>
        </w:rPr>
      </w:pPr>
      <w:r>
        <w:rPr>
          <w:rFonts w:ascii="Arial" w:hAnsi="Arial" w:cs="Arial"/>
        </w:rPr>
        <w:t>The financial modelling of the two options shows that by FY29 (the second full year after opening the new</w:t>
      </w:r>
      <w:r w:rsidR="00F14DD3">
        <w:rPr>
          <w:rFonts w:ascii="Arial" w:hAnsi="Arial" w:cs="Arial"/>
        </w:rPr>
        <w:t xml:space="preserve"> facility), </w:t>
      </w:r>
      <w:r w:rsidR="0093193F">
        <w:rPr>
          <w:rFonts w:ascii="Arial" w:hAnsi="Arial" w:cs="Arial"/>
        </w:rPr>
        <w:t xml:space="preserve">the preferred option will represent a </w:t>
      </w:r>
      <w:r w:rsidR="00F14DD3">
        <w:rPr>
          <w:rFonts w:ascii="Arial" w:hAnsi="Arial" w:cs="Arial"/>
        </w:rPr>
        <w:t>£</w:t>
      </w:r>
      <w:r w:rsidR="0084544B">
        <w:rPr>
          <w:rFonts w:ascii="Arial" w:hAnsi="Arial" w:cs="Arial"/>
        </w:rPr>
        <w:t>XXX</w:t>
      </w:r>
      <w:r>
        <w:rPr>
          <w:rFonts w:ascii="Arial" w:hAnsi="Arial" w:cs="Arial"/>
        </w:rPr>
        <w:t>m decrease in the adjusted surplus achieved by the trust</w:t>
      </w:r>
      <w:r w:rsidR="0093193F">
        <w:rPr>
          <w:rFonts w:ascii="Arial" w:hAnsi="Arial" w:cs="Arial"/>
        </w:rPr>
        <w:t xml:space="preserve"> compared to BAU.</w:t>
      </w:r>
    </w:p>
    <w:p w14:paraId="16DE5E29" w14:textId="1A94904A" w:rsidR="004E7DC8" w:rsidRDefault="004E7DC8" w:rsidP="00AE4E35">
      <w:pPr>
        <w:rPr>
          <w:rFonts w:ascii="Arial" w:hAnsi="Arial" w:cs="Arial"/>
        </w:rPr>
      </w:pPr>
      <w:r>
        <w:rPr>
          <w:rFonts w:ascii="Arial" w:hAnsi="Arial" w:cs="Arial"/>
        </w:rPr>
        <w:lastRenderedPageBreak/>
        <w:t>The new facility is assumed to provide five years of addit</w:t>
      </w:r>
      <w:r w:rsidR="00E02377">
        <w:rPr>
          <w:rFonts w:ascii="Arial" w:hAnsi="Arial" w:cs="Arial"/>
        </w:rPr>
        <w:t>i</w:t>
      </w:r>
      <w:r>
        <w:rPr>
          <w:rFonts w:ascii="Arial" w:hAnsi="Arial" w:cs="Arial"/>
        </w:rPr>
        <w:t xml:space="preserve">onal NHS and private capacity compared to BAU, as well as </w:t>
      </w:r>
      <w:r w:rsidR="007D639E">
        <w:rPr>
          <w:rFonts w:ascii="Arial" w:hAnsi="Arial" w:cs="Arial"/>
        </w:rPr>
        <w:t>additional</w:t>
      </w:r>
      <w:r>
        <w:rPr>
          <w:rFonts w:ascii="Arial" w:hAnsi="Arial" w:cs="Arial"/>
        </w:rPr>
        <w:t xml:space="preserve"> efficiencies over a five year period, and this full benefit is therefore not reflected in the time period of the financial model.  By FY30</w:t>
      </w:r>
      <w:r w:rsidR="0093193F">
        <w:rPr>
          <w:rFonts w:ascii="Arial" w:hAnsi="Arial" w:cs="Arial"/>
        </w:rPr>
        <w:t>, taking</w:t>
      </w:r>
      <w:r>
        <w:rPr>
          <w:rFonts w:ascii="Arial" w:hAnsi="Arial" w:cs="Arial"/>
        </w:rPr>
        <w:t xml:space="preserve"> into account </w:t>
      </w:r>
      <w:r w:rsidR="0093193F">
        <w:rPr>
          <w:rFonts w:ascii="Arial" w:hAnsi="Arial" w:cs="Arial"/>
        </w:rPr>
        <w:t>these further benefits</w:t>
      </w:r>
      <w:r>
        <w:rPr>
          <w:rFonts w:ascii="Arial" w:hAnsi="Arial" w:cs="Arial"/>
        </w:rPr>
        <w:t xml:space="preserve">, the preferred option </w:t>
      </w:r>
      <w:r w:rsidR="0093193F">
        <w:rPr>
          <w:rFonts w:ascii="Arial" w:hAnsi="Arial" w:cs="Arial"/>
        </w:rPr>
        <w:t>would represent a net benefit to the t</w:t>
      </w:r>
      <w:r>
        <w:rPr>
          <w:rFonts w:ascii="Arial" w:hAnsi="Arial" w:cs="Arial"/>
        </w:rPr>
        <w:t>rust’s</w:t>
      </w:r>
      <w:r w:rsidR="0093193F">
        <w:rPr>
          <w:rFonts w:ascii="Arial" w:hAnsi="Arial" w:cs="Arial"/>
        </w:rPr>
        <w:t xml:space="preserve"> surplus position, compared to BAU.</w:t>
      </w:r>
    </w:p>
    <w:p w14:paraId="2DD4AD0F" w14:textId="0B625675" w:rsidR="00F25DEB" w:rsidRDefault="007B49BF" w:rsidP="00AE4E35">
      <w:pPr>
        <w:rPr>
          <w:rFonts w:ascii="Arial" w:hAnsi="Arial" w:cs="Arial"/>
        </w:rPr>
      </w:pPr>
      <w:r>
        <w:rPr>
          <w:rFonts w:ascii="Arial" w:hAnsi="Arial" w:cs="Arial"/>
        </w:rPr>
        <w:t>Therefore, the preferred option represents a net benefit to the surplus position of the Trust wit</w:t>
      </w:r>
      <w:r w:rsidR="00F14DD3">
        <w:rPr>
          <w:rFonts w:ascii="Arial" w:hAnsi="Arial" w:cs="Arial"/>
        </w:rPr>
        <w:t>h</w:t>
      </w:r>
      <w:r>
        <w:rPr>
          <w:rFonts w:ascii="Arial" w:hAnsi="Arial" w:cs="Arial"/>
        </w:rPr>
        <w:t xml:space="preserve">in three full years </w:t>
      </w:r>
      <w:r w:rsidR="00F25DEB">
        <w:rPr>
          <w:rFonts w:ascii="Arial" w:hAnsi="Arial" w:cs="Arial"/>
        </w:rPr>
        <w:t>of the opening of the facility.</w:t>
      </w:r>
    </w:p>
    <w:p w14:paraId="75DC2024" w14:textId="60CDFC9E" w:rsidR="00AE4E35" w:rsidRPr="00F25DEB" w:rsidRDefault="004E7DC8" w:rsidP="00AE4E35">
      <w:pPr>
        <w:rPr>
          <w:rFonts w:ascii="Arial" w:hAnsi="Arial" w:cs="Arial"/>
          <w:b/>
        </w:rPr>
      </w:pPr>
      <w:r w:rsidRPr="00F25DEB">
        <w:rPr>
          <w:rFonts w:ascii="Arial" w:hAnsi="Arial" w:cs="Arial"/>
          <w:b/>
        </w:rPr>
        <w:t>Key assumptions:</w:t>
      </w:r>
    </w:p>
    <w:p w14:paraId="60D527E7" w14:textId="0B454D4B" w:rsidR="004E7DC8" w:rsidRDefault="004E7DC8" w:rsidP="00AE4E35">
      <w:pPr>
        <w:rPr>
          <w:rFonts w:ascii="Arial" w:hAnsi="Arial" w:cs="Arial"/>
        </w:rPr>
      </w:pPr>
      <w:r>
        <w:rPr>
          <w:rFonts w:ascii="Arial" w:hAnsi="Arial" w:cs="Arial"/>
        </w:rPr>
        <w:t xml:space="preserve">The assumptions are </w:t>
      </w:r>
      <w:r w:rsidR="0093193F">
        <w:rPr>
          <w:rFonts w:ascii="Arial" w:hAnsi="Arial" w:cs="Arial"/>
        </w:rPr>
        <w:t>aligned with those used in the E</w:t>
      </w:r>
      <w:r>
        <w:rPr>
          <w:rFonts w:ascii="Arial" w:hAnsi="Arial" w:cs="Arial"/>
        </w:rPr>
        <w:t>conomic case.  S</w:t>
      </w:r>
      <w:r w:rsidR="006A6ADC">
        <w:rPr>
          <w:rFonts w:ascii="Arial" w:hAnsi="Arial" w:cs="Arial"/>
        </w:rPr>
        <w:t xml:space="preserve">pecifically, </w:t>
      </w:r>
      <w:r w:rsidR="00C7240F">
        <w:rPr>
          <w:rFonts w:ascii="Arial" w:hAnsi="Arial" w:cs="Arial"/>
        </w:rPr>
        <w:t xml:space="preserve">the preferred option, compared to </w:t>
      </w:r>
      <w:r w:rsidR="006A6ADC">
        <w:rPr>
          <w:rFonts w:ascii="Arial" w:hAnsi="Arial" w:cs="Arial"/>
        </w:rPr>
        <w:t>business as usual (</w:t>
      </w:r>
      <w:r w:rsidR="00C7240F">
        <w:rPr>
          <w:rFonts w:ascii="Arial" w:hAnsi="Arial" w:cs="Arial"/>
        </w:rPr>
        <w:t xml:space="preserve">BAU - </w:t>
      </w:r>
      <w:r w:rsidR="006A6ADC">
        <w:rPr>
          <w:rFonts w:ascii="Arial" w:hAnsi="Arial" w:cs="Arial"/>
        </w:rPr>
        <w:t>option 0):</w:t>
      </w:r>
    </w:p>
    <w:p w14:paraId="4B64A227" w14:textId="2F209B08" w:rsidR="00391872" w:rsidRPr="00224DCA" w:rsidRDefault="00AC7FC6" w:rsidP="00391872">
      <w:pPr>
        <w:pStyle w:val="ListParagraph"/>
        <w:numPr>
          <w:ilvl w:val="0"/>
          <w:numId w:val="169"/>
        </w:numPr>
        <w:rPr>
          <w:rFonts w:ascii="Arial" w:hAnsi="Arial" w:cs="Arial"/>
        </w:rPr>
      </w:pPr>
      <w:r>
        <w:rPr>
          <w:rFonts w:ascii="Arial" w:hAnsi="Arial" w:cs="Arial"/>
        </w:rPr>
        <w:t>I</w:t>
      </w:r>
      <w:r w:rsidR="00C7240F">
        <w:rPr>
          <w:rFonts w:ascii="Arial" w:hAnsi="Arial" w:cs="Arial"/>
        </w:rPr>
        <w:t>ncludes</w:t>
      </w:r>
      <w:r w:rsidR="00391872">
        <w:rPr>
          <w:rFonts w:ascii="Arial" w:hAnsi="Arial" w:cs="Arial"/>
        </w:rPr>
        <w:t xml:space="preserve"> additional efficiencies </w:t>
      </w:r>
      <w:r w:rsidR="00EE3321">
        <w:rPr>
          <w:rFonts w:ascii="Arial" w:hAnsi="Arial" w:cs="Arial"/>
        </w:rPr>
        <w:t>that result from</w:t>
      </w:r>
      <w:r w:rsidR="00391872">
        <w:rPr>
          <w:rFonts w:ascii="Arial" w:hAnsi="Arial" w:cs="Arial"/>
        </w:rPr>
        <w:t xml:space="preserve"> the new facility</w:t>
      </w:r>
      <w:r w:rsidR="00EE3321">
        <w:rPr>
          <w:rFonts w:ascii="Arial" w:hAnsi="Arial" w:cs="Arial"/>
        </w:rPr>
        <w:t xml:space="preserve">.  The </w:t>
      </w:r>
      <w:r w:rsidR="00391872">
        <w:rPr>
          <w:rFonts w:ascii="Arial" w:hAnsi="Arial" w:cs="Arial"/>
        </w:rPr>
        <w:t xml:space="preserve">impact of </w:t>
      </w:r>
      <w:r w:rsidR="00EE3321">
        <w:rPr>
          <w:rFonts w:ascii="Arial" w:hAnsi="Arial" w:cs="Arial"/>
        </w:rPr>
        <w:t>this is £</w:t>
      </w:r>
      <w:r w:rsidR="0084544B">
        <w:rPr>
          <w:rFonts w:ascii="Arial" w:hAnsi="Arial" w:cs="Arial"/>
        </w:rPr>
        <w:t>XXX</w:t>
      </w:r>
      <w:r w:rsidR="00391872">
        <w:rPr>
          <w:rFonts w:ascii="Arial" w:hAnsi="Arial" w:cs="Arial"/>
        </w:rPr>
        <w:t xml:space="preserve">m in nominal terms by FY29, as </w:t>
      </w:r>
      <w:r w:rsidR="00391872" w:rsidRPr="00224DCA">
        <w:rPr>
          <w:rFonts w:ascii="Arial" w:hAnsi="Arial" w:cs="Arial"/>
        </w:rPr>
        <w:t xml:space="preserve">shown in </w:t>
      </w:r>
      <w:r w:rsidR="00224DCA" w:rsidRPr="00224DCA">
        <w:rPr>
          <w:rFonts w:ascii="Arial" w:hAnsi="Arial" w:cs="Arial"/>
        </w:rPr>
        <w:fldChar w:fldCharType="begin"/>
      </w:r>
      <w:r w:rsidR="00224DCA" w:rsidRPr="00224DCA">
        <w:rPr>
          <w:rFonts w:ascii="Arial" w:hAnsi="Arial" w:cs="Arial"/>
        </w:rPr>
        <w:instrText xml:space="preserve"> REF _Ref40689991 \h </w:instrText>
      </w:r>
      <w:r w:rsidR="00224DCA">
        <w:rPr>
          <w:rFonts w:ascii="Arial" w:hAnsi="Arial" w:cs="Arial"/>
        </w:rPr>
        <w:instrText xml:space="preserve"> \* MERGEFORMAT </w:instrText>
      </w:r>
      <w:r w:rsidR="00224DCA" w:rsidRPr="00224DCA">
        <w:rPr>
          <w:rFonts w:ascii="Arial" w:hAnsi="Arial" w:cs="Arial"/>
        </w:rPr>
      </w:r>
      <w:r w:rsidR="00224DCA" w:rsidRPr="00224DCA">
        <w:rPr>
          <w:rFonts w:ascii="Arial" w:hAnsi="Arial" w:cs="Arial"/>
        </w:rPr>
        <w:fldChar w:fldCharType="separate"/>
      </w:r>
      <w:r w:rsidR="00A936CD" w:rsidRPr="00A936CD">
        <w:rPr>
          <w:rFonts w:ascii="Arial" w:hAnsi="Arial" w:cs="Arial"/>
        </w:rPr>
        <w:t xml:space="preserve">Figure </w:t>
      </w:r>
      <w:r w:rsidR="00A936CD" w:rsidRPr="00A936CD">
        <w:rPr>
          <w:rFonts w:ascii="Arial" w:hAnsi="Arial" w:cs="Arial"/>
          <w:noProof/>
        </w:rPr>
        <w:t>17</w:t>
      </w:r>
      <w:r w:rsidR="00224DCA" w:rsidRPr="00224DCA">
        <w:rPr>
          <w:rFonts w:ascii="Arial" w:hAnsi="Arial" w:cs="Arial"/>
        </w:rPr>
        <w:fldChar w:fldCharType="end"/>
      </w:r>
      <w:r w:rsidR="00391872" w:rsidRPr="00224DCA">
        <w:rPr>
          <w:rFonts w:ascii="Arial" w:hAnsi="Arial" w:cs="Arial"/>
        </w:rPr>
        <w:t>.</w:t>
      </w:r>
    </w:p>
    <w:p w14:paraId="64FC94EB" w14:textId="24A342B7" w:rsidR="00391872" w:rsidRDefault="00AC7FC6" w:rsidP="00391872">
      <w:pPr>
        <w:pStyle w:val="ListParagraph"/>
        <w:numPr>
          <w:ilvl w:val="0"/>
          <w:numId w:val="169"/>
        </w:numPr>
        <w:rPr>
          <w:rFonts w:ascii="Arial" w:hAnsi="Arial" w:cs="Arial"/>
        </w:rPr>
      </w:pPr>
      <w:r>
        <w:rPr>
          <w:rFonts w:ascii="Arial" w:hAnsi="Arial" w:cs="Arial"/>
        </w:rPr>
        <w:t>A</w:t>
      </w:r>
      <w:r w:rsidR="00391872">
        <w:rPr>
          <w:rFonts w:ascii="Arial" w:hAnsi="Arial" w:cs="Arial"/>
        </w:rPr>
        <w:t xml:space="preserve">ssumes NHS growth at City Road </w:t>
      </w:r>
      <w:r w:rsidR="00C7240F">
        <w:rPr>
          <w:rFonts w:ascii="Arial" w:hAnsi="Arial" w:cs="Arial"/>
        </w:rPr>
        <w:t>continues beyond FY27 (</w:t>
      </w:r>
      <w:r w:rsidR="00391872">
        <w:rPr>
          <w:rFonts w:ascii="Arial" w:hAnsi="Arial" w:cs="Arial"/>
        </w:rPr>
        <w:t>the point at which capacity is fully utilised under the assumptions of the demand and cap</w:t>
      </w:r>
      <w:r w:rsidR="00EE3321">
        <w:rPr>
          <w:rFonts w:ascii="Arial" w:hAnsi="Arial" w:cs="Arial"/>
        </w:rPr>
        <w:t>acity model</w:t>
      </w:r>
      <w:r w:rsidR="00C7240F">
        <w:rPr>
          <w:rFonts w:ascii="Arial" w:hAnsi="Arial" w:cs="Arial"/>
        </w:rPr>
        <w:t xml:space="preserve"> in BAU)</w:t>
      </w:r>
      <w:r w:rsidR="00EE3321">
        <w:rPr>
          <w:rFonts w:ascii="Arial" w:hAnsi="Arial" w:cs="Arial"/>
        </w:rPr>
        <w:t>.  This equates to</w:t>
      </w:r>
      <w:r w:rsidR="00C7240F">
        <w:rPr>
          <w:rFonts w:ascii="Arial" w:hAnsi="Arial" w:cs="Arial"/>
        </w:rPr>
        <w:t xml:space="preserve"> an additional</w:t>
      </w:r>
      <w:r w:rsidR="00EE3321">
        <w:rPr>
          <w:rFonts w:ascii="Arial" w:hAnsi="Arial" w:cs="Arial"/>
        </w:rPr>
        <w:t xml:space="preserve"> £</w:t>
      </w:r>
      <w:r w:rsidR="0084544B">
        <w:rPr>
          <w:rFonts w:ascii="Arial" w:hAnsi="Arial" w:cs="Arial"/>
        </w:rPr>
        <w:t>XXX</w:t>
      </w:r>
      <w:r w:rsidR="00C7240F">
        <w:rPr>
          <w:rFonts w:ascii="Arial" w:hAnsi="Arial" w:cs="Arial"/>
        </w:rPr>
        <w:t>m of margin by FY29 compared to BAU.</w:t>
      </w:r>
    </w:p>
    <w:p w14:paraId="09218C6E" w14:textId="26432BDE" w:rsidR="00391872" w:rsidRPr="00391872" w:rsidRDefault="00AC7FC6" w:rsidP="00391872">
      <w:pPr>
        <w:pStyle w:val="ListParagraph"/>
        <w:numPr>
          <w:ilvl w:val="0"/>
          <w:numId w:val="169"/>
        </w:numPr>
        <w:rPr>
          <w:rFonts w:ascii="Arial" w:hAnsi="Arial" w:cs="Arial"/>
        </w:rPr>
      </w:pPr>
      <w:r>
        <w:rPr>
          <w:rFonts w:ascii="Arial" w:hAnsi="Arial" w:cs="Arial"/>
        </w:rPr>
        <w:t>A</w:t>
      </w:r>
      <w:r w:rsidR="00391872">
        <w:rPr>
          <w:rFonts w:ascii="Arial" w:hAnsi="Arial" w:cs="Arial"/>
        </w:rPr>
        <w:t>ssumes private pa</w:t>
      </w:r>
      <w:r w:rsidR="00EE3321">
        <w:rPr>
          <w:rFonts w:ascii="Arial" w:hAnsi="Arial" w:cs="Arial"/>
        </w:rPr>
        <w:t xml:space="preserve">tient growth in London </w:t>
      </w:r>
      <w:r w:rsidR="00C7240F">
        <w:rPr>
          <w:rFonts w:ascii="Arial" w:hAnsi="Arial" w:cs="Arial"/>
        </w:rPr>
        <w:t>beyond FY27</w:t>
      </w:r>
      <w:r w:rsidR="00391872">
        <w:rPr>
          <w:rFonts w:ascii="Arial" w:hAnsi="Arial" w:cs="Arial"/>
        </w:rPr>
        <w:t xml:space="preserve">, reflecting </w:t>
      </w:r>
      <w:r w:rsidR="007D639E">
        <w:rPr>
          <w:rFonts w:ascii="Arial" w:hAnsi="Arial" w:cs="Arial"/>
        </w:rPr>
        <w:t>utilisation</w:t>
      </w:r>
      <w:r w:rsidR="00391872">
        <w:rPr>
          <w:rFonts w:ascii="Arial" w:hAnsi="Arial" w:cs="Arial"/>
        </w:rPr>
        <w:t xml:space="preserve"> of </w:t>
      </w:r>
      <w:r w:rsidR="00C7240F">
        <w:rPr>
          <w:rFonts w:ascii="Arial" w:hAnsi="Arial" w:cs="Arial"/>
        </w:rPr>
        <w:t>additional private theatre capacity provided in the preferred option.</w:t>
      </w:r>
      <w:r w:rsidR="00EE3321">
        <w:rPr>
          <w:rFonts w:ascii="Arial" w:hAnsi="Arial" w:cs="Arial"/>
        </w:rPr>
        <w:t xml:space="preserve">  This equates to £</w:t>
      </w:r>
      <w:r w:rsidR="0084544B">
        <w:rPr>
          <w:rFonts w:ascii="Arial" w:hAnsi="Arial" w:cs="Arial"/>
        </w:rPr>
        <w:t>XXX</w:t>
      </w:r>
      <w:r w:rsidR="00C7240F">
        <w:rPr>
          <w:rFonts w:ascii="Arial" w:hAnsi="Arial" w:cs="Arial"/>
        </w:rPr>
        <w:t xml:space="preserve">m of </w:t>
      </w:r>
      <w:r w:rsidR="00391872">
        <w:rPr>
          <w:rFonts w:ascii="Arial" w:hAnsi="Arial" w:cs="Arial"/>
        </w:rPr>
        <w:t xml:space="preserve">margin by FY29 compared to </w:t>
      </w:r>
      <w:r w:rsidR="00C7240F">
        <w:rPr>
          <w:rFonts w:ascii="Arial" w:hAnsi="Arial" w:cs="Arial"/>
        </w:rPr>
        <w:t>BAU.</w:t>
      </w:r>
    </w:p>
    <w:p w14:paraId="2729D032" w14:textId="0535AB1C" w:rsidR="004E7DC8" w:rsidRDefault="00AC7FC6" w:rsidP="00C7240F">
      <w:pPr>
        <w:pStyle w:val="ListParagraph"/>
        <w:numPr>
          <w:ilvl w:val="0"/>
          <w:numId w:val="169"/>
        </w:numPr>
        <w:rPr>
          <w:rFonts w:ascii="Arial" w:hAnsi="Arial" w:cs="Arial"/>
        </w:rPr>
      </w:pPr>
      <w:r>
        <w:rPr>
          <w:rFonts w:ascii="Arial" w:hAnsi="Arial" w:cs="Arial"/>
        </w:rPr>
        <w:t>I</w:t>
      </w:r>
      <w:r w:rsidR="00C7240F">
        <w:rPr>
          <w:rFonts w:ascii="Arial" w:hAnsi="Arial" w:cs="Arial"/>
        </w:rPr>
        <w:t xml:space="preserve">ncludes the additional capital investment and related capital funding streams for the new facility. </w:t>
      </w:r>
      <w:r w:rsidR="00391872">
        <w:rPr>
          <w:rFonts w:ascii="Arial" w:hAnsi="Arial" w:cs="Arial"/>
        </w:rPr>
        <w:t xml:space="preserve">The key </w:t>
      </w:r>
      <w:r w:rsidR="00C7240F">
        <w:rPr>
          <w:rFonts w:ascii="Arial" w:hAnsi="Arial" w:cs="Arial"/>
        </w:rPr>
        <w:t xml:space="preserve">incremental impact </w:t>
      </w:r>
      <w:r w:rsidR="00EE3321">
        <w:rPr>
          <w:rFonts w:ascii="Arial" w:hAnsi="Arial" w:cs="Arial"/>
        </w:rPr>
        <w:t>of this</w:t>
      </w:r>
      <w:r w:rsidR="00C7240F">
        <w:rPr>
          <w:rFonts w:ascii="Arial" w:hAnsi="Arial" w:cs="Arial"/>
        </w:rPr>
        <w:t xml:space="preserve"> compared to BAU </w:t>
      </w:r>
      <w:r w:rsidR="00EE3321">
        <w:rPr>
          <w:rFonts w:ascii="Arial" w:hAnsi="Arial" w:cs="Arial"/>
        </w:rPr>
        <w:t>is a</w:t>
      </w:r>
      <w:r w:rsidR="00C7240F">
        <w:rPr>
          <w:rFonts w:ascii="Arial" w:hAnsi="Arial" w:cs="Arial"/>
        </w:rPr>
        <w:t>n</w:t>
      </w:r>
      <w:r w:rsidR="00EE3321">
        <w:rPr>
          <w:rFonts w:ascii="Arial" w:hAnsi="Arial" w:cs="Arial"/>
        </w:rPr>
        <w:t xml:space="preserve"> </w:t>
      </w:r>
      <w:r w:rsidR="00C7240F">
        <w:rPr>
          <w:rFonts w:ascii="Arial" w:hAnsi="Arial" w:cs="Arial"/>
        </w:rPr>
        <w:t>additional cost of</w:t>
      </w:r>
      <w:r w:rsidR="00EE3321">
        <w:rPr>
          <w:rFonts w:ascii="Arial" w:hAnsi="Arial" w:cs="Arial"/>
        </w:rPr>
        <w:t xml:space="preserve"> £</w:t>
      </w:r>
      <w:r w:rsidR="0084544B">
        <w:rPr>
          <w:rFonts w:ascii="Arial" w:hAnsi="Arial" w:cs="Arial"/>
        </w:rPr>
        <w:t>XXX</w:t>
      </w:r>
      <w:r w:rsidR="00C7240F">
        <w:rPr>
          <w:rFonts w:ascii="Arial" w:hAnsi="Arial" w:cs="Arial"/>
        </w:rPr>
        <w:t xml:space="preserve">m in </w:t>
      </w:r>
      <w:r w:rsidR="00EE3321">
        <w:rPr>
          <w:rFonts w:ascii="Arial" w:hAnsi="Arial" w:cs="Arial"/>
        </w:rPr>
        <w:t>PDC charge and £</w:t>
      </w:r>
      <w:r w:rsidR="0084544B">
        <w:rPr>
          <w:rFonts w:ascii="Arial" w:hAnsi="Arial" w:cs="Arial"/>
        </w:rPr>
        <w:t>XXX</w:t>
      </w:r>
      <w:r w:rsidR="00C7240F">
        <w:rPr>
          <w:rFonts w:ascii="Arial" w:hAnsi="Arial" w:cs="Arial"/>
        </w:rPr>
        <w:t>m in</w:t>
      </w:r>
      <w:r w:rsidR="00391872">
        <w:rPr>
          <w:rFonts w:ascii="Arial" w:hAnsi="Arial" w:cs="Arial"/>
        </w:rPr>
        <w:t xml:space="preserve"> depreciation that would be generated by the new facility by FY29 in the preferred option.</w:t>
      </w:r>
    </w:p>
    <w:p w14:paraId="43CF7713" w14:textId="3DD723E8" w:rsidR="00E77F76" w:rsidRDefault="00AC7FC6" w:rsidP="004E7DC8">
      <w:pPr>
        <w:pStyle w:val="ListParagraph"/>
        <w:numPr>
          <w:ilvl w:val="0"/>
          <w:numId w:val="169"/>
        </w:numPr>
        <w:rPr>
          <w:rFonts w:ascii="Arial" w:hAnsi="Arial" w:cs="Arial"/>
        </w:rPr>
      </w:pPr>
      <w:r>
        <w:rPr>
          <w:rFonts w:ascii="Arial" w:hAnsi="Arial" w:cs="Arial"/>
        </w:rPr>
        <w:t>I</w:t>
      </w:r>
      <w:r w:rsidR="00C7240F">
        <w:rPr>
          <w:rFonts w:ascii="Arial" w:hAnsi="Arial" w:cs="Arial"/>
        </w:rPr>
        <w:t>ncludes</w:t>
      </w:r>
      <w:r w:rsidR="00E77F76">
        <w:rPr>
          <w:rFonts w:ascii="Arial" w:hAnsi="Arial" w:cs="Arial"/>
        </w:rPr>
        <w:t xml:space="preserve"> additional </w:t>
      </w:r>
      <w:r w:rsidR="00F25DEB">
        <w:rPr>
          <w:rFonts w:ascii="Arial" w:hAnsi="Arial" w:cs="Arial"/>
        </w:rPr>
        <w:t xml:space="preserve">revenue </w:t>
      </w:r>
      <w:r w:rsidR="00E77F76">
        <w:rPr>
          <w:rFonts w:ascii="Arial" w:hAnsi="Arial" w:cs="Arial"/>
        </w:rPr>
        <w:t xml:space="preserve">costs of the preferred option – </w:t>
      </w:r>
      <w:r w:rsidR="007B49BF">
        <w:rPr>
          <w:rFonts w:ascii="Arial" w:hAnsi="Arial" w:cs="Arial"/>
        </w:rPr>
        <w:t>specifically</w:t>
      </w:r>
      <w:r w:rsidR="00E77F76">
        <w:rPr>
          <w:rFonts w:ascii="Arial" w:hAnsi="Arial" w:cs="Arial"/>
        </w:rPr>
        <w:t xml:space="preserve">, </w:t>
      </w:r>
      <w:r w:rsidR="007D639E">
        <w:rPr>
          <w:rFonts w:ascii="Arial" w:hAnsi="Arial" w:cs="Arial"/>
        </w:rPr>
        <w:t>additional</w:t>
      </w:r>
      <w:r w:rsidR="00E77F76">
        <w:rPr>
          <w:rFonts w:ascii="Arial" w:hAnsi="Arial" w:cs="Arial"/>
        </w:rPr>
        <w:t xml:space="preserve"> lease costs for </w:t>
      </w:r>
      <w:r w:rsidR="007D639E">
        <w:rPr>
          <w:rFonts w:ascii="Arial" w:hAnsi="Arial" w:cs="Arial"/>
        </w:rPr>
        <w:t>accommodation</w:t>
      </w:r>
      <w:r w:rsidR="00E77F76">
        <w:rPr>
          <w:rFonts w:ascii="Arial" w:hAnsi="Arial" w:cs="Arial"/>
        </w:rPr>
        <w:t xml:space="preserve"> of corporate staff and additional investment in IT</w:t>
      </w:r>
      <w:r w:rsidR="00C7240F">
        <w:rPr>
          <w:rFonts w:ascii="Arial" w:hAnsi="Arial" w:cs="Arial"/>
        </w:rPr>
        <w:t>.  This is a cost</w:t>
      </w:r>
      <w:r w:rsidR="00391872">
        <w:rPr>
          <w:rFonts w:ascii="Arial" w:hAnsi="Arial" w:cs="Arial"/>
        </w:rPr>
        <w:t xml:space="preserve"> of £</w:t>
      </w:r>
      <w:r w:rsidR="0084544B">
        <w:rPr>
          <w:rFonts w:ascii="Arial" w:hAnsi="Arial" w:cs="Arial"/>
        </w:rPr>
        <w:t>XXX</w:t>
      </w:r>
      <w:r w:rsidR="00391872">
        <w:rPr>
          <w:rFonts w:ascii="Arial" w:hAnsi="Arial" w:cs="Arial"/>
        </w:rPr>
        <w:t>m and £</w:t>
      </w:r>
      <w:r w:rsidR="0084544B">
        <w:rPr>
          <w:rFonts w:ascii="Arial" w:hAnsi="Arial" w:cs="Arial"/>
        </w:rPr>
        <w:t>XXX</w:t>
      </w:r>
      <w:r w:rsidR="00391872">
        <w:rPr>
          <w:rFonts w:ascii="Arial" w:hAnsi="Arial" w:cs="Arial"/>
        </w:rPr>
        <w:t>m respectively by FY29</w:t>
      </w:r>
      <w:r w:rsidR="00F25DEB">
        <w:rPr>
          <w:rFonts w:ascii="Arial" w:hAnsi="Arial" w:cs="Arial"/>
        </w:rPr>
        <w:t>.</w:t>
      </w:r>
    </w:p>
    <w:p w14:paraId="4462AFBE" w14:textId="77777777" w:rsidR="00A775F1" w:rsidRDefault="00A775F1" w:rsidP="00A775F1">
      <w:pPr>
        <w:pStyle w:val="ListParagraph"/>
        <w:ind w:left="776"/>
        <w:rPr>
          <w:rFonts w:ascii="Arial" w:hAnsi="Arial" w:cs="Arial"/>
        </w:rPr>
      </w:pPr>
    </w:p>
    <w:p w14:paraId="02433FB0" w14:textId="77777777" w:rsidR="00521C5D" w:rsidRDefault="00521C5D">
      <w:pPr>
        <w:rPr>
          <w:rFonts w:ascii="Arial" w:hAnsi="Arial" w:cs="Arial"/>
          <w:b/>
        </w:rPr>
      </w:pPr>
      <w:r>
        <w:rPr>
          <w:rFonts w:ascii="Arial" w:hAnsi="Arial" w:cs="Arial"/>
          <w:b/>
        </w:rPr>
        <w:br w:type="page"/>
      </w:r>
    </w:p>
    <w:p w14:paraId="2C3495E6" w14:textId="66D486C6" w:rsidR="00F25DEB" w:rsidRPr="00A775F1" w:rsidRDefault="00A775F1" w:rsidP="00A775F1">
      <w:pPr>
        <w:pStyle w:val="ListParagraph"/>
        <w:numPr>
          <w:ilvl w:val="2"/>
          <w:numId w:val="1"/>
        </w:numPr>
        <w:rPr>
          <w:rFonts w:ascii="Arial" w:hAnsi="Arial" w:cs="Arial"/>
          <w:b/>
        </w:rPr>
      </w:pPr>
      <w:r w:rsidRPr="00A775F1">
        <w:rPr>
          <w:rFonts w:ascii="Arial" w:hAnsi="Arial" w:cs="Arial"/>
          <w:b/>
        </w:rPr>
        <w:lastRenderedPageBreak/>
        <w:t>Review of incremental impact by financial statement</w:t>
      </w:r>
    </w:p>
    <w:p w14:paraId="7377F6A5" w14:textId="357458BF" w:rsidR="00D34AF2" w:rsidRPr="00D34AF2" w:rsidRDefault="00D34AF2" w:rsidP="00AE4E35">
      <w:pPr>
        <w:rPr>
          <w:rFonts w:ascii="Arial" w:hAnsi="Arial" w:cs="Arial"/>
        </w:rPr>
      </w:pPr>
      <w:r>
        <w:rPr>
          <w:rFonts w:ascii="Arial" w:hAnsi="Arial" w:cs="Arial"/>
        </w:rPr>
        <w:t>This section reviews the incremental impact on the individual financial statements in further detail</w:t>
      </w:r>
    </w:p>
    <w:p w14:paraId="49A0AA2D" w14:textId="7EEE7229" w:rsidR="00D34AF2" w:rsidRDefault="00224DCA" w:rsidP="00224DCA">
      <w:pPr>
        <w:pStyle w:val="Caption"/>
      </w:pPr>
      <w:r>
        <w:t xml:space="preserve">Table </w:t>
      </w:r>
      <w:r>
        <w:fldChar w:fldCharType="begin"/>
      </w:r>
      <w:r>
        <w:instrText xml:space="preserve"> SEQ Table \* ARABIC </w:instrText>
      </w:r>
      <w:r>
        <w:fldChar w:fldCharType="separate"/>
      </w:r>
      <w:r w:rsidR="00A936CD">
        <w:rPr>
          <w:noProof/>
        </w:rPr>
        <w:t>34</w:t>
      </w:r>
      <w:r>
        <w:fldChar w:fldCharType="end"/>
      </w:r>
      <w:r>
        <w:t xml:space="preserve">: </w:t>
      </w:r>
      <w:r w:rsidRPr="0059741B">
        <w:t>Statement of comprehensive income</w:t>
      </w:r>
      <w:r w:rsidR="00F83000">
        <w:t xml:space="preserve"> – incremental impact of preferred option</w:t>
      </w:r>
    </w:p>
    <w:p w14:paraId="22459CEB" w14:textId="77777777" w:rsidR="0084544B" w:rsidRDefault="0084544B" w:rsidP="0084544B">
      <w:pPr>
        <w:rPr>
          <w:lang w:val="en-US" w:eastAsia="en-US"/>
        </w:rPr>
      </w:pPr>
    </w:p>
    <w:p w14:paraId="3F96DD3D" w14:textId="5A4EF624" w:rsidR="0084544B" w:rsidRPr="0084544B" w:rsidRDefault="0084544B" w:rsidP="0084544B">
      <w:pPr>
        <w:rPr>
          <w:lang w:val="en-US" w:eastAsia="en-US"/>
        </w:rPr>
      </w:pPr>
      <w:r>
        <w:rPr>
          <w:lang w:val="en-US" w:eastAsia="en-US"/>
        </w:rPr>
        <w:t>[Redacted]</w:t>
      </w:r>
    </w:p>
    <w:p w14:paraId="673478B7" w14:textId="77777777" w:rsidR="00F83000" w:rsidRDefault="00F83000" w:rsidP="00D34AF2">
      <w:pPr>
        <w:rPr>
          <w:rFonts w:ascii="Arial" w:hAnsi="Arial" w:cs="Arial"/>
        </w:rPr>
      </w:pPr>
    </w:p>
    <w:p w14:paraId="5FCC570B" w14:textId="7FFEA608" w:rsidR="00D34AF2" w:rsidRPr="00D34AF2" w:rsidRDefault="00D34AF2" w:rsidP="00D34AF2">
      <w:pPr>
        <w:rPr>
          <w:rFonts w:ascii="Arial" w:hAnsi="Arial" w:cs="Arial"/>
        </w:rPr>
      </w:pPr>
      <w:r>
        <w:rPr>
          <w:rFonts w:ascii="Arial" w:hAnsi="Arial" w:cs="Arial"/>
        </w:rPr>
        <w:t>In the preferred option, compared to BAU:</w:t>
      </w:r>
    </w:p>
    <w:p w14:paraId="2D0CFDA1" w14:textId="47A22AE3" w:rsidR="00D34AF2" w:rsidRDefault="00D34AF2" w:rsidP="00D34AF2">
      <w:pPr>
        <w:pStyle w:val="ListParagraph"/>
        <w:numPr>
          <w:ilvl w:val="0"/>
          <w:numId w:val="170"/>
        </w:numPr>
        <w:rPr>
          <w:rFonts w:ascii="Arial" w:hAnsi="Arial" w:cs="Arial"/>
        </w:rPr>
      </w:pPr>
      <w:r>
        <w:rPr>
          <w:rFonts w:ascii="Arial" w:hAnsi="Arial" w:cs="Arial"/>
        </w:rPr>
        <w:t>NHS and commercial income show an increase from FY27 onwards, reflecting the additio</w:t>
      </w:r>
      <w:r w:rsidR="00AC7FC6">
        <w:rPr>
          <w:rFonts w:ascii="Arial" w:hAnsi="Arial" w:cs="Arial"/>
        </w:rPr>
        <w:t>nal capacity in the new facility.</w:t>
      </w:r>
    </w:p>
    <w:p w14:paraId="736B1B7C" w14:textId="36128CA1" w:rsidR="00D34AF2" w:rsidRDefault="00D34AF2" w:rsidP="00D34AF2">
      <w:pPr>
        <w:pStyle w:val="ListParagraph"/>
        <w:numPr>
          <w:ilvl w:val="0"/>
          <w:numId w:val="170"/>
        </w:numPr>
        <w:rPr>
          <w:rFonts w:ascii="Arial" w:hAnsi="Arial" w:cs="Arial"/>
        </w:rPr>
      </w:pPr>
      <w:r>
        <w:rPr>
          <w:rFonts w:ascii="Arial" w:hAnsi="Arial" w:cs="Arial"/>
        </w:rPr>
        <w:t>Pay and non-pay are higher from FY27 due to the marginal cost of delivering this additional activity</w:t>
      </w:r>
      <w:r w:rsidR="00AC7FC6">
        <w:rPr>
          <w:rFonts w:ascii="Arial" w:hAnsi="Arial" w:cs="Arial"/>
        </w:rPr>
        <w:t>.</w:t>
      </w:r>
    </w:p>
    <w:p w14:paraId="6859C54C" w14:textId="0048B5CB" w:rsidR="00D34AF2" w:rsidRDefault="00D34AF2" w:rsidP="00D34AF2">
      <w:pPr>
        <w:pStyle w:val="ListParagraph"/>
        <w:numPr>
          <w:ilvl w:val="0"/>
          <w:numId w:val="170"/>
        </w:numPr>
        <w:rPr>
          <w:rFonts w:ascii="Arial" w:hAnsi="Arial" w:cs="Arial"/>
        </w:rPr>
      </w:pPr>
      <w:r>
        <w:rPr>
          <w:rFonts w:ascii="Arial" w:hAnsi="Arial" w:cs="Arial"/>
        </w:rPr>
        <w:t>Non-pay increases throughout the period also reflect transitional costs – project costs from FY20 to FY24 and transitional/move costs in FY26 to FY28</w:t>
      </w:r>
      <w:r w:rsidR="00AC7FC6">
        <w:rPr>
          <w:rFonts w:ascii="Arial" w:hAnsi="Arial" w:cs="Arial"/>
        </w:rPr>
        <w:t>.</w:t>
      </w:r>
    </w:p>
    <w:p w14:paraId="2CC89967" w14:textId="41E906B6" w:rsidR="00D34AF2" w:rsidRDefault="00D34AF2" w:rsidP="00D34AF2">
      <w:pPr>
        <w:pStyle w:val="ListParagraph"/>
        <w:numPr>
          <w:ilvl w:val="0"/>
          <w:numId w:val="170"/>
        </w:numPr>
        <w:rPr>
          <w:rFonts w:ascii="Arial" w:hAnsi="Arial" w:cs="Arial"/>
        </w:rPr>
      </w:pPr>
      <w:r>
        <w:rPr>
          <w:rFonts w:ascii="Arial" w:hAnsi="Arial" w:cs="Arial"/>
        </w:rPr>
        <w:t>Depreciation, interest and PDC are increased costs, driven by the capital costs invested in the new facility</w:t>
      </w:r>
      <w:r w:rsidR="00AC7FC6">
        <w:rPr>
          <w:rFonts w:ascii="Arial" w:hAnsi="Arial" w:cs="Arial"/>
        </w:rPr>
        <w:t>.</w:t>
      </w:r>
    </w:p>
    <w:p w14:paraId="68C333BB" w14:textId="12A50519" w:rsidR="00D34AF2" w:rsidRDefault="00D34AF2" w:rsidP="00AE4E35">
      <w:pPr>
        <w:pStyle w:val="ListParagraph"/>
        <w:numPr>
          <w:ilvl w:val="0"/>
          <w:numId w:val="170"/>
        </w:numPr>
        <w:rPr>
          <w:rFonts w:ascii="Arial" w:hAnsi="Arial" w:cs="Arial"/>
        </w:rPr>
      </w:pPr>
      <w:r>
        <w:rPr>
          <w:rFonts w:ascii="Arial" w:hAnsi="Arial" w:cs="Arial"/>
        </w:rPr>
        <w:t>The I&amp;E is impacted by the receipt of capital funding to cover these costs: charitable donations of £</w:t>
      </w:r>
      <w:r w:rsidR="0084544B">
        <w:rPr>
          <w:rFonts w:ascii="Arial" w:hAnsi="Arial" w:cs="Arial"/>
        </w:rPr>
        <w:t>XXX</w:t>
      </w:r>
      <w:r>
        <w:rPr>
          <w:rFonts w:ascii="Arial" w:hAnsi="Arial" w:cs="Arial"/>
        </w:rPr>
        <w:t>m are received</w:t>
      </w:r>
      <w:r w:rsidR="001F1F06">
        <w:rPr>
          <w:rFonts w:ascii="Arial" w:hAnsi="Arial" w:cs="Arial"/>
        </w:rPr>
        <w:t xml:space="preserve"> in FY27 to FY28</w:t>
      </w:r>
      <w:r>
        <w:rPr>
          <w:rFonts w:ascii="Arial" w:hAnsi="Arial" w:cs="Arial"/>
        </w:rPr>
        <w:t xml:space="preserve"> (these are amounts specifically committed to the Oriel project) and a gain is recognised on the sale of City Road (£</w:t>
      </w:r>
      <w:r w:rsidR="0084544B">
        <w:rPr>
          <w:rFonts w:ascii="Arial" w:hAnsi="Arial" w:cs="Arial"/>
        </w:rPr>
        <w:t>XXX</w:t>
      </w:r>
      <w:r>
        <w:rPr>
          <w:rFonts w:ascii="Arial" w:hAnsi="Arial" w:cs="Arial"/>
        </w:rPr>
        <w:t>m)</w:t>
      </w:r>
      <w:r w:rsidR="001F1F06">
        <w:rPr>
          <w:rFonts w:ascii="Arial" w:hAnsi="Arial" w:cs="Arial"/>
        </w:rPr>
        <w:t xml:space="preserve"> in FY27.</w:t>
      </w:r>
    </w:p>
    <w:p w14:paraId="65C318E8" w14:textId="3E698794" w:rsidR="00D34AF2" w:rsidRPr="00D34AF2" w:rsidRDefault="00224DCA" w:rsidP="00224DCA">
      <w:pPr>
        <w:pStyle w:val="Caption"/>
      </w:pPr>
      <w:r>
        <w:t xml:space="preserve">Table </w:t>
      </w:r>
      <w:r>
        <w:fldChar w:fldCharType="begin"/>
      </w:r>
      <w:r>
        <w:instrText xml:space="preserve"> SEQ Table \* ARABIC </w:instrText>
      </w:r>
      <w:r>
        <w:fldChar w:fldCharType="separate"/>
      </w:r>
      <w:r w:rsidR="00A936CD">
        <w:rPr>
          <w:noProof/>
        </w:rPr>
        <w:t>35</w:t>
      </w:r>
      <w:r>
        <w:fldChar w:fldCharType="end"/>
      </w:r>
      <w:r>
        <w:t xml:space="preserve">: </w:t>
      </w:r>
      <w:r w:rsidRPr="00D05C72">
        <w:t>Statement of Financial Position</w:t>
      </w:r>
      <w:r w:rsidR="00F83000">
        <w:t xml:space="preserve"> – incremental impact of preferred option</w:t>
      </w:r>
    </w:p>
    <w:p w14:paraId="00DF36BF" w14:textId="26301B77" w:rsidR="00F83000" w:rsidRDefault="00F83000" w:rsidP="00D34AF2">
      <w:pPr>
        <w:rPr>
          <w:rFonts w:ascii="Arial" w:hAnsi="Arial" w:cs="Arial"/>
        </w:rPr>
      </w:pPr>
    </w:p>
    <w:p w14:paraId="1E9A7B99" w14:textId="6E7117CB" w:rsidR="0084544B" w:rsidRDefault="0084544B" w:rsidP="00D34AF2">
      <w:pPr>
        <w:rPr>
          <w:rFonts w:ascii="Arial" w:hAnsi="Arial" w:cs="Arial"/>
        </w:rPr>
      </w:pPr>
      <w:r>
        <w:rPr>
          <w:rFonts w:ascii="Arial" w:hAnsi="Arial" w:cs="Arial"/>
        </w:rPr>
        <w:t>[Redacted]</w:t>
      </w:r>
    </w:p>
    <w:p w14:paraId="03AAAEE7" w14:textId="77777777" w:rsidR="0084544B" w:rsidRDefault="0084544B" w:rsidP="00D34AF2">
      <w:pPr>
        <w:rPr>
          <w:rFonts w:ascii="Arial" w:hAnsi="Arial" w:cs="Arial"/>
        </w:rPr>
      </w:pPr>
    </w:p>
    <w:p w14:paraId="0D5AE82A" w14:textId="2D571577" w:rsidR="00D34AF2" w:rsidRPr="00D34AF2" w:rsidRDefault="00D34AF2" w:rsidP="00D34AF2">
      <w:pPr>
        <w:rPr>
          <w:rFonts w:ascii="Arial" w:hAnsi="Arial" w:cs="Arial"/>
        </w:rPr>
      </w:pPr>
      <w:r>
        <w:rPr>
          <w:rFonts w:ascii="Arial" w:hAnsi="Arial" w:cs="Arial"/>
        </w:rPr>
        <w:t>In the preferred option, compared to BAU</w:t>
      </w:r>
      <w:r w:rsidR="00A74436">
        <w:rPr>
          <w:rFonts w:ascii="Arial" w:hAnsi="Arial" w:cs="Arial"/>
        </w:rPr>
        <w:t xml:space="preserve">, the key differences </w:t>
      </w:r>
      <w:r w:rsidR="001F1F06">
        <w:rPr>
          <w:rFonts w:ascii="Arial" w:hAnsi="Arial" w:cs="Arial"/>
        </w:rPr>
        <w:t xml:space="preserve">in the statement of financial position </w:t>
      </w:r>
      <w:r w:rsidR="00A74436">
        <w:rPr>
          <w:rFonts w:ascii="Arial" w:hAnsi="Arial" w:cs="Arial"/>
        </w:rPr>
        <w:t>are</w:t>
      </w:r>
      <w:r>
        <w:rPr>
          <w:rFonts w:ascii="Arial" w:hAnsi="Arial" w:cs="Arial"/>
        </w:rPr>
        <w:t>:</w:t>
      </w:r>
    </w:p>
    <w:p w14:paraId="25307CD3" w14:textId="26F88014" w:rsidR="00D34AF2" w:rsidRDefault="00D34AF2" w:rsidP="00D34AF2">
      <w:pPr>
        <w:pStyle w:val="ListParagraph"/>
        <w:numPr>
          <w:ilvl w:val="0"/>
          <w:numId w:val="171"/>
        </w:numPr>
        <w:rPr>
          <w:rFonts w:ascii="Arial" w:hAnsi="Arial" w:cs="Arial"/>
        </w:rPr>
      </w:pPr>
      <w:r>
        <w:rPr>
          <w:rFonts w:ascii="Arial" w:hAnsi="Arial" w:cs="Arial"/>
        </w:rPr>
        <w:t xml:space="preserve">Non-current assets </w:t>
      </w:r>
      <w:r w:rsidR="00C859E9">
        <w:rPr>
          <w:rFonts w:ascii="Arial" w:hAnsi="Arial" w:cs="Arial"/>
        </w:rPr>
        <w:t>are £</w:t>
      </w:r>
      <w:r w:rsidR="0084544B">
        <w:rPr>
          <w:rFonts w:ascii="Arial" w:hAnsi="Arial" w:cs="Arial"/>
        </w:rPr>
        <w:t>XXX</w:t>
      </w:r>
      <w:r w:rsidR="00C859E9">
        <w:rPr>
          <w:rFonts w:ascii="Arial" w:hAnsi="Arial" w:cs="Arial"/>
        </w:rPr>
        <w:t xml:space="preserve">m higher </w:t>
      </w:r>
      <w:r w:rsidR="00A74436">
        <w:rPr>
          <w:rFonts w:ascii="Arial" w:hAnsi="Arial" w:cs="Arial"/>
        </w:rPr>
        <w:t xml:space="preserve">by FY29 </w:t>
      </w:r>
      <w:r>
        <w:rPr>
          <w:rFonts w:ascii="Arial" w:hAnsi="Arial" w:cs="Arial"/>
        </w:rPr>
        <w:t>reflect</w:t>
      </w:r>
      <w:r w:rsidR="00C859E9">
        <w:rPr>
          <w:rFonts w:ascii="Arial" w:hAnsi="Arial" w:cs="Arial"/>
        </w:rPr>
        <w:t>ing</w:t>
      </w:r>
      <w:r>
        <w:rPr>
          <w:rFonts w:ascii="Arial" w:hAnsi="Arial" w:cs="Arial"/>
        </w:rPr>
        <w:t xml:space="preserve"> the increased capital investment for the new facility</w:t>
      </w:r>
      <w:r w:rsidR="00A74436">
        <w:rPr>
          <w:rFonts w:ascii="Arial" w:hAnsi="Arial" w:cs="Arial"/>
        </w:rPr>
        <w:t>.</w:t>
      </w:r>
    </w:p>
    <w:p w14:paraId="0046A505" w14:textId="5F3DB707" w:rsidR="00A74436" w:rsidRDefault="00A74436" w:rsidP="00D34AF2">
      <w:pPr>
        <w:pStyle w:val="ListParagraph"/>
        <w:numPr>
          <w:ilvl w:val="0"/>
          <w:numId w:val="171"/>
        </w:numPr>
        <w:rPr>
          <w:rFonts w:ascii="Arial" w:hAnsi="Arial" w:cs="Arial"/>
        </w:rPr>
      </w:pPr>
      <w:r>
        <w:rPr>
          <w:rFonts w:ascii="Arial" w:hAnsi="Arial" w:cs="Arial"/>
        </w:rPr>
        <w:t>A bridging loan is required as part of the capital funding structure – drawn</w:t>
      </w:r>
      <w:r w:rsidR="00F83000">
        <w:rPr>
          <w:rFonts w:ascii="Arial" w:hAnsi="Arial" w:cs="Arial"/>
        </w:rPr>
        <w:t xml:space="preserve"> </w:t>
      </w:r>
      <w:r>
        <w:rPr>
          <w:rFonts w:ascii="Arial" w:hAnsi="Arial" w:cs="Arial"/>
        </w:rPr>
        <w:t>down in FY25 and repaid FY27</w:t>
      </w:r>
      <w:r w:rsidR="00AC7FC6">
        <w:rPr>
          <w:rFonts w:ascii="Arial" w:hAnsi="Arial" w:cs="Arial"/>
        </w:rPr>
        <w:t>.</w:t>
      </w:r>
    </w:p>
    <w:p w14:paraId="37D6E09B" w14:textId="2656463A" w:rsidR="00D34AF2" w:rsidRDefault="00D34AF2" w:rsidP="00D34AF2">
      <w:pPr>
        <w:pStyle w:val="ListParagraph"/>
        <w:numPr>
          <w:ilvl w:val="0"/>
          <w:numId w:val="171"/>
        </w:numPr>
        <w:rPr>
          <w:rFonts w:ascii="Arial" w:hAnsi="Arial" w:cs="Arial"/>
        </w:rPr>
      </w:pPr>
      <w:r>
        <w:rPr>
          <w:rFonts w:ascii="Arial" w:hAnsi="Arial" w:cs="Arial"/>
        </w:rPr>
        <w:t>Public dividend capital of £</w:t>
      </w:r>
      <w:r w:rsidR="0084544B">
        <w:rPr>
          <w:rFonts w:ascii="Arial" w:hAnsi="Arial" w:cs="Arial"/>
        </w:rPr>
        <w:t>XXX</w:t>
      </w:r>
      <w:r>
        <w:rPr>
          <w:rFonts w:ascii="Arial" w:hAnsi="Arial" w:cs="Arial"/>
        </w:rPr>
        <w:t>m is received, which is committed capital funding for the preferred option.</w:t>
      </w:r>
    </w:p>
    <w:p w14:paraId="4B8A4FB3" w14:textId="56D0D312" w:rsidR="00D34AF2" w:rsidRDefault="00D34AF2" w:rsidP="00D34AF2">
      <w:pPr>
        <w:pStyle w:val="ListParagraph"/>
        <w:numPr>
          <w:ilvl w:val="0"/>
          <w:numId w:val="171"/>
        </w:numPr>
        <w:rPr>
          <w:rFonts w:ascii="Arial" w:hAnsi="Arial" w:cs="Arial"/>
        </w:rPr>
      </w:pPr>
      <w:r>
        <w:rPr>
          <w:rFonts w:ascii="Arial" w:hAnsi="Arial" w:cs="Arial"/>
        </w:rPr>
        <w:t xml:space="preserve">Cash </w:t>
      </w:r>
      <w:r w:rsidR="00A74436">
        <w:rPr>
          <w:rFonts w:ascii="Arial" w:hAnsi="Arial" w:cs="Arial"/>
        </w:rPr>
        <w:t>is £</w:t>
      </w:r>
      <w:r w:rsidR="0084544B">
        <w:rPr>
          <w:rFonts w:ascii="Arial" w:hAnsi="Arial" w:cs="Arial"/>
        </w:rPr>
        <w:t>XXX</w:t>
      </w:r>
      <w:r w:rsidR="00A74436">
        <w:rPr>
          <w:rFonts w:ascii="Arial" w:hAnsi="Arial" w:cs="Arial"/>
        </w:rPr>
        <w:t xml:space="preserve"> lower by FY29 – see following section.</w:t>
      </w:r>
    </w:p>
    <w:p w14:paraId="64FA3855" w14:textId="461AE3F2" w:rsidR="00D34AF2" w:rsidRDefault="00224DCA" w:rsidP="00224DCA">
      <w:pPr>
        <w:pStyle w:val="Caption"/>
      </w:pPr>
      <w:r>
        <w:t xml:space="preserve">Table </w:t>
      </w:r>
      <w:r>
        <w:fldChar w:fldCharType="begin"/>
      </w:r>
      <w:r>
        <w:instrText xml:space="preserve"> SEQ Table \* ARABIC </w:instrText>
      </w:r>
      <w:r>
        <w:fldChar w:fldCharType="separate"/>
      </w:r>
      <w:r w:rsidR="00A936CD">
        <w:rPr>
          <w:noProof/>
        </w:rPr>
        <w:t>36</w:t>
      </w:r>
      <w:r>
        <w:fldChar w:fldCharType="end"/>
      </w:r>
      <w:r>
        <w:t xml:space="preserve">: </w:t>
      </w:r>
      <w:r w:rsidRPr="0090408C">
        <w:t>Cash flow statement</w:t>
      </w:r>
    </w:p>
    <w:p w14:paraId="39EEA461" w14:textId="77777777" w:rsidR="0084544B" w:rsidRDefault="0084544B" w:rsidP="0084544B">
      <w:pPr>
        <w:rPr>
          <w:lang w:val="en-US" w:eastAsia="en-US"/>
        </w:rPr>
      </w:pPr>
    </w:p>
    <w:p w14:paraId="1898FADD" w14:textId="5CF18E58" w:rsidR="0084544B" w:rsidRPr="0084544B" w:rsidRDefault="0084544B" w:rsidP="0084544B">
      <w:pPr>
        <w:rPr>
          <w:rFonts w:ascii="Arial" w:hAnsi="Arial" w:cs="Arial"/>
          <w:lang w:val="en-US" w:eastAsia="en-US"/>
        </w:rPr>
      </w:pPr>
      <w:r w:rsidRPr="0084544B">
        <w:rPr>
          <w:rFonts w:ascii="Arial" w:hAnsi="Arial" w:cs="Arial"/>
          <w:lang w:val="en-US" w:eastAsia="en-US"/>
        </w:rPr>
        <w:t>[Redacted]</w:t>
      </w:r>
    </w:p>
    <w:p w14:paraId="65B8DB7E" w14:textId="77777777" w:rsidR="0084544B" w:rsidRPr="0084544B" w:rsidRDefault="0084544B" w:rsidP="0084544B">
      <w:pPr>
        <w:rPr>
          <w:lang w:val="en-US" w:eastAsia="en-US"/>
        </w:rPr>
      </w:pPr>
    </w:p>
    <w:p w14:paraId="728B9D99" w14:textId="77777777" w:rsidR="00521C5D" w:rsidRDefault="00521C5D" w:rsidP="00B95AE6">
      <w:pPr>
        <w:rPr>
          <w:rFonts w:ascii="Arial" w:hAnsi="Arial" w:cs="Arial"/>
        </w:rPr>
      </w:pPr>
    </w:p>
    <w:p w14:paraId="6A848EC2" w14:textId="5D38E9C1" w:rsidR="00D34AF2" w:rsidRDefault="00D34AF2" w:rsidP="00B95AE6">
      <w:pPr>
        <w:rPr>
          <w:rFonts w:ascii="Arial" w:hAnsi="Arial" w:cs="Arial"/>
        </w:rPr>
      </w:pPr>
      <w:r>
        <w:rPr>
          <w:rFonts w:ascii="Arial" w:hAnsi="Arial" w:cs="Arial"/>
        </w:rPr>
        <w:t>Overall, cash is £</w:t>
      </w:r>
      <w:r w:rsidR="0084544B">
        <w:rPr>
          <w:rFonts w:ascii="Arial" w:hAnsi="Arial" w:cs="Arial"/>
        </w:rPr>
        <w:t>XXX</w:t>
      </w:r>
      <w:r>
        <w:rPr>
          <w:rFonts w:ascii="Arial" w:hAnsi="Arial" w:cs="Arial"/>
        </w:rPr>
        <w:t>m lower by FY29 in the preferred option compared to BAU.  This reflects two</w:t>
      </w:r>
      <w:r w:rsidR="00F338E1">
        <w:rPr>
          <w:rFonts w:ascii="Arial" w:hAnsi="Arial" w:cs="Arial"/>
        </w:rPr>
        <w:t xml:space="preserve"> key</w:t>
      </w:r>
      <w:r>
        <w:rPr>
          <w:rFonts w:ascii="Arial" w:hAnsi="Arial" w:cs="Arial"/>
        </w:rPr>
        <w:t xml:space="preserve"> elements</w:t>
      </w:r>
      <w:r w:rsidR="00B95AE6">
        <w:rPr>
          <w:rFonts w:ascii="Arial" w:hAnsi="Arial" w:cs="Arial"/>
        </w:rPr>
        <w:t xml:space="preserve">: the internal capital funding </w:t>
      </w:r>
      <w:r w:rsidR="00137A2D">
        <w:rPr>
          <w:rFonts w:ascii="Arial" w:hAnsi="Arial" w:cs="Arial"/>
        </w:rPr>
        <w:t xml:space="preserve">utilised for the preferred option </w:t>
      </w:r>
      <w:r w:rsidR="00B95AE6">
        <w:rPr>
          <w:rFonts w:ascii="Arial" w:hAnsi="Arial" w:cs="Arial"/>
        </w:rPr>
        <w:t xml:space="preserve">as set out in table 31 and </w:t>
      </w:r>
      <w:r w:rsidR="00E02377">
        <w:rPr>
          <w:rFonts w:ascii="Arial" w:hAnsi="Arial" w:cs="Arial"/>
        </w:rPr>
        <w:t xml:space="preserve">additional </w:t>
      </w:r>
      <w:r w:rsidR="00B95AE6">
        <w:rPr>
          <w:rFonts w:ascii="Arial" w:hAnsi="Arial" w:cs="Arial"/>
        </w:rPr>
        <w:t>revenue costs through the period - including project costs and move costs, interest costs of the bridging</w:t>
      </w:r>
      <w:r w:rsidR="009F6F63">
        <w:rPr>
          <w:rFonts w:ascii="Arial" w:hAnsi="Arial" w:cs="Arial"/>
        </w:rPr>
        <w:t xml:space="preserve"> loan and increased PDC charges.</w:t>
      </w:r>
    </w:p>
    <w:p w14:paraId="5DC4E243" w14:textId="6B6C6A94" w:rsidR="00B95AE6" w:rsidRPr="00D34AF2" w:rsidRDefault="009F6F63" w:rsidP="00B95AE6">
      <w:pPr>
        <w:rPr>
          <w:rFonts w:ascii="Arial" w:hAnsi="Arial" w:cs="Arial"/>
        </w:rPr>
      </w:pPr>
      <w:r>
        <w:rPr>
          <w:rFonts w:ascii="Arial" w:hAnsi="Arial" w:cs="Arial"/>
        </w:rPr>
        <w:t xml:space="preserve">However, these costs begin to be offset by additional activity and efficiencies once the new facility opens and, by </w:t>
      </w:r>
      <w:r w:rsidR="00B95AE6">
        <w:rPr>
          <w:rFonts w:ascii="Arial" w:hAnsi="Arial" w:cs="Arial"/>
        </w:rPr>
        <w:t>FY29</w:t>
      </w:r>
      <w:r>
        <w:rPr>
          <w:rFonts w:ascii="Arial" w:hAnsi="Arial" w:cs="Arial"/>
        </w:rPr>
        <w:t>,</w:t>
      </w:r>
      <w:r w:rsidR="00B95AE6">
        <w:rPr>
          <w:rFonts w:ascii="Arial" w:hAnsi="Arial" w:cs="Arial"/>
        </w:rPr>
        <w:t xml:space="preserve"> the</w:t>
      </w:r>
      <w:r w:rsidR="00F338E1">
        <w:rPr>
          <w:rFonts w:ascii="Arial" w:hAnsi="Arial" w:cs="Arial"/>
        </w:rPr>
        <w:t xml:space="preserve"> in-year</w:t>
      </w:r>
      <w:r w:rsidR="00B95AE6">
        <w:rPr>
          <w:rFonts w:ascii="Arial" w:hAnsi="Arial" w:cs="Arial"/>
        </w:rPr>
        <w:t xml:space="preserve"> net cash flow is £</w:t>
      </w:r>
      <w:r w:rsidR="0084544B">
        <w:rPr>
          <w:rFonts w:ascii="Arial" w:hAnsi="Arial" w:cs="Arial"/>
        </w:rPr>
        <w:t>XXX</w:t>
      </w:r>
      <w:r w:rsidR="00B95AE6">
        <w:rPr>
          <w:rFonts w:ascii="Arial" w:hAnsi="Arial" w:cs="Arial"/>
        </w:rPr>
        <w:t xml:space="preserve">m higher in the preferred option </w:t>
      </w:r>
      <w:r>
        <w:rPr>
          <w:rFonts w:ascii="Arial" w:hAnsi="Arial" w:cs="Arial"/>
        </w:rPr>
        <w:t>than in business as usual.  These improvements are set to continue further in the following years.</w:t>
      </w:r>
    </w:p>
    <w:p w14:paraId="33567815" w14:textId="59FCC2A8" w:rsidR="00521C5D" w:rsidRDefault="00521C5D">
      <w:pPr>
        <w:rPr>
          <w:rFonts w:ascii="Arial" w:hAnsi="Arial" w:cs="Arial"/>
        </w:rPr>
      </w:pPr>
      <w:r>
        <w:rPr>
          <w:rFonts w:ascii="Arial" w:hAnsi="Arial" w:cs="Arial"/>
        </w:rPr>
        <w:br w:type="page"/>
      </w:r>
    </w:p>
    <w:p w14:paraId="50C47FE5" w14:textId="77777777" w:rsidR="00D34AF2" w:rsidRPr="00D34AF2" w:rsidRDefault="00D34AF2" w:rsidP="00D34AF2">
      <w:pPr>
        <w:rPr>
          <w:rFonts w:ascii="Arial" w:hAnsi="Arial" w:cs="Arial"/>
        </w:rPr>
      </w:pPr>
    </w:p>
    <w:p w14:paraId="7D900311" w14:textId="2A80B0AC" w:rsidR="005E30EF" w:rsidRPr="00587DF1" w:rsidRDefault="005E30EF" w:rsidP="005E0D57">
      <w:pPr>
        <w:pStyle w:val="Heading2"/>
        <w:numPr>
          <w:ilvl w:val="1"/>
          <w:numId w:val="1"/>
        </w:numPr>
        <w:rPr>
          <w:rFonts w:ascii="Arial" w:eastAsia="Arial" w:hAnsi="Arial" w:cs="Arial"/>
        </w:rPr>
      </w:pPr>
      <w:r>
        <w:rPr>
          <w:rFonts w:ascii="Arial" w:eastAsia="Arial" w:hAnsi="Arial" w:cs="Arial"/>
        </w:rPr>
        <w:t>Conclusion</w:t>
      </w:r>
      <w:bookmarkEnd w:id="319"/>
      <w:bookmarkEnd w:id="320"/>
    </w:p>
    <w:p w14:paraId="296E8E26" w14:textId="77777777" w:rsidR="0009374F" w:rsidRDefault="0009374F" w:rsidP="0009374F">
      <w:pPr>
        <w:pBdr>
          <w:top w:val="nil"/>
          <w:left w:val="nil"/>
          <w:bottom w:val="nil"/>
          <w:right w:val="nil"/>
          <w:between w:val="nil"/>
        </w:pBdr>
        <w:tabs>
          <w:tab w:val="left" w:pos="567"/>
        </w:tabs>
        <w:spacing w:after="0"/>
        <w:rPr>
          <w:rFonts w:ascii="Arial" w:eastAsia="Arial" w:hAnsi="Arial" w:cs="Arial"/>
          <w:bCs/>
          <w:color w:val="000000"/>
        </w:rPr>
      </w:pPr>
    </w:p>
    <w:p w14:paraId="18D29239" w14:textId="0154B348" w:rsidR="005E30EF" w:rsidRDefault="005E30EF" w:rsidP="00AF7894">
      <w:p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 xml:space="preserve">The Economic Case chapter sets out the five shortlisted options and sets out the economic appraisal which demonstrates that the preferred option is </w:t>
      </w:r>
      <w:r>
        <w:rPr>
          <w:rFonts w:ascii="Arial" w:hAnsi="Arial" w:cs="Arial"/>
        </w:rPr>
        <w:t xml:space="preserve">to build a new facility in the St Pancras area with an area of 39,500 square metres.  </w:t>
      </w:r>
    </w:p>
    <w:p w14:paraId="61404FAD" w14:textId="77777777" w:rsidR="005E30EF" w:rsidRDefault="005E30EF" w:rsidP="00AF7894">
      <w:p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 xml:space="preserve">This chapter has demonstrated the affordability of this preferred option:  </w:t>
      </w:r>
    </w:p>
    <w:p w14:paraId="7B3D77CF" w14:textId="5F928F1C" w:rsidR="005E30EF" w:rsidRPr="009D788D" w:rsidRDefault="005E30EF" w:rsidP="00190084">
      <w:pPr>
        <w:pStyle w:val="ListParagraph"/>
        <w:numPr>
          <w:ilvl w:val="0"/>
          <w:numId w:val="119"/>
        </w:numPr>
        <w:pBdr>
          <w:top w:val="nil"/>
          <w:left w:val="nil"/>
          <w:bottom w:val="nil"/>
          <w:right w:val="nil"/>
          <w:between w:val="nil"/>
        </w:pBdr>
        <w:tabs>
          <w:tab w:val="left" w:pos="567"/>
        </w:tabs>
        <w:ind w:left="567" w:hanging="207"/>
        <w:rPr>
          <w:rFonts w:ascii="Arial" w:eastAsia="Arial" w:hAnsi="Arial" w:cs="Arial"/>
          <w:bCs/>
          <w:color w:val="000000"/>
        </w:rPr>
      </w:pPr>
      <w:r w:rsidRPr="009D788D">
        <w:rPr>
          <w:rFonts w:ascii="Arial" w:eastAsia="Arial" w:hAnsi="Arial" w:cs="Arial"/>
          <w:bCs/>
          <w:color w:val="000000"/>
        </w:rPr>
        <w:t>In the base case, underlying surpluses are maintained throughout the period, an adju</w:t>
      </w:r>
      <w:r w:rsidR="00EF769C">
        <w:rPr>
          <w:rFonts w:ascii="Arial" w:eastAsia="Arial" w:hAnsi="Arial" w:cs="Arial"/>
          <w:bCs/>
          <w:color w:val="000000"/>
        </w:rPr>
        <w:t>sted surplus is reported by FY29</w:t>
      </w:r>
      <w:r w:rsidRPr="009D788D">
        <w:rPr>
          <w:rFonts w:ascii="Arial" w:eastAsia="Arial" w:hAnsi="Arial" w:cs="Arial"/>
          <w:bCs/>
          <w:color w:val="000000"/>
        </w:rPr>
        <w:t>, the cash balance is maintained above £5m throughout the period, and the NHSI liquidity risk</w:t>
      </w:r>
      <w:r w:rsidR="002F0307">
        <w:rPr>
          <w:rFonts w:ascii="Arial" w:eastAsia="Arial" w:hAnsi="Arial" w:cs="Arial"/>
          <w:bCs/>
          <w:color w:val="000000"/>
        </w:rPr>
        <w:t xml:space="preserve"> rating does not fall below a ‘1</w:t>
      </w:r>
      <w:r w:rsidRPr="009D788D">
        <w:rPr>
          <w:rFonts w:ascii="Arial" w:eastAsia="Arial" w:hAnsi="Arial" w:cs="Arial"/>
          <w:bCs/>
          <w:color w:val="000000"/>
        </w:rPr>
        <w:t>’</w:t>
      </w:r>
      <w:r w:rsidR="002F0307">
        <w:rPr>
          <w:rFonts w:ascii="Arial" w:eastAsia="Arial" w:hAnsi="Arial" w:cs="Arial"/>
          <w:bCs/>
          <w:color w:val="000000"/>
        </w:rPr>
        <w:t>, excluding the impact of the bridging loan in FY26.</w:t>
      </w:r>
    </w:p>
    <w:p w14:paraId="002A49D9" w14:textId="4430BB23" w:rsidR="005E30EF" w:rsidRDefault="005E30EF" w:rsidP="00190084">
      <w:pPr>
        <w:pStyle w:val="ListParagraph"/>
        <w:numPr>
          <w:ilvl w:val="0"/>
          <w:numId w:val="119"/>
        </w:numPr>
        <w:pBdr>
          <w:top w:val="nil"/>
          <w:left w:val="nil"/>
          <w:bottom w:val="nil"/>
          <w:right w:val="nil"/>
          <w:between w:val="nil"/>
        </w:pBdr>
        <w:tabs>
          <w:tab w:val="left" w:pos="567"/>
        </w:tabs>
        <w:ind w:left="567" w:hanging="207"/>
        <w:rPr>
          <w:rFonts w:ascii="Arial" w:eastAsia="Arial" w:hAnsi="Arial" w:cs="Arial"/>
          <w:bCs/>
          <w:color w:val="000000"/>
        </w:rPr>
      </w:pPr>
      <w:r w:rsidRPr="009D788D">
        <w:rPr>
          <w:rFonts w:ascii="Arial" w:eastAsia="Arial" w:hAnsi="Arial" w:cs="Arial"/>
          <w:bCs/>
          <w:color w:val="000000"/>
        </w:rPr>
        <w:t>In a downside, where the key risks identified are quantified and then offset by mitigations</w:t>
      </w:r>
      <w:r w:rsidR="00521C5D">
        <w:rPr>
          <w:rFonts w:ascii="Arial" w:eastAsia="Arial" w:hAnsi="Arial" w:cs="Arial"/>
          <w:bCs/>
          <w:color w:val="000000"/>
        </w:rPr>
        <w:t xml:space="preserve"> (including £</w:t>
      </w:r>
      <w:r w:rsidR="0084544B">
        <w:rPr>
          <w:rFonts w:ascii="Arial" w:eastAsia="Arial" w:hAnsi="Arial" w:cs="Arial"/>
          <w:bCs/>
          <w:color w:val="000000"/>
        </w:rPr>
        <w:t>XXX</w:t>
      </w:r>
      <w:r w:rsidR="00521C5D">
        <w:rPr>
          <w:rFonts w:ascii="Arial" w:eastAsia="Arial" w:hAnsi="Arial" w:cs="Arial"/>
          <w:bCs/>
          <w:color w:val="000000"/>
        </w:rPr>
        <w:t>m capital loan funding)</w:t>
      </w:r>
      <w:r w:rsidRPr="009D788D">
        <w:rPr>
          <w:rFonts w:ascii="Arial" w:eastAsia="Arial" w:hAnsi="Arial" w:cs="Arial"/>
          <w:bCs/>
          <w:color w:val="000000"/>
        </w:rPr>
        <w:t>, the preferred option remains affordable.</w:t>
      </w:r>
    </w:p>
    <w:p w14:paraId="73BE3742" w14:textId="10E415FC" w:rsidR="00A775F1" w:rsidRDefault="00A775F1" w:rsidP="00190084">
      <w:pPr>
        <w:pStyle w:val="ListParagraph"/>
        <w:numPr>
          <w:ilvl w:val="0"/>
          <w:numId w:val="119"/>
        </w:numPr>
        <w:pBdr>
          <w:top w:val="nil"/>
          <w:left w:val="nil"/>
          <w:bottom w:val="nil"/>
          <w:right w:val="nil"/>
          <w:between w:val="nil"/>
        </w:pBdr>
        <w:tabs>
          <w:tab w:val="left" w:pos="567"/>
        </w:tabs>
        <w:ind w:left="567" w:hanging="207"/>
        <w:rPr>
          <w:rFonts w:ascii="Arial" w:eastAsia="Arial" w:hAnsi="Arial" w:cs="Arial"/>
          <w:bCs/>
          <w:color w:val="000000"/>
        </w:rPr>
      </w:pPr>
      <w:r>
        <w:rPr>
          <w:rFonts w:ascii="Arial" w:eastAsia="Arial" w:hAnsi="Arial" w:cs="Arial"/>
          <w:bCs/>
          <w:color w:val="000000"/>
        </w:rPr>
        <w:t>The incremental impact on surplus of the preferred option compa</w:t>
      </w:r>
      <w:r w:rsidR="00F338E1">
        <w:rPr>
          <w:rFonts w:ascii="Arial" w:eastAsia="Arial" w:hAnsi="Arial" w:cs="Arial"/>
          <w:bCs/>
          <w:color w:val="000000"/>
        </w:rPr>
        <w:t>red to business as usual is a £</w:t>
      </w:r>
      <w:r w:rsidR="0084544B">
        <w:rPr>
          <w:rFonts w:ascii="Arial" w:eastAsia="Arial" w:hAnsi="Arial" w:cs="Arial"/>
          <w:bCs/>
          <w:color w:val="000000"/>
        </w:rPr>
        <w:t>XXX</w:t>
      </w:r>
      <w:r>
        <w:rPr>
          <w:rFonts w:ascii="Arial" w:eastAsia="Arial" w:hAnsi="Arial" w:cs="Arial"/>
          <w:bCs/>
          <w:color w:val="000000"/>
        </w:rPr>
        <w:t>m decrease by FY29 but</w:t>
      </w:r>
      <w:r w:rsidR="00060745">
        <w:rPr>
          <w:rFonts w:ascii="Arial" w:eastAsia="Arial" w:hAnsi="Arial" w:cs="Arial"/>
          <w:bCs/>
          <w:color w:val="000000"/>
        </w:rPr>
        <w:t xml:space="preserve"> will</w:t>
      </w:r>
      <w:r>
        <w:rPr>
          <w:rFonts w:ascii="Arial" w:eastAsia="Arial" w:hAnsi="Arial" w:cs="Arial"/>
          <w:bCs/>
          <w:color w:val="000000"/>
        </w:rPr>
        <w:t xml:space="preserve"> be a surplus improvement to the trust by FY30.</w:t>
      </w:r>
      <w:r w:rsidR="00060745">
        <w:rPr>
          <w:rFonts w:ascii="Arial" w:eastAsia="Arial" w:hAnsi="Arial" w:cs="Arial"/>
          <w:bCs/>
          <w:color w:val="000000"/>
        </w:rPr>
        <w:t xml:space="preserve">  Cash is £</w:t>
      </w:r>
      <w:r w:rsidR="0084544B">
        <w:rPr>
          <w:rFonts w:ascii="Arial" w:eastAsia="Arial" w:hAnsi="Arial" w:cs="Arial"/>
          <w:bCs/>
          <w:color w:val="000000"/>
        </w:rPr>
        <w:t>XXX</w:t>
      </w:r>
      <w:r w:rsidR="00060745">
        <w:rPr>
          <w:rFonts w:ascii="Arial" w:eastAsia="Arial" w:hAnsi="Arial" w:cs="Arial"/>
          <w:bCs/>
          <w:color w:val="000000"/>
        </w:rPr>
        <w:t>m lower in the preferred option by FY29, but the cash generated by the Trust in year by FY29 is £</w:t>
      </w:r>
      <w:r w:rsidR="0084544B">
        <w:rPr>
          <w:rFonts w:ascii="Arial" w:eastAsia="Arial" w:hAnsi="Arial" w:cs="Arial"/>
          <w:bCs/>
          <w:color w:val="000000"/>
        </w:rPr>
        <w:t>XXX</w:t>
      </w:r>
      <w:r w:rsidR="00060745">
        <w:rPr>
          <w:rFonts w:ascii="Arial" w:eastAsia="Arial" w:hAnsi="Arial" w:cs="Arial"/>
          <w:bCs/>
          <w:color w:val="000000"/>
        </w:rPr>
        <w:t>m in the preferred option, and set to increase further in the following years.</w:t>
      </w:r>
    </w:p>
    <w:p w14:paraId="715FB0DE" w14:textId="77777777" w:rsidR="005E30EF" w:rsidRDefault="005E30EF" w:rsidP="005E30EF">
      <w:pPr>
        <w:pBdr>
          <w:top w:val="nil"/>
          <w:left w:val="nil"/>
          <w:bottom w:val="nil"/>
          <w:right w:val="nil"/>
          <w:between w:val="nil"/>
        </w:pBdr>
        <w:tabs>
          <w:tab w:val="left" w:pos="567"/>
        </w:tabs>
        <w:rPr>
          <w:rFonts w:ascii="Arial" w:eastAsia="Arial" w:hAnsi="Arial" w:cs="Arial"/>
          <w:bCs/>
          <w:color w:val="000000"/>
        </w:rPr>
      </w:pPr>
    </w:p>
    <w:p w14:paraId="7F1126D6" w14:textId="77777777" w:rsidR="005E30EF" w:rsidRDefault="005E30EF" w:rsidP="005E30EF">
      <w:pPr>
        <w:rPr>
          <w:rFonts w:ascii="Arial" w:eastAsia="Arial" w:hAnsi="Arial" w:cs="Arial"/>
          <w:bCs/>
          <w:color w:val="000000"/>
        </w:rPr>
      </w:pPr>
      <w:bookmarkStart w:id="322" w:name="_Hlk12615445"/>
      <w:r>
        <w:rPr>
          <w:rFonts w:ascii="Arial" w:eastAsia="Arial" w:hAnsi="Arial" w:cs="Arial"/>
          <w:bCs/>
          <w:color w:val="000000"/>
        </w:rPr>
        <w:br w:type="page"/>
      </w:r>
    </w:p>
    <w:p w14:paraId="7BB69064" w14:textId="77777777" w:rsidR="00CC30F4" w:rsidRPr="00587DF1" w:rsidRDefault="00CC30F4" w:rsidP="005E0D57">
      <w:pPr>
        <w:pStyle w:val="Heading1"/>
        <w:numPr>
          <w:ilvl w:val="0"/>
          <w:numId w:val="1"/>
        </w:numPr>
        <w:ind w:hanging="720"/>
        <w:rPr>
          <w:rFonts w:ascii="Arial" w:eastAsia="Arial" w:hAnsi="Arial" w:cs="Arial"/>
        </w:rPr>
      </w:pPr>
      <w:bookmarkStart w:id="323" w:name="_Toc32842742"/>
      <w:bookmarkStart w:id="324" w:name="_Hlk30161626"/>
      <w:r w:rsidRPr="00587DF1">
        <w:rPr>
          <w:rFonts w:ascii="Arial" w:eastAsia="Arial" w:hAnsi="Arial" w:cs="Arial"/>
        </w:rPr>
        <w:lastRenderedPageBreak/>
        <w:t>Commercial case</w:t>
      </w:r>
      <w:bookmarkEnd w:id="323"/>
    </w:p>
    <w:p w14:paraId="25CE4B55" w14:textId="77777777" w:rsidR="00C8221A" w:rsidRPr="00587DF1" w:rsidRDefault="00C8221A" w:rsidP="00C8221A">
      <w:pPr>
        <w:spacing w:after="0" w:line="240" w:lineRule="auto"/>
        <w:rPr>
          <w:rFonts w:ascii="Arial" w:eastAsia="Arial" w:hAnsi="Arial" w:cs="Arial"/>
        </w:rPr>
      </w:pPr>
    </w:p>
    <w:tbl>
      <w:tblPr>
        <w:tblW w:w="0" w:type="auto"/>
        <w:tblLook w:val="04A0" w:firstRow="1" w:lastRow="0" w:firstColumn="1" w:lastColumn="0" w:noHBand="0" w:noVBand="1"/>
      </w:tblPr>
      <w:tblGrid>
        <w:gridCol w:w="9016"/>
      </w:tblGrid>
      <w:tr w:rsidR="000D05E5" w:rsidRPr="007C7CA8" w14:paraId="429ED6C6" w14:textId="77777777" w:rsidTr="000D05E5">
        <w:tc>
          <w:tcPr>
            <w:tcW w:w="9180" w:type="dxa"/>
            <w:tcBorders>
              <w:top w:val="single" w:sz="4" w:space="0" w:color="00A09D"/>
              <w:left w:val="single" w:sz="4" w:space="0" w:color="00A09D"/>
              <w:bottom w:val="single" w:sz="4" w:space="0" w:color="00A09D"/>
              <w:right w:val="single" w:sz="4" w:space="0" w:color="00A09D"/>
            </w:tcBorders>
            <w:shd w:val="clear" w:color="auto" w:fill="DEECEF"/>
          </w:tcPr>
          <w:bookmarkEnd w:id="322"/>
          <w:p w14:paraId="762CD138" w14:textId="77777777" w:rsidR="000D05E5" w:rsidRPr="007C7CA8" w:rsidRDefault="000D05E5" w:rsidP="000D05E5">
            <w:pPr>
              <w:rPr>
                <w:rFonts w:ascii="Arial" w:hAnsi="Arial" w:cs="Arial"/>
                <w:b/>
                <w:bCs/>
                <w:color w:val="00A09D"/>
              </w:rPr>
            </w:pPr>
            <w:r>
              <w:rPr>
                <w:rFonts w:ascii="Arial" w:hAnsi="Arial" w:cs="Arial"/>
                <w:b/>
                <w:bCs/>
                <w:color w:val="00A09D"/>
              </w:rPr>
              <w:t>Commercial Case – chapter summary</w:t>
            </w:r>
          </w:p>
          <w:p w14:paraId="56C0E9F5" w14:textId="77777777" w:rsidR="00AB76DC" w:rsidRDefault="00AB76DC" w:rsidP="00AB76DC">
            <w:pPr>
              <w:rPr>
                <w:rFonts w:ascii="Arial" w:hAnsi="Arial" w:cs="Arial"/>
              </w:rPr>
            </w:pPr>
            <w:r>
              <w:rPr>
                <w:rFonts w:ascii="Arial" w:hAnsi="Arial" w:cs="Arial"/>
              </w:rPr>
              <w:t>The following chapter describes the commercial arrangements to deliver the proposal, which can be summarised as follows:</w:t>
            </w:r>
          </w:p>
          <w:p w14:paraId="41DC2D74" w14:textId="77777777" w:rsidR="00AB76DC" w:rsidRPr="00575258" w:rsidRDefault="00AB76DC" w:rsidP="004F4B79">
            <w:pPr>
              <w:pStyle w:val="ListParagraph"/>
              <w:numPr>
                <w:ilvl w:val="0"/>
                <w:numId w:val="149"/>
              </w:numPr>
              <w:rPr>
                <w:rFonts w:ascii="Arial" w:hAnsi="Arial" w:cs="Arial"/>
              </w:rPr>
            </w:pPr>
            <w:r>
              <w:rPr>
                <w:rFonts w:ascii="Arial" w:hAnsi="Arial" w:cs="Arial"/>
              </w:rPr>
              <w:t xml:space="preserve">Moorfields will </w:t>
            </w:r>
            <w:r w:rsidRPr="00575258">
              <w:rPr>
                <w:rFonts w:ascii="Arial" w:hAnsi="Arial" w:cs="Arial"/>
              </w:rPr>
              <w:t>acquire the land at the St Pancras Site</w:t>
            </w:r>
            <w:r>
              <w:rPr>
                <w:rFonts w:ascii="Arial" w:hAnsi="Arial" w:cs="Arial"/>
              </w:rPr>
              <w:t>.</w:t>
            </w:r>
          </w:p>
          <w:p w14:paraId="36C87FA0" w14:textId="192C219E" w:rsidR="00AB76DC" w:rsidRPr="00575258" w:rsidRDefault="00AB76DC" w:rsidP="004F4B79">
            <w:pPr>
              <w:pStyle w:val="ListParagraph"/>
              <w:numPr>
                <w:ilvl w:val="0"/>
                <w:numId w:val="149"/>
              </w:numPr>
              <w:rPr>
                <w:rFonts w:ascii="Arial" w:hAnsi="Arial" w:cs="Arial"/>
              </w:rPr>
            </w:pPr>
            <w:r w:rsidRPr="00575258">
              <w:rPr>
                <w:rFonts w:ascii="Arial" w:hAnsi="Arial" w:cs="Arial"/>
              </w:rPr>
              <w:t xml:space="preserve">UCL </w:t>
            </w:r>
            <w:r>
              <w:rPr>
                <w:rFonts w:ascii="Arial" w:hAnsi="Arial" w:cs="Arial"/>
              </w:rPr>
              <w:t xml:space="preserve">will </w:t>
            </w:r>
            <w:r w:rsidRPr="00575258">
              <w:rPr>
                <w:rFonts w:ascii="Arial" w:hAnsi="Arial" w:cs="Arial"/>
              </w:rPr>
              <w:t xml:space="preserve">enter into an agreement to lease </w:t>
            </w:r>
            <w:r>
              <w:rPr>
                <w:rFonts w:ascii="Arial" w:hAnsi="Arial" w:cs="Arial"/>
              </w:rPr>
              <w:t xml:space="preserve">the land, </w:t>
            </w:r>
            <w:r w:rsidRPr="00575258">
              <w:rPr>
                <w:rFonts w:ascii="Arial" w:hAnsi="Arial" w:cs="Arial"/>
              </w:rPr>
              <w:t>paying a leas</w:t>
            </w:r>
            <w:r>
              <w:rPr>
                <w:rFonts w:ascii="Arial" w:hAnsi="Arial" w:cs="Arial"/>
              </w:rPr>
              <w:t>e</w:t>
            </w:r>
            <w:r w:rsidRPr="00575258">
              <w:rPr>
                <w:rFonts w:ascii="Arial" w:hAnsi="Arial" w:cs="Arial"/>
              </w:rPr>
              <w:t xml:space="preserve"> premium of £</w:t>
            </w:r>
            <w:r w:rsidR="002B2926">
              <w:rPr>
                <w:rFonts w:ascii="Arial" w:hAnsi="Arial" w:cs="Arial"/>
              </w:rPr>
              <w:t>XXX</w:t>
            </w:r>
            <w:r w:rsidRPr="00575258">
              <w:rPr>
                <w:rFonts w:ascii="Arial" w:hAnsi="Arial" w:cs="Arial"/>
              </w:rPr>
              <w:t>m</w:t>
            </w:r>
            <w:r>
              <w:rPr>
                <w:rFonts w:ascii="Arial" w:hAnsi="Arial" w:cs="Arial"/>
              </w:rPr>
              <w:t>.</w:t>
            </w:r>
          </w:p>
          <w:p w14:paraId="44D4F7B7" w14:textId="77777777" w:rsidR="00AB76DC" w:rsidRPr="00575258" w:rsidRDefault="00AB76DC" w:rsidP="004F4B79">
            <w:pPr>
              <w:pStyle w:val="ListParagraph"/>
              <w:numPr>
                <w:ilvl w:val="0"/>
                <w:numId w:val="149"/>
              </w:numPr>
              <w:rPr>
                <w:rFonts w:ascii="Arial" w:hAnsi="Arial" w:cs="Arial"/>
              </w:rPr>
            </w:pPr>
            <w:r>
              <w:rPr>
                <w:rFonts w:ascii="Arial" w:hAnsi="Arial" w:cs="Arial"/>
              </w:rPr>
              <w:t>The p</w:t>
            </w:r>
            <w:r w:rsidRPr="00575258">
              <w:rPr>
                <w:rFonts w:ascii="Arial" w:hAnsi="Arial" w:cs="Arial"/>
              </w:rPr>
              <w:t xml:space="preserve">artners </w:t>
            </w:r>
            <w:r>
              <w:rPr>
                <w:rFonts w:ascii="Arial" w:hAnsi="Arial" w:cs="Arial"/>
              </w:rPr>
              <w:t xml:space="preserve">will </w:t>
            </w:r>
            <w:r w:rsidRPr="00575258">
              <w:rPr>
                <w:rFonts w:ascii="Arial" w:hAnsi="Arial" w:cs="Arial"/>
              </w:rPr>
              <w:t xml:space="preserve">jointly </w:t>
            </w:r>
            <w:r>
              <w:rPr>
                <w:rFonts w:ascii="Arial" w:hAnsi="Arial" w:cs="Arial"/>
              </w:rPr>
              <w:t xml:space="preserve">procure </w:t>
            </w:r>
            <w:r w:rsidRPr="00575258">
              <w:rPr>
                <w:rFonts w:ascii="Arial" w:hAnsi="Arial" w:cs="Arial"/>
              </w:rPr>
              <w:t xml:space="preserve">the construction, equipment and facility management solutions – novating contracts into </w:t>
            </w:r>
            <w:r>
              <w:rPr>
                <w:rFonts w:ascii="Arial" w:hAnsi="Arial" w:cs="Arial"/>
              </w:rPr>
              <w:t>a Joint Delivery Vehicle</w:t>
            </w:r>
            <w:r w:rsidRPr="00575258">
              <w:rPr>
                <w:rFonts w:ascii="Arial" w:hAnsi="Arial" w:cs="Arial"/>
              </w:rPr>
              <w:t xml:space="preserve"> </w:t>
            </w:r>
            <w:r>
              <w:rPr>
                <w:rFonts w:ascii="Arial" w:hAnsi="Arial" w:cs="Arial"/>
              </w:rPr>
              <w:t>(</w:t>
            </w:r>
            <w:r w:rsidRPr="00575258">
              <w:rPr>
                <w:rFonts w:ascii="Arial" w:hAnsi="Arial" w:cs="Arial"/>
              </w:rPr>
              <w:t>JDV</w:t>
            </w:r>
            <w:r>
              <w:rPr>
                <w:rFonts w:ascii="Arial" w:hAnsi="Arial" w:cs="Arial"/>
              </w:rPr>
              <w:t>)</w:t>
            </w:r>
            <w:r w:rsidRPr="00575258">
              <w:rPr>
                <w:rFonts w:ascii="Arial" w:hAnsi="Arial" w:cs="Arial"/>
              </w:rPr>
              <w:t xml:space="preserve"> once approved.</w:t>
            </w:r>
          </w:p>
          <w:p w14:paraId="392FF21C" w14:textId="77777777" w:rsidR="00AB76DC" w:rsidRDefault="00AB76DC" w:rsidP="004F4B79">
            <w:pPr>
              <w:pStyle w:val="ListParagraph"/>
              <w:numPr>
                <w:ilvl w:val="0"/>
                <w:numId w:val="149"/>
              </w:numPr>
              <w:rPr>
                <w:rFonts w:ascii="Arial" w:hAnsi="Arial" w:cs="Arial"/>
              </w:rPr>
            </w:pPr>
            <w:r>
              <w:rPr>
                <w:rFonts w:ascii="Arial" w:hAnsi="Arial" w:cs="Arial"/>
              </w:rPr>
              <w:t xml:space="preserve">The </w:t>
            </w:r>
            <w:r w:rsidRPr="00575258">
              <w:rPr>
                <w:rFonts w:ascii="Arial" w:hAnsi="Arial" w:cs="Arial"/>
              </w:rPr>
              <w:t xml:space="preserve">JDV </w:t>
            </w:r>
            <w:r>
              <w:rPr>
                <w:rFonts w:ascii="Arial" w:hAnsi="Arial" w:cs="Arial"/>
              </w:rPr>
              <w:t xml:space="preserve">will </w:t>
            </w:r>
            <w:r w:rsidRPr="00575258">
              <w:rPr>
                <w:rFonts w:ascii="Arial" w:hAnsi="Arial" w:cs="Arial"/>
              </w:rPr>
              <w:t>construct the facility</w:t>
            </w:r>
            <w:r>
              <w:rPr>
                <w:rFonts w:ascii="Arial" w:hAnsi="Arial" w:cs="Arial"/>
              </w:rPr>
              <w:t xml:space="preserve"> with funding provided by the partners.</w:t>
            </w:r>
          </w:p>
          <w:p w14:paraId="7F67F2B6" w14:textId="18AFF264" w:rsidR="00AB76DC" w:rsidRPr="00575258" w:rsidRDefault="00AB76DC" w:rsidP="004F4B79">
            <w:pPr>
              <w:pStyle w:val="ListParagraph"/>
              <w:numPr>
                <w:ilvl w:val="0"/>
                <w:numId w:val="149"/>
              </w:numPr>
              <w:rPr>
                <w:rFonts w:ascii="Arial" w:hAnsi="Arial" w:cs="Arial"/>
              </w:rPr>
            </w:pPr>
            <w:r>
              <w:rPr>
                <w:rFonts w:ascii="Arial" w:hAnsi="Arial" w:cs="Arial"/>
              </w:rPr>
              <w:t xml:space="preserve">Once built, each partners’ share of the </w:t>
            </w:r>
            <w:r w:rsidRPr="00575258">
              <w:rPr>
                <w:rFonts w:ascii="Arial" w:hAnsi="Arial" w:cs="Arial"/>
              </w:rPr>
              <w:t>asset</w:t>
            </w:r>
            <w:r>
              <w:rPr>
                <w:rFonts w:ascii="Arial" w:hAnsi="Arial" w:cs="Arial"/>
              </w:rPr>
              <w:t xml:space="preserve"> will be shown </w:t>
            </w:r>
            <w:r w:rsidRPr="00575258">
              <w:rPr>
                <w:rFonts w:ascii="Arial" w:hAnsi="Arial" w:cs="Arial"/>
              </w:rPr>
              <w:t xml:space="preserve">on </w:t>
            </w:r>
            <w:r>
              <w:rPr>
                <w:rFonts w:ascii="Arial" w:hAnsi="Arial" w:cs="Arial"/>
              </w:rPr>
              <w:t xml:space="preserve">their </w:t>
            </w:r>
            <w:r w:rsidRPr="00575258">
              <w:rPr>
                <w:rFonts w:ascii="Arial" w:hAnsi="Arial" w:cs="Arial"/>
              </w:rPr>
              <w:t>balance sheet</w:t>
            </w:r>
            <w:r>
              <w:rPr>
                <w:rFonts w:ascii="Arial" w:hAnsi="Arial" w:cs="Arial"/>
              </w:rPr>
              <w:t>.</w:t>
            </w:r>
          </w:p>
          <w:p w14:paraId="51D72874" w14:textId="77777777" w:rsidR="00AB76DC" w:rsidRDefault="00AB76DC" w:rsidP="004F4B79">
            <w:pPr>
              <w:pStyle w:val="ListParagraph"/>
              <w:numPr>
                <w:ilvl w:val="0"/>
                <w:numId w:val="149"/>
              </w:numPr>
              <w:rPr>
                <w:rFonts w:ascii="Arial" w:hAnsi="Arial" w:cs="Arial"/>
              </w:rPr>
            </w:pPr>
            <w:r>
              <w:rPr>
                <w:rFonts w:ascii="Arial" w:hAnsi="Arial" w:cs="Arial"/>
              </w:rPr>
              <w:t xml:space="preserve">Thereafter, the </w:t>
            </w:r>
            <w:r w:rsidRPr="00575258">
              <w:rPr>
                <w:rFonts w:ascii="Arial" w:hAnsi="Arial" w:cs="Arial"/>
              </w:rPr>
              <w:t xml:space="preserve">JDV </w:t>
            </w:r>
            <w:r>
              <w:rPr>
                <w:rFonts w:ascii="Arial" w:hAnsi="Arial" w:cs="Arial"/>
              </w:rPr>
              <w:t>will provide Facility Management services (scope to be agreed).</w:t>
            </w:r>
          </w:p>
          <w:p w14:paraId="4637B931" w14:textId="77777777" w:rsidR="00AB76DC" w:rsidRPr="00575258" w:rsidRDefault="00AB76DC" w:rsidP="004F4B79">
            <w:pPr>
              <w:pStyle w:val="ListParagraph"/>
              <w:numPr>
                <w:ilvl w:val="0"/>
                <w:numId w:val="149"/>
              </w:numPr>
              <w:rPr>
                <w:rFonts w:ascii="Arial" w:hAnsi="Arial" w:cs="Arial"/>
              </w:rPr>
            </w:pPr>
            <w:r>
              <w:rPr>
                <w:rFonts w:ascii="Arial" w:hAnsi="Arial" w:cs="Arial"/>
              </w:rPr>
              <w:t>The partners will jointly dispose of the current City Road / Bath street sites, to maximise marriage value.</w:t>
            </w:r>
          </w:p>
          <w:p w14:paraId="62C8587A" w14:textId="77777777" w:rsidR="00AB76DC" w:rsidRDefault="00AB76DC" w:rsidP="00AB76DC">
            <w:pPr>
              <w:rPr>
                <w:rFonts w:ascii="Arial" w:eastAsia="Arial" w:hAnsi="Arial" w:cs="Arial"/>
              </w:rPr>
            </w:pPr>
            <w:r>
              <w:rPr>
                <w:rFonts w:ascii="Arial" w:eastAsia="Arial" w:hAnsi="Arial" w:cs="Arial"/>
              </w:rPr>
              <w:t>This commercial case details:</w:t>
            </w:r>
          </w:p>
          <w:p w14:paraId="3AF72BB1" w14:textId="77777777" w:rsidR="00AB76DC" w:rsidRDefault="00AB76DC" w:rsidP="005E0D57">
            <w:pPr>
              <w:pStyle w:val="ListParagraph"/>
              <w:numPr>
                <w:ilvl w:val="0"/>
                <w:numId w:val="76"/>
              </w:numPr>
              <w:rPr>
                <w:rFonts w:ascii="Arial" w:eastAsia="Arial" w:hAnsi="Arial" w:cs="Arial"/>
              </w:rPr>
            </w:pPr>
            <w:r w:rsidRPr="00C8221A">
              <w:rPr>
                <w:rFonts w:ascii="Arial" w:eastAsia="Arial" w:hAnsi="Arial" w:cs="Arial"/>
              </w:rPr>
              <w:t xml:space="preserve">The preferred </w:t>
            </w:r>
            <w:r w:rsidRPr="00C8221A">
              <w:rPr>
                <w:rFonts w:ascii="Arial" w:eastAsia="Arial" w:hAnsi="Arial" w:cs="Arial"/>
                <w:b/>
                <w:bCs/>
              </w:rPr>
              <w:t>procurement route</w:t>
            </w:r>
            <w:r>
              <w:rPr>
                <w:rFonts w:ascii="Arial" w:eastAsia="Arial" w:hAnsi="Arial" w:cs="Arial"/>
              </w:rPr>
              <w:t xml:space="preserve"> for the main construction and enabling works</w:t>
            </w:r>
            <w:r w:rsidRPr="00C8221A">
              <w:rPr>
                <w:rFonts w:ascii="Arial" w:eastAsia="Arial" w:hAnsi="Arial" w:cs="Arial"/>
              </w:rPr>
              <w:t xml:space="preserve"> – an OJEU two-stage design and build tender, with competitive dialogue, based upon RIBA Stage 3 design. </w:t>
            </w:r>
            <w:r>
              <w:rPr>
                <w:rFonts w:ascii="Arial" w:eastAsia="Arial" w:hAnsi="Arial" w:cs="Arial"/>
              </w:rPr>
              <w:t>It describes the methodology to determine this, including appraisal of options, market engagement and Trust Board sign-off.</w:t>
            </w:r>
          </w:p>
          <w:p w14:paraId="37540A4E" w14:textId="77777777" w:rsidR="00AB76DC" w:rsidRPr="000D05E5" w:rsidRDefault="00AB76DC" w:rsidP="005E0D57">
            <w:pPr>
              <w:pStyle w:val="ListParagraph"/>
              <w:numPr>
                <w:ilvl w:val="0"/>
                <w:numId w:val="76"/>
              </w:numPr>
              <w:rPr>
                <w:rFonts w:ascii="Arial" w:hAnsi="Arial" w:cs="Arial"/>
                <w:bCs/>
              </w:rPr>
            </w:pPr>
            <w:r>
              <w:rPr>
                <w:rFonts w:ascii="Arial" w:eastAsia="Arial" w:hAnsi="Arial" w:cs="Arial"/>
              </w:rPr>
              <w:t xml:space="preserve">The proposal to establish a </w:t>
            </w:r>
            <w:r>
              <w:rPr>
                <w:rFonts w:ascii="Arial" w:hAnsi="Arial" w:cs="Arial"/>
                <w:b/>
              </w:rPr>
              <w:t>Joint Delivery Vehicle</w:t>
            </w:r>
            <w:r>
              <w:rPr>
                <w:rFonts w:ascii="Arial" w:hAnsi="Arial" w:cs="Arial"/>
              </w:rPr>
              <w:t xml:space="preserve"> (JDV) between UCL and the trust to deliver the facility, </w:t>
            </w:r>
            <w:r>
              <w:rPr>
                <w:rFonts w:ascii="Arial" w:hAnsi="Arial" w:cs="Arial"/>
                <w:bCs/>
              </w:rPr>
              <w:t>which</w:t>
            </w:r>
            <w:r>
              <w:rPr>
                <w:rFonts w:ascii="Arial" w:hAnsi="Arial" w:cs="Arial"/>
                <w:b/>
                <w:bCs/>
              </w:rPr>
              <w:t xml:space="preserve"> </w:t>
            </w:r>
            <w:r>
              <w:rPr>
                <w:rFonts w:ascii="Arial" w:hAnsi="Arial" w:cs="Arial"/>
              </w:rPr>
              <w:t xml:space="preserve">will be established as a separate legal entity to meet the project objectives. </w:t>
            </w:r>
            <w:r w:rsidRPr="000D05E5">
              <w:rPr>
                <w:rFonts w:ascii="Arial" w:hAnsi="Arial" w:cs="Arial"/>
                <w:bCs/>
              </w:rPr>
              <w:t>This joint approach will be applied to design, construction, and commissioning of the new facility</w:t>
            </w:r>
            <w:r>
              <w:rPr>
                <w:rFonts w:ascii="Arial" w:hAnsi="Arial" w:cs="Arial"/>
                <w:bCs/>
              </w:rPr>
              <w:t xml:space="preserve">, and to </w:t>
            </w:r>
            <w:r w:rsidRPr="000D05E5">
              <w:rPr>
                <w:rFonts w:ascii="Arial" w:hAnsi="Arial" w:cs="Arial"/>
                <w:bCs/>
              </w:rPr>
              <w:t>post-handover into non</w:t>
            </w:r>
            <w:r>
              <w:rPr>
                <w:rFonts w:ascii="Arial" w:hAnsi="Arial" w:cs="Arial"/>
                <w:bCs/>
              </w:rPr>
              <w:t>-</w:t>
            </w:r>
            <w:r w:rsidRPr="000D05E5">
              <w:rPr>
                <w:rFonts w:ascii="Arial" w:hAnsi="Arial" w:cs="Arial"/>
                <w:bCs/>
              </w:rPr>
              <w:t>clinical operation and maintenance (including lifecycle replacement management) of the building in the longer term).</w:t>
            </w:r>
          </w:p>
          <w:p w14:paraId="2E1C267B" w14:textId="154BD17A" w:rsidR="00AB76DC" w:rsidRPr="00C8221A" w:rsidRDefault="00AB76DC" w:rsidP="005E0D57">
            <w:pPr>
              <w:pStyle w:val="ListParagraph"/>
              <w:numPr>
                <w:ilvl w:val="0"/>
                <w:numId w:val="76"/>
              </w:numPr>
              <w:rPr>
                <w:rFonts w:ascii="Arial" w:eastAsia="Arial" w:hAnsi="Arial" w:cs="Arial"/>
              </w:rPr>
            </w:pPr>
            <w:r w:rsidRPr="000D05E5">
              <w:rPr>
                <w:rFonts w:ascii="Arial" w:hAnsi="Arial" w:cs="Arial"/>
                <w:bCs/>
              </w:rPr>
              <w:t xml:space="preserve">The proposals for </w:t>
            </w:r>
            <w:r w:rsidRPr="000D05E5">
              <w:rPr>
                <w:rFonts w:ascii="Arial" w:hAnsi="Arial" w:cs="Arial"/>
                <w:b/>
              </w:rPr>
              <w:t>FM services</w:t>
            </w:r>
            <w:r>
              <w:rPr>
                <w:rFonts w:ascii="Arial" w:eastAsia="Arial" w:hAnsi="Arial" w:cs="Arial"/>
              </w:rPr>
              <w:t xml:space="preserve"> and </w:t>
            </w:r>
            <w:r>
              <w:rPr>
                <w:rFonts w:ascii="Arial" w:eastAsia="Arial" w:hAnsi="Arial" w:cs="Arial"/>
                <w:b/>
                <w:bCs/>
              </w:rPr>
              <w:t xml:space="preserve">equipping </w:t>
            </w:r>
            <w:r>
              <w:rPr>
                <w:rFonts w:ascii="Arial" w:eastAsia="Arial" w:hAnsi="Arial" w:cs="Arial"/>
              </w:rPr>
              <w:t xml:space="preserve">using the same </w:t>
            </w:r>
            <w:r w:rsidR="004424A6">
              <w:rPr>
                <w:rFonts w:ascii="Arial" w:eastAsia="Arial" w:hAnsi="Arial" w:cs="Arial"/>
              </w:rPr>
              <w:t>JDV</w:t>
            </w:r>
            <w:r>
              <w:rPr>
                <w:rFonts w:ascii="Arial" w:eastAsia="Arial" w:hAnsi="Arial" w:cs="Arial"/>
              </w:rPr>
              <w:t xml:space="preserve"> approach</w:t>
            </w:r>
            <w:r w:rsidRPr="000D05E5">
              <w:rPr>
                <w:rFonts w:ascii="Arial" w:eastAsia="Arial" w:hAnsi="Arial" w:cs="Arial"/>
              </w:rPr>
              <w:t>.</w:t>
            </w:r>
          </w:p>
          <w:p w14:paraId="08FD15DA" w14:textId="5FD571AC" w:rsidR="00AB76DC" w:rsidRDefault="00AB76DC" w:rsidP="005E0D57">
            <w:pPr>
              <w:pStyle w:val="ListParagraph"/>
              <w:numPr>
                <w:ilvl w:val="0"/>
                <w:numId w:val="76"/>
              </w:numPr>
              <w:rPr>
                <w:rFonts w:ascii="Arial" w:eastAsia="Arial" w:hAnsi="Arial" w:cs="Arial"/>
              </w:rPr>
            </w:pPr>
            <w:r>
              <w:rPr>
                <w:rFonts w:ascii="Arial" w:eastAsia="Arial" w:hAnsi="Arial" w:cs="Arial"/>
              </w:rPr>
              <w:t xml:space="preserve">Potential </w:t>
            </w:r>
            <w:r>
              <w:rPr>
                <w:rFonts w:ascii="Arial" w:eastAsia="Arial" w:hAnsi="Arial" w:cs="Arial"/>
                <w:b/>
                <w:bCs/>
              </w:rPr>
              <w:t>risk apportionment, contractual arrangements and payment mechanisms</w:t>
            </w:r>
            <w:r>
              <w:rPr>
                <w:rFonts w:ascii="Arial" w:eastAsia="Arial" w:hAnsi="Arial" w:cs="Arial"/>
              </w:rPr>
              <w:t xml:space="preserve">, which will be confirmed </w:t>
            </w:r>
            <w:r w:rsidR="0021652C">
              <w:rPr>
                <w:rFonts w:ascii="Arial" w:eastAsia="Arial" w:hAnsi="Arial" w:cs="Arial"/>
              </w:rPr>
              <w:t>in the</w:t>
            </w:r>
            <w:r>
              <w:rPr>
                <w:rFonts w:ascii="Arial" w:eastAsia="Arial" w:hAnsi="Arial" w:cs="Arial"/>
              </w:rPr>
              <w:t xml:space="preserve"> FBC.</w:t>
            </w:r>
          </w:p>
          <w:p w14:paraId="703C0583" w14:textId="77777777" w:rsidR="00AB76DC" w:rsidRDefault="00AB76DC" w:rsidP="005E0D57">
            <w:pPr>
              <w:pStyle w:val="ListParagraph"/>
              <w:numPr>
                <w:ilvl w:val="0"/>
                <w:numId w:val="76"/>
              </w:numPr>
              <w:rPr>
                <w:rFonts w:ascii="Arial" w:eastAsia="Arial" w:hAnsi="Arial" w:cs="Arial"/>
              </w:rPr>
            </w:pPr>
            <w:r>
              <w:rPr>
                <w:rFonts w:ascii="Arial" w:eastAsia="Arial" w:hAnsi="Arial" w:cs="Arial"/>
                <w:b/>
                <w:bCs/>
              </w:rPr>
              <w:t xml:space="preserve">Benchmarking </w:t>
            </w:r>
            <w:r>
              <w:rPr>
                <w:rFonts w:ascii="Arial" w:eastAsia="Arial" w:hAnsi="Arial" w:cs="Arial"/>
              </w:rPr>
              <w:t>which provides assurance of value for money.</w:t>
            </w:r>
          </w:p>
          <w:p w14:paraId="49AC7112" w14:textId="76B13B7A" w:rsidR="00AB76DC" w:rsidRDefault="00AB76DC" w:rsidP="005E0D57">
            <w:pPr>
              <w:pStyle w:val="ListParagraph"/>
              <w:numPr>
                <w:ilvl w:val="0"/>
                <w:numId w:val="76"/>
              </w:numPr>
              <w:rPr>
                <w:rFonts w:ascii="Arial" w:eastAsia="Arial" w:hAnsi="Arial" w:cs="Arial"/>
              </w:rPr>
            </w:pPr>
            <w:r>
              <w:rPr>
                <w:rFonts w:ascii="Arial" w:eastAsia="Arial" w:hAnsi="Arial" w:cs="Arial"/>
              </w:rPr>
              <w:t xml:space="preserve">The </w:t>
            </w:r>
            <w:r>
              <w:rPr>
                <w:rFonts w:ascii="Arial" w:eastAsia="Arial" w:hAnsi="Arial" w:cs="Arial"/>
                <w:b/>
                <w:bCs/>
              </w:rPr>
              <w:t>acquisition strategy</w:t>
            </w:r>
            <w:r>
              <w:rPr>
                <w:rFonts w:ascii="Arial" w:eastAsia="Arial" w:hAnsi="Arial" w:cs="Arial"/>
              </w:rPr>
              <w:t xml:space="preserve"> for purchasing the Oriel site at St Pancras. T</w:t>
            </w:r>
            <w:r>
              <w:rPr>
                <w:rFonts w:ascii="Arial" w:hAnsi="Arial" w:cs="Arial"/>
                <w:bCs/>
              </w:rPr>
              <w:t xml:space="preserve">he trust will acquire the land upon which the facility will be constructed. </w:t>
            </w:r>
            <w:r>
              <w:rPr>
                <w:rFonts w:ascii="Arial" w:eastAsia="Arial" w:hAnsi="Arial" w:cs="Arial"/>
              </w:rPr>
              <w:t xml:space="preserve">The Oriel partners will work with C&amp;I and their development partner to </w:t>
            </w:r>
            <w:r w:rsidR="0021652C">
              <w:rPr>
                <w:rFonts w:ascii="Arial" w:eastAsia="Arial" w:hAnsi="Arial" w:cs="Arial"/>
              </w:rPr>
              <w:t xml:space="preserve">develop a joint masterplan for the St Pancras site for LB Camden. The partners will </w:t>
            </w:r>
            <w:r>
              <w:rPr>
                <w:rFonts w:ascii="Arial" w:eastAsia="Arial" w:hAnsi="Arial" w:cs="Arial"/>
              </w:rPr>
              <w:t>submit a</w:t>
            </w:r>
            <w:r w:rsidR="0021652C">
              <w:rPr>
                <w:rFonts w:ascii="Arial" w:eastAsia="Arial" w:hAnsi="Arial" w:cs="Arial"/>
              </w:rPr>
              <w:t xml:space="preserve"> </w:t>
            </w:r>
            <w:r>
              <w:rPr>
                <w:rFonts w:ascii="Arial" w:eastAsia="Arial" w:hAnsi="Arial" w:cs="Arial"/>
              </w:rPr>
              <w:t>planning application for the St Pancras site in September 2020.</w:t>
            </w:r>
          </w:p>
          <w:p w14:paraId="777A8A64" w14:textId="77777777" w:rsidR="00AB76DC" w:rsidRDefault="00AB76DC" w:rsidP="005E0D57">
            <w:pPr>
              <w:pStyle w:val="ListParagraph"/>
              <w:numPr>
                <w:ilvl w:val="0"/>
                <w:numId w:val="76"/>
              </w:numPr>
              <w:rPr>
                <w:rFonts w:ascii="Arial" w:eastAsia="Arial" w:hAnsi="Arial" w:cs="Arial"/>
              </w:rPr>
            </w:pPr>
            <w:r>
              <w:rPr>
                <w:rFonts w:ascii="Arial" w:eastAsia="Arial" w:hAnsi="Arial" w:cs="Arial"/>
              </w:rPr>
              <w:t xml:space="preserve">The </w:t>
            </w:r>
            <w:r>
              <w:rPr>
                <w:rFonts w:ascii="Arial" w:eastAsia="Arial" w:hAnsi="Arial" w:cs="Arial"/>
                <w:b/>
                <w:bCs/>
              </w:rPr>
              <w:t>disposal strategy</w:t>
            </w:r>
            <w:r>
              <w:rPr>
                <w:rFonts w:ascii="Arial" w:eastAsia="Arial" w:hAnsi="Arial" w:cs="Arial"/>
              </w:rPr>
              <w:t xml:space="preserve"> for City Road, which concludes that the site should be sold subject to planning to achieve best value, while transferring the cost of a planning application to the purchaser.</w:t>
            </w:r>
          </w:p>
          <w:p w14:paraId="331C09C7" w14:textId="77777777" w:rsidR="00AB76DC" w:rsidRPr="00C8221A" w:rsidRDefault="00AB76DC" w:rsidP="005E0D57">
            <w:pPr>
              <w:pStyle w:val="ListParagraph"/>
              <w:numPr>
                <w:ilvl w:val="0"/>
                <w:numId w:val="76"/>
              </w:numPr>
              <w:rPr>
                <w:rFonts w:ascii="Arial" w:eastAsia="Arial" w:hAnsi="Arial" w:cs="Arial"/>
              </w:rPr>
            </w:pPr>
            <w:r>
              <w:rPr>
                <w:rFonts w:ascii="Arial" w:eastAsia="Arial" w:hAnsi="Arial" w:cs="Arial"/>
              </w:rPr>
              <w:lastRenderedPageBreak/>
              <w:t>A description of how the scheme complies with the Government Construction Strategy and UK Construction 2025 strategy.</w:t>
            </w:r>
          </w:p>
          <w:p w14:paraId="55AFDD0D" w14:textId="77777777" w:rsidR="00AB76DC" w:rsidRDefault="00AB76DC" w:rsidP="00AB76DC">
            <w:pPr>
              <w:spacing w:after="0"/>
              <w:rPr>
                <w:rFonts w:ascii="Arial" w:hAnsi="Arial" w:cs="Arial"/>
                <w:b/>
                <w:bCs/>
                <w:i/>
                <w:iCs/>
              </w:rPr>
            </w:pPr>
            <w:r>
              <w:rPr>
                <w:rFonts w:ascii="Arial" w:hAnsi="Arial" w:cs="Arial"/>
                <w:b/>
                <w:bCs/>
                <w:i/>
                <w:iCs/>
              </w:rPr>
              <w:t>Key supporting documents:</w:t>
            </w:r>
          </w:p>
          <w:p w14:paraId="56C019AF" w14:textId="2DA09BC4" w:rsidR="00AB76DC" w:rsidRDefault="00AB76DC" w:rsidP="005E0D57">
            <w:pPr>
              <w:pStyle w:val="ListParagraph"/>
              <w:numPr>
                <w:ilvl w:val="0"/>
                <w:numId w:val="54"/>
              </w:numPr>
              <w:rPr>
                <w:rFonts w:ascii="Arial" w:hAnsi="Arial" w:cs="Arial"/>
                <w:b/>
                <w:bCs/>
                <w:i/>
                <w:iCs/>
              </w:rPr>
            </w:pPr>
            <w:r>
              <w:rPr>
                <w:rFonts w:ascii="Arial" w:hAnsi="Arial" w:cs="Arial"/>
                <w:b/>
                <w:bCs/>
                <w:i/>
                <w:iCs/>
              </w:rPr>
              <w:t xml:space="preserve">Appendix </w:t>
            </w:r>
            <w:r w:rsidR="004424A6">
              <w:rPr>
                <w:rFonts w:ascii="Arial" w:hAnsi="Arial" w:cs="Arial"/>
                <w:b/>
                <w:bCs/>
                <w:i/>
                <w:iCs/>
              </w:rPr>
              <w:t>7A</w:t>
            </w:r>
            <w:r>
              <w:rPr>
                <w:rFonts w:ascii="Arial" w:hAnsi="Arial" w:cs="Arial"/>
                <w:b/>
                <w:bCs/>
                <w:i/>
                <w:iCs/>
              </w:rPr>
              <w:t xml:space="preserve"> – Procurement strategy</w:t>
            </w:r>
          </w:p>
          <w:p w14:paraId="22A61FE0" w14:textId="150F4F20" w:rsidR="00AB76DC" w:rsidRDefault="00AB76DC" w:rsidP="005E0D57">
            <w:pPr>
              <w:pStyle w:val="ListParagraph"/>
              <w:numPr>
                <w:ilvl w:val="0"/>
                <w:numId w:val="54"/>
              </w:numPr>
              <w:rPr>
                <w:rFonts w:ascii="Arial" w:hAnsi="Arial" w:cs="Arial"/>
                <w:b/>
                <w:bCs/>
                <w:i/>
                <w:iCs/>
              </w:rPr>
            </w:pPr>
            <w:r>
              <w:rPr>
                <w:rFonts w:ascii="Arial" w:hAnsi="Arial" w:cs="Arial"/>
                <w:b/>
                <w:bCs/>
                <w:i/>
                <w:iCs/>
              </w:rPr>
              <w:t xml:space="preserve">Appendix </w:t>
            </w:r>
            <w:r w:rsidR="004424A6">
              <w:rPr>
                <w:rFonts w:ascii="Arial" w:hAnsi="Arial" w:cs="Arial"/>
                <w:b/>
                <w:bCs/>
                <w:i/>
                <w:iCs/>
              </w:rPr>
              <w:t>7B</w:t>
            </w:r>
            <w:r>
              <w:rPr>
                <w:rFonts w:ascii="Arial" w:hAnsi="Arial" w:cs="Arial"/>
                <w:b/>
                <w:bCs/>
                <w:i/>
                <w:iCs/>
              </w:rPr>
              <w:t xml:space="preserve"> – Equipment strategy</w:t>
            </w:r>
          </w:p>
          <w:p w14:paraId="5A218AEC" w14:textId="53D21549" w:rsidR="00AB76DC" w:rsidRDefault="00AB76DC" w:rsidP="005E0D57">
            <w:pPr>
              <w:pStyle w:val="ListParagraph"/>
              <w:numPr>
                <w:ilvl w:val="0"/>
                <w:numId w:val="54"/>
              </w:numPr>
              <w:rPr>
                <w:rFonts w:ascii="Arial" w:hAnsi="Arial" w:cs="Arial"/>
                <w:b/>
                <w:bCs/>
                <w:i/>
                <w:iCs/>
              </w:rPr>
            </w:pPr>
            <w:r>
              <w:rPr>
                <w:rFonts w:ascii="Arial" w:hAnsi="Arial" w:cs="Arial"/>
                <w:b/>
                <w:bCs/>
                <w:i/>
                <w:iCs/>
              </w:rPr>
              <w:t xml:space="preserve">Appendix </w:t>
            </w:r>
            <w:r w:rsidR="004424A6">
              <w:rPr>
                <w:rFonts w:ascii="Arial" w:hAnsi="Arial" w:cs="Arial"/>
                <w:b/>
                <w:bCs/>
                <w:i/>
                <w:iCs/>
              </w:rPr>
              <w:t>7C</w:t>
            </w:r>
            <w:r>
              <w:rPr>
                <w:rFonts w:ascii="Arial" w:hAnsi="Arial" w:cs="Arial"/>
                <w:b/>
                <w:bCs/>
                <w:i/>
                <w:iCs/>
              </w:rPr>
              <w:t xml:space="preserve"> – Acquisition strategy</w:t>
            </w:r>
          </w:p>
          <w:p w14:paraId="61E658A7" w14:textId="4D406F13" w:rsidR="000D05E5" w:rsidRDefault="00AB76DC" w:rsidP="005E0D57">
            <w:pPr>
              <w:pStyle w:val="ListParagraph"/>
              <w:numPr>
                <w:ilvl w:val="0"/>
                <w:numId w:val="54"/>
              </w:numPr>
              <w:rPr>
                <w:rFonts w:ascii="Arial" w:hAnsi="Arial" w:cs="Arial"/>
                <w:b/>
                <w:bCs/>
                <w:i/>
                <w:iCs/>
              </w:rPr>
            </w:pPr>
            <w:r>
              <w:rPr>
                <w:rFonts w:ascii="Arial" w:hAnsi="Arial" w:cs="Arial"/>
                <w:b/>
                <w:bCs/>
                <w:i/>
                <w:iCs/>
              </w:rPr>
              <w:t xml:space="preserve">Appendix </w:t>
            </w:r>
            <w:r w:rsidR="004424A6">
              <w:rPr>
                <w:rFonts w:ascii="Arial" w:hAnsi="Arial" w:cs="Arial"/>
                <w:b/>
                <w:bCs/>
                <w:i/>
                <w:iCs/>
              </w:rPr>
              <w:t>7D</w:t>
            </w:r>
            <w:r>
              <w:rPr>
                <w:rFonts w:ascii="Arial" w:hAnsi="Arial" w:cs="Arial"/>
                <w:b/>
                <w:bCs/>
                <w:i/>
                <w:iCs/>
              </w:rPr>
              <w:t xml:space="preserve"> – Disposal strategy</w:t>
            </w:r>
          </w:p>
          <w:p w14:paraId="71C23602" w14:textId="11B536C7" w:rsidR="00AB76DC" w:rsidRPr="00C8221A" w:rsidRDefault="00AB76DC" w:rsidP="005E0D57">
            <w:pPr>
              <w:pStyle w:val="ListParagraph"/>
              <w:numPr>
                <w:ilvl w:val="0"/>
                <w:numId w:val="54"/>
              </w:numPr>
              <w:rPr>
                <w:rFonts w:ascii="Arial" w:hAnsi="Arial" w:cs="Arial"/>
                <w:b/>
                <w:bCs/>
                <w:i/>
                <w:iCs/>
              </w:rPr>
            </w:pPr>
            <w:r>
              <w:rPr>
                <w:rFonts w:ascii="Arial" w:hAnsi="Arial" w:cs="Arial"/>
                <w:b/>
                <w:bCs/>
                <w:i/>
                <w:iCs/>
              </w:rPr>
              <w:t xml:space="preserve">Appendix </w:t>
            </w:r>
            <w:r w:rsidR="004424A6">
              <w:rPr>
                <w:rFonts w:ascii="Arial" w:hAnsi="Arial" w:cs="Arial"/>
                <w:b/>
                <w:bCs/>
                <w:i/>
                <w:iCs/>
              </w:rPr>
              <w:t>7E</w:t>
            </w:r>
            <w:r>
              <w:rPr>
                <w:rFonts w:ascii="Arial" w:hAnsi="Arial" w:cs="Arial"/>
                <w:i/>
                <w:iCs/>
              </w:rPr>
              <w:t xml:space="preserve"> – </w:t>
            </w:r>
            <w:r>
              <w:rPr>
                <w:rFonts w:ascii="Arial" w:hAnsi="Arial" w:cs="Arial"/>
                <w:b/>
                <w:bCs/>
                <w:i/>
                <w:iCs/>
              </w:rPr>
              <w:t>JDV proposal (detail)</w:t>
            </w:r>
          </w:p>
        </w:tc>
      </w:tr>
    </w:tbl>
    <w:p w14:paraId="62A24112" w14:textId="77777777" w:rsidR="000D05E5" w:rsidRDefault="000D05E5" w:rsidP="000D05E5">
      <w:pPr>
        <w:spacing w:after="0"/>
        <w:rPr>
          <w:rFonts w:ascii="Arial" w:eastAsia="Arial" w:hAnsi="Arial" w:cs="Arial"/>
        </w:rPr>
      </w:pPr>
    </w:p>
    <w:p w14:paraId="05A732E6" w14:textId="77777777" w:rsidR="000D05E5" w:rsidRDefault="000D05E5" w:rsidP="004F4B79">
      <w:pPr>
        <w:spacing w:after="0"/>
        <w:rPr>
          <w:rFonts w:ascii="Arial" w:hAnsi="Arial" w:cs="Arial"/>
          <w:i/>
          <w:iCs/>
        </w:rPr>
      </w:pPr>
    </w:p>
    <w:p w14:paraId="7A584F7C" w14:textId="77777777" w:rsidR="000D05E5" w:rsidRPr="00F5301A" w:rsidRDefault="000D05E5" w:rsidP="005E0D57">
      <w:pPr>
        <w:pStyle w:val="ListParagraph"/>
        <w:keepNext/>
        <w:keepLines/>
        <w:numPr>
          <w:ilvl w:val="0"/>
          <w:numId w:val="22"/>
        </w:numPr>
        <w:tabs>
          <w:tab w:val="left" w:pos="709"/>
        </w:tabs>
        <w:spacing w:after="0" w:line="240" w:lineRule="auto"/>
        <w:contextualSpacing w:val="0"/>
        <w:outlineLvl w:val="1"/>
        <w:rPr>
          <w:rFonts w:ascii="Arial" w:eastAsia="Arial" w:hAnsi="Arial" w:cs="Arial"/>
          <w:b/>
          <w:vanish/>
          <w:sz w:val="24"/>
          <w:szCs w:val="24"/>
        </w:rPr>
      </w:pPr>
      <w:bookmarkStart w:id="325" w:name="_Toc25080243"/>
      <w:bookmarkStart w:id="326" w:name="_Toc26430008"/>
      <w:bookmarkStart w:id="327" w:name="_Toc27746718"/>
      <w:bookmarkStart w:id="328" w:name="_Toc30073765"/>
      <w:bookmarkStart w:id="329" w:name="_Toc30168776"/>
      <w:bookmarkStart w:id="330" w:name="_Toc30670724"/>
      <w:bookmarkStart w:id="331" w:name="_Toc32842743"/>
      <w:bookmarkStart w:id="332" w:name="_Toc409771227"/>
      <w:bookmarkStart w:id="333" w:name="_Toc413331359"/>
      <w:bookmarkEnd w:id="325"/>
      <w:bookmarkEnd w:id="326"/>
      <w:bookmarkEnd w:id="327"/>
      <w:bookmarkEnd w:id="328"/>
      <w:bookmarkEnd w:id="329"/>
      <w:bookmarkEnd w:id="330"/>
      <w:bookmarkEnd w:id="331"/>
    </w:p>
    <w:p w14:paraId="28EE2F26" w14:textId="77777777" w:rsidR="000D05E5" w:rsidRPr="00F5301A" w:rsidRDefault="000D05E5" w:rsidP="005E0D57">
      <w:pPr>
        <w:pStyle w:val="ListParagraph"/>
        <w:keepNext/>
        <w:keepLines/>
        <w:numPr>
          <w:ilvl w:val="0"/>
          <w:numId w:val="22"/>
        </w:numPr>
        <w:tabs>
          <w:tab w:val="left" w:pos="709"/>
        </w:tabs>
        <w:spacing w:after="0" w:line="240" w:lineRule="auto"/>
        <w:contextualSpacing w:val="0"/>
        <w:outlineLvl w:val="1"/>
        <w:rPr>
          <w:rFonts w:ascii="Arial" w:eastAsia="Arial" w:hAnsi="Arial" w:cs="Arial"/>
          <w:b/>
          <w:vanish/>
          <w:sz w:val="24"/>
          <w:szCs w:val="24"/>
        </w:rPr>
      </w:pPr>
      <w:bookmarkStart w:id="334" w:name="_Toc25080244"/>
      <w:bookmarkStart w:id="335" w:name="_Toc26430009"/>
      <w:bookmarkStart w:id="336" w:name="_Toc27746719"/>
      <w:bookmarkStart w:id="337" w:name="_Toc30073766"/>
      <w:bookmarkStart w:id="338" w:name="_Toc30168777"/>
      <w:bookmarkStart w:id="339" w:name="_Toc30670725"/>
      <w:bookmarkStart w:id="340" w:name="_Toc32842744"/>
      <w:bookmarkEnd w:id="334"/>
      <w:bookmarkEnd w:id="335"/>
      <w:bookmarkEnd w:id="336"/>
      <w:bookmarkEnd w:id="337"/>
      <w:bookmarkEnd w:id="338"/>
      <w:bookmarkEnd w:id="339"/>
      <w:bookmarkEnd w:id="340"/>
    </w:p>
    <w:p w14:paraId="54939C3F" w14:textId="77777777" w:rsidR="000D05E5" w:rsidRPr="00F5301A" w:rsidRDefault="000D05E5" w:rsidP="005E0D57">
      <w:pPr>
        <w:pStyle w:val="ListParagraph"/>
        <w:keepNext/>
        <w:keepLines/>
        <w:numPr>
          <w:ilvl w:val="0"/>
          <w:numId w:val="22"/>
        </w:numPr>
        <w:tabs>
          <w:tab w:val="left" w:pos="709"/>
        </w:tabs>
        <w:spacing w:after="0" w:line="240" w:lineRule="auto"/>
        <w:contextualSpacing w:val="0"/>
        <w:outlineLvl w:val="1"/>
        <w:rPr>
          <w:rFonts w:ascii="Arial" w:eastAsia="Arial" w:hAnsi="Arial" w:cs="Arial"/>
          <w:b/>
          <w:vanish/>
          <w:sz w:val="24"/>
          <w:szCs w:val="24"/>
        </w:rPr>
      </w:pPr>
      <w:bookmarkStart w:id="341" w:name="_Toc25080245"/>
      <w:bookmarkStart w:id="342" w:name="_Toc26430010"/>
      <w:bookmarkStart w:id="343" w:name="_Toc27746720"/>
      <w:bookmarkStart w:id="344" w:name="_Toc30073767"/>
      <w:bookmarkStart w:id="345" w:name="_Toc30168778"/>
      <w:bookmarkStart w:id="346" w:name="_Toc30670726"/>
      <w:bookmarkStart w:id="347" w:name="_Toc32842745"/>
      <w:bookmarkEnd w:id="341"/>
      <w:bookmarkEnd w:id="342"/>
      <w:bookmarkEnd w:id="343"/>
      <w:bookmarkEnd w:id="344"/>
      <w:bookmarkEnd w:id="345"/>
      <w:bookmarkEnd w:id="346"/>
      <w:bookmarkEnd w:id="347"/>
    </w:p>
    <w:p w14:paraId="3DDDF5C1" w14:textId="77777777" w:rsidR="00767BA4" w:rsidRPr="00767BA4" w:rsidRDefault="00767BA4" w:rsidP="005E0D57">
      <w:pPr>
        <w:pStyle w:val="ListParagraph"/>
        <w:keepNext/>
        <w:keepLines/>
        <w:numPr>
          <w:ilvl w:val="0"/>
          <w:numId w:val="39"/>
        </w:numPr>
        <w:tabs>
          <w:tab w:val="left" w:pos="709"/>
        </w:tabs>
        <w:spacing w:after="0" w:line="240" w:lineRule="auto"/>
        <w:contextualSpacing w:val="0"/>
        <w:outlineLvl w:val="1"/>
        <w:rPr>
          <w:rFonts w:ascii="Arial" w:eastAsia="Arial" w:hAnsi="Arial" w:cs="Arial"/>
          <w:b/>
          <w:vanish/>
          <w:sz w:val="24"/>
          <w:szCs w:val="24"/>
        </w:rPr>
      </w:pPr>
      <w:bookmarkStart w:id="348" w:name="_Toc27746721"/>
      <w:bookmarkStart w:id="349" w:name="_Toc30073768"/>
      <w:bookmarkStart w:id="350" w:name="_Toc30168779"/>
      <w:bookmarkStart w:id="351" w:name="_Toc30670727"/>
      <w:bookmarkStart w:id="352" w:name="_Toc32842746"/>
      <w:bookmarkStart w:id="353" w:name="_Toc26430011"/>
      <w:bookmarkEnd w:id="348"/>
      <w:bookmarkEnd w:id="349"/>
      <w:bookmarkEnd w:id="350"/>
      <w:bookmarkEnd w:id="351"/>
      <w:bookmarkEnd w:id="352"/>
    </w:p>
    <w:p w14:paraId="0729B0ED" w14:textId="77777777" w:rsidR="00767BA4" w:rsidRPr="00767BA4" w:rsidRDefault="00767BA4" w:rsidP="005E0D57">
      <w:pPr>
        <w:pStyle w:val="ListParagraph"/>
        <w:keepNext/>
        <w:keepLines/>
        <w:numPr>
          <w:ilvl w:val="0"/>
          <w:numId w:val="39"/>
        </w:numPr>
        <w:tabs>
          <w:tab w:val="left" w:pos="709"/>
        </w:tabs>
        <w:spacing w:after="0" w:line="240" w:lineRule="auto"/>
        <w:contextualSpacing w:val="0"/>
        <w:outlineLvl w:val="1"/>
        <w:rPr>
          <w:rFonts w:ascii="Arial" w:eastAsia="Arial" w:hAnsi="Arial" w:cs="Arial"/>
          <w:b/>
          <w:vanish/>
          <w:sz w:val="24"/>
          <w:szCs w:val="24"/>
        </w:rPr>
      </w:pPr>
      <w:bookmarkStart w:id="354" w:name="_Toc27746722"/>
      <w:bookmarkStart w:id="355" w:name="_Toc30073769"/>
      <w:bookmarkStart w:id="356" w:name="_Toc30168780"/>
      <w:bookmarkStart w:id="357" w:name="_Toc30670728"/>
      <w:bookmarkStart w:id="358" w:name="_Toc32842747"/>
      <w:bookmarkEnd w:id="354"/>
      <w:bookmarkEnd w:id="355"/>
      <w:bookmarkEnd w:id="356"/>
      <w:bookmarkEnd w:id="357"/>
      <w:bookmarkEnd w:id="358"/>
    </w:p>
    <w:p w14:paraId="65753655" w14:textId="77777777" w:rsidR="00767BA4" w:rsidRPr="00767BA4" w:rsidRDefault="00767BA4" w:rsidP="005E0D57">
      <w:pPr>
        <w:pStyle w:val="ListParagraph"/>
        <w:keepNext/>
        <w:keepLines/>
        <w:numPr>
          <w:ilvl w:val="0"/>
          <w:numId w:val="39"/>
        </w:numPr>
        <w:tabs>
          <w:tab w:val="left" w:pos="709"/>
        </w:tabs>
        <w:spacing w:after="0" w:line="240" w:lineRule="auto"/>
        <w:contextualSpacing w:val="0"/>
        <w:outlineLvl w:val="1"/>
        <w:rPr>
          <w:rFonts w:ascii="Arial" w:eastAsia="Arial" w:hAnsi="Arial" w:cs="Arial"/>
          <w:b/>
          <w:vanish/>
          <w:sz w:val="24"/>
          <w:szCs w:val="24"/>
        </w:rPr>
      </w:pPr>
      <w:bookmarkStart w:id="359" w:name="_Toc27746723"/>
      <w:bookmarkStart w:id="360" w:name="_Toc30073770"/>
      <w:bookmarkStart w:id="361" w:name="_Toc30168781"/>
      <w:bookmarkStart w:id="362" w:name="_Toc30670729"/>
      <w:bookmarkStart w:id="363" w:name="_Toc32842748"/>
      <w:bookmarkEnd w:id="359"/>
      <w:bookmarkEnd w:id="360"/>
      <w:bookmarkEnd w:id="361"/>
      <w:bookmarkEnd w:id="362"/>
      <w:bookmarkEnd w:id="363"/>
    </w:p>
    <w:p w14:paraId="5CB24A98" w14:textId="77777777" w:rsidR="00767BA4" w:rsidRPr="00767BA4" w:rsidRDefault="00767BA4" w:rsidP="005E0D57">
      <w:pPr>
        <w:pStyle w:val="ListParagraph"/>
        <w:keepNext/>
        <w:keepLines/>
        <w:numPr>
          <w:ilvl w:val="0"/>
          <w:numId w:val="39"/>
        </w:numPr>
        <w:tabs>
          <w:tab w:val="left" w:pos="709"/>
        </w:tabs>
        <w:spacing w:after="0" w:line="240" w:lineRule="auto"/>
        <w:contextualSpacing w:val="0"/>
        <w:outlineLvl w:val="1"/>
        <w:rPr>
          <w:rFonts w:ascii="Arial" w:eastAsia="Arial" w:hAnsi="Arial" w:cs="Arial"/>
          <w:b/>
          <w:vanish/>
          <w:sz w:val="24"/>
          <w:szCs w:val="24"/>
        </w:rPr>
      </w:pPr>
      <w:bookmarkStart w:id="364" w:name="_Toc27746724"/>
      <w:bookmarkStart w:id="365" w:name="_Toc30073771"/>
      <w:bookmarkStart w:id="366" w:name="_Toc30168782"/>
      <w:bookmarkStart w:id="367" w:name="_Toc30670730"/>
      <w:bookmarkStart w:id="368" w:name="_Toc32842749"/>
      <w:bookmarkEnd w:id="364"/>
      <w:bookmarkEnd w:id="365"/>
      <w:bookmarkEnd w:id="366"/>
      <w:bookmarkEnd w:id="367"/>
      <w:bookmarkEnd w:id="368"/>
    </w:p>
    <w:p w14:paraId="3EE4A2C1" w14:textId="77777777" w:rsidR="000D05E5" w:rsidRDefault="000D05E5" w:rsidP="005E0D57">
      <w:pPr>
        <w:pStyle w:val="Heading2"/>
        <w:numPr>
          <w:ilvl w:val="1"/>
          <w:numId w:val="39"/>
        </w:numPr>
        <w:rPr>
          <w:rFonts w:ascii="Arial" w:eastAsia="Arial" w:hAnsi="Arial" w:cs="Arial"/>
        </w:rPr>
      </w:pPr>
      <w:bookmarkStart w:id="369" w:name="_Toc32842750"/>
      <w:r>
        <w:rPr>
          <w:rFonts w:ascii="Arial" w:eastAsia="Arial" w:hAnsi="Arial" w:cs="Arial"/>
        </w:rPr>
        <w:t xml:space="preserve">Determining the procurement </w:t>
      </w:r>
      <w:bookmarkEnd w:id="332"/>
      <w:bookmarkEnd w:id="333"/>
      <w:r>
        <w:rPr>
          <w:rFonts w:ascii="Arial" w:eastAsia="Arial" w:hAnsi="Arial" w:cs="Arial"/>
        </w:rPr>
        <w:t>strategy for built solution</w:t>
      </w:r>
      <w:bookmarkEnd w:id="353"/>
      <w:bookmarkEnd w:id="369"/>
    </w:p>
    <w:p w14:paraId="6444916A" w14:textId="77777777" w:rsidR="000D05E5" w:rsidRDefault="000D05E5" w:rsidP="000D05E5">
      <w:pPr>
        <w:tabs>
          <w:tab w:val="left" w:pos="567"/>
        </w:tabs>
        <w:spacing w:after="0"/>
        <w:jc w:val="both"/>
        <w:rPr>
          <w:rFonts w:ascii="Arial" w:eastAsia="Arial" w:hAnsi="Arial" w:cs="Arial"/>
          <w:b/>
          <w:color w:val="000000"/>
        </w:rPr>
      </w:pPr>
    </w:p>
    <w:p w14:paraId="358B7E67" w14:textId="77777777" w:rsidR="000D05E5" w:rsidRPr="003F59F2" w:rsidRDefault="000D05E5" w:rsidP="005E0D57">
      <w:pPr>
        <w:pStyle w:val="ListParagraph"/>
        <w:numPr>
          <w:ilvl w:val="0"/>
          <w:numId w:val="22"/>
        </w:numPr>
        <w:tabs>
          <w:tab w:val="left" w:pos="567"/>
        </w:tabs>
        <w:contextualSpacing w:val="0"/>
        <w:jc w:val="both"/>
        <w:rPr>
          <w:rFonts w:ascii="Arial" w:eastAsia="Arial" w:hAnsi="Arial" w:cs="Arial"/>
          <w:b/>
          <w:vanish/>
          <w:color w:val="000000"/>
        </w:rPr>
      </w:pPr>
    </w:p>
    <w:p w14:paraId="437D08AA" w14:textId="77777777" w:rsidR="000D05E5" w:rsidRPr="003F59F2" w:rsidRDefault="000D05E5" w:rsidP="005E0D57">
      <w:pPr>
        <w:pStyle w:val="ListParagraph"/>
        <w:numPr>
          <w:ilvl w:val="0"/>
          <w:numId w:val="22"/>
        </w:numPr>
        <w:tabs>
          <w:tab w:val="left" w:pos="567"/>
        </w:tabs>
        <w:contextualSpacing w:val="0"/>
        <w:jc w:val="both"/>
        <w:rPr>
          <w:rFonts w:ascii="Arial" w:eastAsia="Arial" w:hAnsi="Arial" w:cs="Arial"/>
          <w:b/>
          <w:vanish/>
          <w:color w:val="000000"/>
        </w:rPr>
      </w:pPr>
    </w:p>
    <w:p w14:paraId="2EC23408" w14:textId="77777777" w:rsidR="000D05E5" w:rsidRPr="003F59F2" w:rsidRDefault="000D05E5" w:rsidP="005E0D57">
      <w:pPr>
        <w:pStyle w:val="ListParagraph"/>
        <w:numPr>
          <w:ilvl w:val="0"/>
          <w:numId w:val="22"/>
        </w:numPr>
        <w:tabs>
          <w:tab w:val="left" w:pos="567"/>
        </w:tabs>
        <w:contextualSpacing w:val="0"/>
        <w:jc w:val="both"/>
        <w:rPr>
          <w:rFonts w:ascii="Arial" w:eastAsia="Arial" w:hAnsi="Arial" w:cs="Arial"/>
          <w:b/>
          <w:vanish/>
          <w:color w:val="000000"/>
        </w:rPr>
      </w:pPr>
    </w:p>
    <w:p w14:paraId="6B52DB50" w14:textId="77777777" w:rsidR="000D05E5" w:rsidRPr="003F59F2" w:rsidRDefault="000D05E5" w:rsidP="005E0D57">
      <w:pPr>
        <w:pStyle w:val="ListParagraph"/>
        <w:numPr>
          <w:ilvl w:val="1"/>
          <w:numId w:val="22"/>
        </w:numPr>
        <w:tabs>
          <w:tab w:val="left" w:pos="567"/>
        </w:tabs>
        <w:contextualSpacing w:val="0"/>
        <w:jc w:val="both"/>
        <w:rPr>
          <w:rFonts w:ascii="Arial" w:eastAsia="Arial" w:hAnsi="Arial" w:cs="Arial"/>
          <w:b/>
          <w:vanish/>
          <w:color w:val="000000"/>
        </w:rPr>
      </w:pPr>
    </w:p>
    <w:p w14:paraId="64B4860B" w14:textId="77777777" w:rsidR="000D05E5" w:rsidRPr="000D05E5" w:rsidRDefault="000D05E5" w:rsidP="005E0D57">
      <w:pPr>
        <w:pStyle w:val="Heading2"/>
        <w:numPr>
          <w:ilvl w:val="2"/>
          <w:numId w:val="39"/>
        </w:numPr>
        <w:spacing w:after="240"/>
        <w:rPr>
          <w:rFonts w:ascii="Arial" w:eastAsia="Arial" w:hAnsi="Arial" w:cs="Arial"/>
          <w:sz w:val="22"/>
          <w:szCs w:val="22"/>
        </w:rPr>
      </w:pPr>
      <w:bookmarkStart w:id="370" w:name="_Toc27746726"/>
      <w:bookmarkStart w:id="371" w:name="_Toc30168784"/>
      <w:bookmarkStart w:id="372" w:name="_Toc30670732"/>
      <w:bookmarkStart w:id="373" w:name="_Toc32842751"/>
      <w:r w:rsidRPr="000D05E5">
        <w:rPr>
          <w:rFonts w:ascii="Arial" w:eastAsia="Arial" w:hAnsi="Arial" w:cs="Arial"/>
          <w:sz w:val="22"/>
          <w:szCs w:val="22"/>
        </w:rPr>
        <w:t>Service streams and required outputs</w:t>
      </w:r>
      <w:bookmarkEnd w:id="370"/>
      <w:bookmarkEnd w:id="371"/>
      <w:bookmarkEnd w:id="372"/>
      <w:bookmarkEnd w:id="373"/>
    </w:p>
    <w:p w14:paraId="7C87491B" w14:textId="5EDA7A98" w:rsidR="000D05E5" w:rsidRDefault="000D05E5" w:rsidP="000D05E5">
      <w:pPr>
        <w:tabs>
          <w:tab w:val="left" w:pos="567"/>
        </w:tabs>
        <w:rPr>
          <w:rFonts w:ascii="Arial" w:eastAsia="Arial" w:hAnsi="Arial" w:cs="Arial"/>
          <w:bCs/>
          <w:color w:val="000000"/>
        </w:rPr>
      </w:pPr>
      <w:r w:rsidRPr="00F219EA">
        <w:rPr>
          <w:rFonts w:ascii="Arial" w:eastAsia="Arial" w:hAnsi="Arial" w:cs="Arial"/>
          <w:bCs/>
          <w:color w:val="000000"/>
        </w:rPr>
        <w:t xml:space="preserve">A contractor will be procured to undertake RIBA </w:t>
      </w:r>
      <w:r>
        <w:rPr>
          <w:rFonts w:ascii="Arial" w:eastAsia="Arial" w:hAnsi="Arial" w:cs="Arial"/>
          <w:bCs/>
          <w:color w:val="000000"/>
        </w:rPr>
        <w:t>S</w:t>
      </w:r>
      <w:r w:rsidRPr="00F219EA">
        <w:rPr>
          <w:rFonts w:ascii="Arial" w:eastAsia="Arial" w:hAnsi="Arial" w:cs="Arial"/>
          <w:bCs/>
          <w:color w:val="000000"/>
        </w:rPr>
        <w:t xml:space="preserve">tage 4 design </w:t>
      </w:r>
      <w:r>
        <w:rPr>
          <w:rFonts w:ascii="Arial" w:eastAsia="Arial" w:hAnsi="Arial" w:cs="Arial"/>
          <w:bCs/>
          <w:color w:val="000000"/>
        </w:rPr>
        <w:t xml:space="preserve">(up to and including technical design) </w:t>
      </w:r>
      <w:r w:rsidRPr="00F219EA">
        <w:rPr>
          <w:rFonts w:ascii="Arial" w:eastAsia="Arial" w:hAnsi="Arial" w:cs="Arial"/>
          <w:bCs/>
          <w:color w:val="000000"/>
        </w:rPr>
        <w:t xml:space="preserve">and </w:t>
      </w:r>
      <w:r>
        <w:rPr>
          <w:rFonts w:ascii="Arial" w:eastAsia="Arial" w:hAnsi="Arial" w:cs="Arial"/>
          <w:bCs/>
          <w:color w:val="000000"/>
        </w:rPr>
        <w:t xml:space="preserve">to </w:t>
      </w:r>
      <w:r w:rsidRPr="00F219EA">
        <w:rPr>
          <w:rFonts w:ascii="Arial" w:eastAsia="Arial" w:hAnsi="Arial" w:cs="Arial"/>
          <w:bCs/>
          <w:color w:val="000000"/>
        </w:rPr>
        <w:t>deliver the built solution</w:t>
      </w:r>
      <w:r w:rsidR="00AB76DC">
        <w:rPr>
          <w:rFonts w:ascii="Arial" w:eastAsia="Arial" w:hAnsi="Arial" w:cs="Arial"/>
          <w:bCs/>
          <w:color w:val="000000"/>
        </w:rPr>
        <w:t>, which will subsequently be novated to a JDV</w:t>
      </w:r>
      <w:r w:rsidRPr="00F219EA">
        <w:rPr>
          <w:rFonts w:ascii="Arial" w:eastAsia="Arial" w:hAnsi="Arial" w:cs="Arial"/>
          <w:bCs/>
          <w:color w:val="000000"/>
        </w:rPr>
        <w:t>. In order to ensure high quality and performance</w:t>
      </w:r>
      <w:r>
        <w:rPr>
          <w:rFonts w:ascii="Arial" w:eastAsia="Arial" w:hAnsi="Arial" w:cs="Arial"/>
          <w:bCs/>
          <w:color w:val="000000"/>
        </w:rPr>
        <w:t>, and encourage innovation</w:t>
      </w:r>
      <w:r w:rsidRPr="00F219EA">
        <w:rPr>
          <w:rFonts w:ascii="Arial" w:eastAsia="Arial" w:hAnsi="Arial" w:cs="Arial"/>
          <w:bCs/>
          <w:color w:val="000000"/>
        </w:rPr>
        <w:t xml:space="preserve">, a 2-stage process has been selected (described in section </w:t>
      </w:r>
      <w:r w:rsidRPr="00F219EA">
        <w:rPr>
          <w:rFonts w:ascii="Arial" w:eastAsia="Arial" w:hAnsi="Arial" w:cs="Arial"/>
          <w:bCs/>
          <w:color w:val="000000"/>
        </w:rPr>
        <w:fldChar w:fldCharType="begin"/>
      </w:r>
      <w:r w:rsidRPr="00F219EA">
        <w:rPr>
          <w:rFonts w:ascii="Arial" w:eastAsia="Arial" w:hAnsi="Arial" w:cs="Arial"/>
          <w:bCs/>
          <w:color w:val="000000"/>
        </w:rPr>
        <w:instrText xml:space="preserve"> REF _Ref26344924 \r \h </w:instrText>
      </w:r>
      <w:r>
        <w:rPr>
          <w:rFonts w:ascii="Arial" w:eastAsia="Arial" w:hAnsi="Arial" w:cs="Arial"/>
          <w:bCs/>
          <w:color w:val="000000"/>
        </w:rPr>
        <w:instrText xml:space="preserve"> \* MERGEFORMAT </w:instrText>
      </w:r>
      <w:r w:rsidRPr="00F219EA">
        <w:rPr>
          <w:rFonts w:ascii="Arial" w:eastAsia="Arial" w:hAnsi="Arial" w:cs="Arial"/>
          <w:bCs/>
          <w:color w:val="000000"/>
        </w:rPr>
      </w:r>
      <w:r w:rsidRPr="00F219EA">
        <w:rPr>
          <w:rFonts w:ascii="Arial" w:eastAsia="Arial" w:hAnsi="Arial" w:cs="Arial"/>
          <w:bCs/>
          <w:color w:val="000000"/>
        </w:rPr>
        <w:fldChar w:fldCharType="separate"/>
      </w:r>
      <w:r w:rsidR="00A936CD">
        <w:rPr>
          <w:rFonts w:ascii="Arial" w:eastAsia="Arial" w:hAnsi="Arial" w:cs="Arial"/>
          <w:bCs/>
          <w:color w:val="000000"/>
        </w:rPr>
        <w:t>7.1.2</w:t>
      </w:r>
      <w:r w:rsidRPr="00F219EA">
        <w:rPr>
          <w:rFonts w:ascii="Arial" w:eastAsia="Arial" w:hAnsi="Arial" w:cs="Arial"/>
          <w:bCs/>
          <w:color w:val="000000"/>
        </w:rPr>
        <w:fldChar w:fldCharType="end"/>
      </w:r>
      <w:r w:rsidRPr="00F219EA">
        <w:rPr>
          <w:rFonts w:ascii="Arial" w:eastAsia="Arial" w:hAnsi="Arial" w:cs="Arial"/>
          <w:bCs/>
          <w:color w:val="000000"/>
        </w:rPr>
        <w:t>) with a competitive dialogue which retains contractors in competition.</w:t>
      </w:r>
      <w:r>
        <w:rPr>
          <w:rFonts w:ascii="Arial" w:eastAsia="Arial" w:hAnsi="Arial" w:cs="Arial"/>
          <w:bCs/>
          <w:color w:val="000000"/>
        </w:rPr>
        <w:t xml:space="preserve"> </w:t>
      </w:r>
      <w:r w:rsidRPr="006313D6">
        <w:rPr>
          <w:rFonts w:ascii="Arial" w:eastAsia="Arial" w:hAnsi="Arial" w:cs="Arial"/>
          <w:bCs/>
          <w:color w:val="000000"/>
        </w:rPr>
        <w:t xml:space="preserve">The partners will issue a </w:t>
      </w:r>
      <w:r w:rsidRPr="006313D6">
        <w:rPr>
          <w:rFonts w:ascii="Arial" w:eastAsia="Arial" w:hAnsi="Arial" w:cs="Arial"/>
          <w:b/>
          <w:color w:val="000000"/>
        </w:rPr>
        <w:t>brief that concentrates on required performance and outcome</w:t>
      </w:r>
      <w:r>
        <w:rPr>
          <w:rFonts w:ascii="Arial" w:eastAsia="Arial" w:hAnsi="Arial" w:cs="Arial"/>
          <w:bCs/>
          <w:color w:val="000000"/>
        </w:rPr>
        <w:t>, and through this procurement route d</w:t>
      </w:r>
      <w:r w:rsidRPr="006313D6">
        <w:rPr>
          <w:rFonts w:ascii="Arial" w:eastAsia="Arial" w:hAnsi="Arial" w:cs="Arial"/>
          <w:bCs/>
          <w:color w:val="000000"/>
        </w:rPr>
        <w:t>esigners and constructors will work together to develop an integrated solution that best meets the required outcome</w:t>
      </w:r>
      <w:r>
        <w:rPr>
          <w:rFonts w:ascii="Arial" w:eastAsia="Arial" w:hAnsi="Arial" w:cs="Arial"/>
          <w:bCs/>
          <w:color w:val="000000"/>
        </w:rPr>
        <w:t>.</w:t>
      </w:r>
    </w:p>
    <w:p w14:paraId="6D0C8D56" w14:textId="2DB2906D" w:rsidR="000D05E5" w:rsidRDefault="000D05E5" w:rsidP="000D05E5">
      <w:pPr>
        <w:tabs>
          <w:tab w:val="left" w:pos="567"/>
        </w:tabs>
        <w:rPr>
          <w:rFonts w:ascii="Arial" w:eastAsia="Arial" w:hAnsi="Arial" w:cs="Arial"/>
          <w:bCs/>
          <w:color w:val="000000"/>
        </w:rPr>
      </w:pPr>
      <w:r>
        <w:rPr>
          <w:rFonts w:ascii="Arial" w:eastAsia="Arial" w:hAnsi="Arial" w:cs="Arial"/>
          <w:bCs/>
          <w:color w:val="000000"/>
        </w:rPr>
        <w:t xml:space="preserve">Other items to be procured include FM services contracts for any FM services the partners choose to outsource (described in section </w:t>
      </w:r>
      <w:r>
        <w:rPr>
          <w:rFonts w:ascii="Arial" w:eastAsia="Arial" w:hAnsi="Arial" w:cs="Arial"/>
          <w:bCs/>
          <w:color w:val="000000"/>
        </w:rPr>
        <w:fldChar w:fldCharType="begin"/>
      </w:r>
      <w:r>
        <w:rPr>
          <w:rFonts w:ascii="Arial" w:eastAsia="Arial" w:hAnsi="Arial" w:cs="Arial"/>
          <w:bCs/>
          <w:color w:val="000000"/>
        </w:rPr>
        <w:instrText xml:space="preserve"> REF _Ref26431163 \r \h </w:instrText>
      </w:r>
      <w:r>
        <w:rPr>
          <w:rFonts w:ascii="Arial" w:eastAsia="Arial" w:hAnsi="Arial" w:cs="Arial"/>
          <w:bCs/>
          <w:color w:val="000000"/>
        </w:rPr>
      </w:r>
      <w:r>
        <w:rPr>
          <w:rFonts w:ascii="Arial" w:eastAsia="Arial" w:hAnsi="Arial" w:cs="Arial"/>
          <w:bCs/>
          <w:color w:val="000000"/>
        </w:rPr>
        <w:fldChar w:fldCharType="separate"/>
      </w:r>
      <w:r w:rsidR="00A936CD">
        <w:rPr>
          <w:rFonts w:ascii="Arial" w:eastAsia="Arial" w:hAnsi="Arial" w:cs="Arial"/>
          <w:bCs/>
          <w:color w:val="000000"/>
        </w:rPr>
        <w:t>7.3</w:t>
      </w:r>
      <w:r>
        <w:rPr>
          <w:rFonts w:ascii="Arial" w:eastAsia="Arial" w:hAnsi="Arial" w:cs="Arial"/>
          <w:bCs/>
          <w:color w:val="000000"/>
        </w:rPr>
        <w:fldChar w:fldCharType="end"/>
      </w:r>
      <w:r>
        <w:rPr>
          <w:rFonts w:ascii="Arial" w:eastAsia="Arial" w:hAnsi="Arial" w:cs="Arial"/>
          <w:bCs/>
          <w:color w:val="000000"/>
        </w:rPr>
        <w:t xml:space="preserve">) and equipment (described in section </w:t>
      </w:r>
      <w:r>
        <w:rPr>
          <w:rFonts w:ascii="Arial" w:eastAsia="Arial" w:hAnsi="Arial" w:cs="Arial"/>
          <w:bCs/>
          <w:color w:val="000000"/>
        </w:rPr>
        <w:fldChar w:fldCharType="begin"/>
      </w:r>
      <w:r>
        <w:rPr>
          <w:rFonts w:ascii="Arial" w:eastAsia="Arial" w:hAnsi="Arial" w:cs="Arial"/>
          <w:bCs/>
          <w:color w:val="000000"/>
        </w:rPr>
        <w:instrText xml:space="preserve"> REF _Ref26431176 \r \h </w:instrText>
      </w:r>
      <w:r>
        <w:rPr>
          <w:rFonts w:ascii="Arial" w:eastAsia="Arial" w:hAnsi="Arial" w:cs="Arial"/>
          <w:bCs/>
          <w:color w:val="000000"/>
        </w:rPr>
      </w:r>
      <w:r>
        <w:rPr>
          <w:rFonts w:ascii="Arial" w:eastAsia="Arial" w:hAnsi="Arial" w:cs="Arial"/>
          <w:bCs/>
          <w:color w:val="000000"/>
        </w:rPr>
        <w:fldChar w:fldCharType="separate"/>
      </w:r>
      <w:r w:rsidR="00A936CD">
        <w:rPr>
          <w:rFonts w:ascii="Arial" w:eastAsia="Arial" w:hAnsi="Arial" w:cs="Arial"/>
          <w:bCs/>
          <w:color w:val="000000"/>
        </w:rPr>
        <w:t>7.4</w:t>
      </w:r>
      <w:r>
        <w:rPr>
          <w:rFonts w:ascii="Arial" w:eastAsia="Arial" w:hAnsi="Arial" w:cs="Arial"/>
          <w:bCs/>
          <w:color w:val="000000"/>
        </w:rPr>
        <w:fldChar w:fldCharType="end"/>
      </w:r>
      <w:r>
        <w:rPr>
          <w:rFonts w:ascii="Arial" w:eastAsia="Arial" w:hAnsi="Arial" w:cs="Arial"/>
          <w:bCs/>
          <w:color w:val="000000"/>
        </w:rPr>
        <w:t>). The procurement strategy for these will be further detailed at FBC</w:t>
      </w:r>
      <w:r w:rsidR="00AB76DC">
        <w:rPr>
          <w:rFonts w:ascii="Arial" w:eastAsia="Arial" w:hAnsi="Arial" w:cs="Arial"/>
          <w:bCs/>
          <w:color w:val="000000"/>
        </w:rPr>
        <w:t>.</w:t>
      </w:r>
    </w:p>
    <w:p w14:paraId="15971840" w14:textId="77777777" w:rsidR="000D05E5" w:rsidRPr="000D05E5" w:rsidRDefault="000D05E5" w:rsidP="005E0D57">
      <w:pPr>
        <w:pStyle w:val="Heading2"/>
        <w:numPr>
          <w:ilvl w:val="2"/>
          <w:numId w:val="39"/>
        </w:numPr>
        <w:spacing w:after="240"/>
        <w:rPr>
          <w:rFonts w:ascii="Arial" w:eastAsia="Arial" w:hAnsi="Arial" w:cs="Arial"/>
          <w:sz w:val="22"/>
          <w:szCs w:val="22"/>
        </w:rPr>
      </w:pPr>
      <w:bookmarkStart w:id="374" w:name="_Ref26344924"/>
      <w:bookmarkStart w:id="375" w:name="_Toc27746727"/>
      <w:bookmarkStart w:id="376" w:name="_Toc30168785"/>
      <w:bookmarkStart w:id="377" w:name="_Toc30670733"/>
      <w:bookmarkStart w:id="378" w:name="_Toc32842752"/>
      <w:r w:rsidRPr="000D05E5">
        <w:rPr>
          <w:rFonts w:ascii="Arial" w:eastAsia="Arial" w:hAnsi="Arial" w:cs="Arial"/>
          <w:sz w:val="22"/>
          <w:szCs w:val="22"/>
        </w:rPr>
        <w:t>Procurement options appraisal</w:t>
      </w:r>
      <w:bookmarkEnd w:id="374"/>
      <w:bookmarkEnd w:id="375"/>
      <w:bookmarkEnd w:id="376"/>
      <w:bookmarkEnd w:id="377"/>
      <w:bookmarkEnd w:id="378"/>
    </w:p>
    <w:p w14:paraId="608A1A67" w14:textId="77777777" w:rsidR="000D05E5" w:rsidRDefault="000D05E5" w:rsidP="000D05E5">
      <w:pPr>
        <w:tabs>
          <w:tab w:val="left" w:pos="567"/>
        </w:tabs>
        <w:rPr>
          <w:rFonts w:ascii="Arial" w:eastAsia="Arial" w:hAnsi="Arial" w:cs="Arial"/>
          <w:b/>
          <w:color w:val="000000"/>
        </w:rPr>
      </w:pPr>
      <w:r>
        <w:rPr>
          <w:rFonts w:ascii="Arial" w:eastAsia="Arial" w:hAnsi="Arial" w:cs="Arial"/>
          <w:b/>
          <w:color w:val="000000"/>
        </w:rPr>
        <w:t>Options appraisal methodology</w:t>
      </w:r>
    </w:p>
    <w:p w14:paraId="2D23C260" w14:textId="2443D12E" w:rsidR="000D05E5" w:rsidRDefault="000D05E5" w:rsidP="000D05E5">
      <w:pPr>
        <w:tabs>
          <w:tab w:val="left" w:pos="567"/>
        </w:tabs>
        <w:rPr>
          <w:rFonts w:ascii="Arial" w:eastAsia="Arial" w:hAnsi="Arial" w:cs="Arial"/>
          <w:bCs/>
          <w:color w:val="000000"/>
        </w:rPr>
      </w:pPr>
      <w:r w:rsidRPr="00FA373A">
        <w:rPr>
          <w:rFonts w:ascii="Arial" w:eastAsia="Arial" w:hAnsi="Arial" w:cs="Arial"/>
          <w:bCs/>
          <w:color w:val="000000"/>
        </w:rPr>
        <w:t>Gardiner and Theobald (G&amp;T), an independent construction and property consultancy appointed by</w:t>
      </w:r>
      <w:r>
        <w:rPr>
          <w:rFonts w:ascii="Arial" w:eastAsia="Arial" w:hAnsi="Arial" w:cs="Arial"/>
          <w:bCs/>
          <w:color w:val="000000"/>
        </w:rPr>
        <w:t xml:space="preserve"> </w:t>
      </w:r>
      <w:r w:rsidRPr="00FA373A">
        <w:rPr>
          <w:rFonts w:ascii="Arial" w:eastAsia="Arial" w:hAnsi="Arial" w:cs="Arial"/>
          <w:bCs/>
          <w:color w:val="000000"/>
        </w:rPr>
        <w:t xml:space="preserve">the </w:t>
      </w:r>
      <w:r w:rsidR="00AB76DC">
        <w:rPr>
          <w:rFonts w:ascii="Arial" w:eastAsia="Arial" w:hAnsi="Arial" w:cs="Arial"/>
          <w:bCs/>
          <w:color w:val="000000"/>
        </w:rPr>
        <w:t>partners</w:t>
      </w:r>
      <w:r w:rsidRPr="00FA373A">
        <w:rPr>
          <w:rFonts w:ascii="Arial" w:eastAsia="Arial" w:hAnsi="Arial" w:cs="Arial"/>
          <w:bCs/>
          <w:color w:val="000000"/>
        </w:rPr>
        <w:t>, has led the discussion and debate on a suitable range of procurement options for the</w:t>
      </w:r>
      <w:r>
        <w:rPr>
          <w:rFonts w:ascii="Arial" w:eastAsia="Arial" w:hAnsi="Arial" w:cs="Arial"/>
          <w:bCs/>
          <w:color w:val="000000"/>
        </w:rPr>
        <w:t xml:space="preserve"> </w:t>
      </w:r>
      <w:r w:rsidRPr="00FA373A">
        <w:rPr>
          <w:rFonts w:ascii="Arial" w:eastAsia="Arial" w:hAnsi="Arial" w:cs="Arial"/>
          <w:bCs/>
          <w:color w:val="000000"/>
        </w:rPr>
        <w:t>construction works. The process has included</w:t>
      </w:r>
      <w:r>
        <w:rPr>
          <w:rFonts w:ascii="Arial" w:eastAsia="Arial" w:hAnsi="Arial" w:cs="Arial"/>
          <w:bCs/>
          <w:color w:val="000000"/>
        </w:rPr>
        <w:t>:</w:t>
      </w:r>
    </w:p>
    <w:p w14:paraId="4FE4B85D" w14:textId="77777777" w:rsidR="000D05E5" w:rsidRDefault="000D05E5" w:rsidP="005E0D57">
      <w:pPr>
        <w:pStyle w:val="ListParagraph"/>
        <w:numPr>
          <w:ilvl w:val="0"/>
          <w:numId w:val="71"/>
        </w:numPr>
        <w:tabs>
          <w:tab w:val="left" w:pos="709"/>
        </w:tabs>
        <w:rPr>
          <w:rFonts w:ascii="Arial" w:eastAsia="Arial" w:hAnsi="Arial" w:cs="Arial"/>
          <w:bCs/>
          <w:color w:val="000000"/>
        </w:rPr>
      </w:pPr>
      <w:r w:rsidRPr="00FA373A">
        <w:rPr>
          <w:rFonts w:ascii="Arial" w:eastAsia="Arial" w:hAnsi="Arial" w:cs="Arial"/>
          <w:bCs/>
          <w:color w:val="000000"/>
        </w:rPr>
        <w:t>Market engagement to review procurement proposals / project interest</w:t>
      </w:r>
      <w:r>
        <w:rPr>
          <w:rFonts w:ascii="Arial" w:eastAsia="Arial" w:hAnsi="Arial" w:cs="Arial"/>
          <w:bCs/>
          <w:color w:val="000000"/>
        </w:rPr>
        <w:t>.</w:t>
      </w:r>
    </w:p>
    <w:p w14:paraId="1481994F" w14:textId="77777777" w:rsidR="000D05E5" w:rsidRDefault="000D05E5" w:rsidP="005E0D57">
      <w:pPr>
        <w:pStyle w:val="ListParagraph"/>
        <w:numPr>
          <w:ilvl w:val="0"/>
          <w:numId w:val="71"/>
        </w:numPr>
        <w:tabs>
          <w:tab w:val="left" w:pos="709"/>
        </w:tabs>
        <w:rPr>
          <w:rFonts w:ascii="Arial" w:eastAsia="Arial" w:hAnsi="Arial" w:cs="Arial"/>
          <w:bCs/>
          <w:color w:val="000000"/>
        </w:rPr>
      </w:pPr>
      <w:r w:rsidRPr="00FA373A">
        <w:rPr>
          <w:rFonts w:ascii="Arial" w:eastAsia="Arial" w:hAnsi="Arial" w:cs="Arial"/>
          <w:bCs/>
          <w:color w:val="000000"/>
        </w:rPr>
        <w:t>Legal advice sought on the preferred route</w:t>
      </w:r>
      <w:r>
        <w:rPr>
          <w:rFonts w:ascii="Arial" w:eastAsia="Arial" w:hAnsi="Arial" w:cs="Arial"/>
          <w:bCs/>
          <w:color w:val="000000"/>
        </w:rPr>
        <w:t>.</w:t>
      </w:r>
    </w:p>
    <w:p w14:paraId="4AE33727" w14:textId="77777777" w:rsidR="000D05E5" w:rsidRPr="00FA373A" w:rsidRDefault="000D05E5" w:rsidP="005E0D57">
      <w:pPr>
        <w:pStyle w:val="ListParagraph"/>
        <w:numPr>
          <w:ilvl w:val="0"/>
          <w:numId w:val="71"/>
        </w:numPr>
        <w:tabs>
          <w:tab w:val="left" w:pos="709"/>
        </w:tabs>
        <w:rPr>
          <w:rFonts w:ascii="Arial" w:eastAsia="Arial" w:hAnsi="Arial" w:cs="Arial"/>
          <w:bCs/>
          <w:color w:val="000000"/>
        </w:rPr>
      </w:pPr>
      <w:r>
        <w:rPr>
          <w:rFonts w:ascii="Arial" w:eastAsia="Arial" w:hAnsi="Arial" w:cs="Arial"/>
          <w:bCs/>
          <w:color w:val="000000"/>
        </w:rPr>
        <w:t>Workshops with Moorfields, UCL and advisors, set out below.</w:t>
      </w:r>
    </w:p>
    <w:p w14:paraId="09C7A9A4" w14:textId="7E40B72A" w:rsidR="00691888" w:rsidRDefault="00691888" w:rsidP="00691888">
      <w:pPr>
        <w:pStyle w:val="Caption"/>
      </w:pPr>
      <w:r>
        <w:t xml:space="preserve">Table </w:t>
      </w:r>
      <w:r>
        <w:fldChar w:fldCharType="begin"/>
      </w:r>
      <w:r>
        <w:instrText xml:space="preserve"> SEQ Table \* ARABIC </w:instrText>
      </w:r>
      <w:r>
        <w:fldChar w:fldCharType="separate"/>
      </w:r>
      <w:r w:rsidR="00A936CD">
        <w:rPr>
          <w:noProof/>
        </w:rPr>
        <w:t>37</w:t>
      </w:r>
      <w:r>
        <w:fldChar w:fldCharType="end"/>
      </w:r>
      <w:r>
        <w:t xml:space="preserve">: </w:t>
      </w:r>
      <w:r>
        <w:rPr>
          <w:b w:val="0"/>
          <w:bCs w:val="0"/>
        </w:rPr>
        <w:t>Procurement workshops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3871"/>
        <w:gridCol w:w="3635"/>
      </w:tblGrid>
      <w:tr w:rsidR="0025490F" w:rsidRPr="0025490F" w14:paraId="19EE7FBA" w14:textId="77777777" w:rsidTr="0025490F">
        <w:tc>
          <w:tcPr>
            <w:tcW w:w="1526" w:type="dxa"/>
            <w:shd w:val="clear" w:color="auto" w:fill="4F81BD"/>
          </w:tcPr>
          <w:p w14:paraId="4BC39D38" w14:textId="77777777" w:rsidR="000D05E5" w:rsidRPr="0025490F" w:rsidRDefault="000D05E5" w:rsidP="00F9726C">
            <w:pPr>
              <w:tabs>
                <w:tab w:val="left" w:pos="567"/>
              </w:tabs>
              <w:spacing w:after="0"/>
              <w:rPr>
                <w:rFonts w:ascii="Arial" w:eastAsia="Arial" w:hAnsi="Arial" w:cs="Arial"/>
                <w:b/>
                <w:color w:val="FFFFFF" w:themeColor="background1"/>
              </w:rPr>
            </w:pPr>
          </w:p>
        </w:tc>
        <w:tc>
          <w:tcPr>
            <w:tcW w:w="3969" w:type="dxa"/>
            <w:shd w:val="clear" w:color="auto" w:fill="4F81BD"/>
          </w:tcPr>
          <w:p w14:paraId="2A73405E" w14:textId="77777777" w:rsidR="000D05E5" w:rsidRPr="0025490F" w:rsidRDefault="000D05E5" w:rsidP="00F9726C">
            <w:pPr>
              <w:tabs>
                <w:tab w:val="left" w:pos="567"/>
              </w:tabs>
              <w:spacing w:after="0"/>
              <w:rPr>
                <w:rFonts w:ascii="Arial" w:eastAsia="Arial" w:hAnsi="Arial" w:cs="Arial"/>
                <w:b/>
                <w:color w:val="FFFFFF" w:themeColor="background1"/>
              </w:rPr>
            </w:pPr>
            <w:r w:rsidRPr="0025490F">
              <w:rPr>
                <w:rFonts w:ascii="Arial" w:eastAsia="Arial" w:hAnsi="Arial" w:cs="Arial"/>
                <w:b/>
                <w:color w:val="FFFFFF" w:themeColor="background1"/>
              </w:rPr>
              <w:t>Attendees</w:t>
            </w:r>
          </w:p>
        </w:tc>
        <w:tc>
          <w:tcPr>
            <w:tcW w:w="3747" w:type="dxa"/>
            <w:shd w:val="clear" w:color="auto" w:fill="4F81BD"/>
          </w:tcPr>
          <w:p w14:paraId="22791384" w14:textId="77777777" w:rsidR="000D05E5" w:rsidRPr="0025490F" w:rsidRDefault="000D05E5" w:rsidP="00F9726C">
            <w:pPr>
              <w:tabs>
                <w:tab w:val="left" w:pos="567"/>
              </w:tabs>
              <w:spacing w:after="0"/>
              <w:rPr>
                <w:rFonts w:ascii="Arial" w:eastAsia="Arial" w:hAnsi="Arial" w:cs="Arial"/>
                <w:b/>
                <w:color w:val="FFFFFF" w:themeColor="background1"/>
              </w:rPr>
            </w:pPr>
            <w:r w:rsidRPr="0025490F">
              <w:rPr>
                <w:rFonts w:ascii="Arial" w:eastAsia="Arial" w:hAnsi="Arial" w:cs="Arial"/>
                <w:b/>
                <w:color w:val="FFFFFF" w:themeColor="background1"/>
              </w:rPr>
              <w:t>Purpose</w:t>
            </w:r>
          </w:p>
        </w:tc>
      </w:tr>
      <w:tr w:rsidR="000D05E5" w14:paraId="2024768F" w14:textId="77777777" w:rsidTr="00F9726C">
        <w:tc>
          <w:tcPr>
            <w:tcW w:w="1526" w:type="dxa"/>
          </w:tcPr>
          <w:p w14:paraId="6DA6D510" w14:textId="77777777" w:rsidR="000D05E5" w:rsidRDefault="000D05E5" w:rsidP="00F9726C">
            <w:pPr>
              <w:tabs>
                <w:tab w:val="left" w:pos="567"/>
              </w:tabs>
              <w:spacing w:after="0"/>
              <w:rPr>
                <w:rFonts w:ascii="Arial" w:eastAsia="Arial" w:hAnsi="Arial" w:cs="Arial"/>
                <w:bCs/>
                <w:color w:val="000000"/>
              </w:rPr>
            </w:pPr>
            <w:r>
              <w:rPr>
                <w:rFonts w:ascii="Arial" w:eastAsia="Arial" w:hAnsi="Arial" w:cs="Arial"/>
                <w:bCs/>
                <w:color w:val="000000"/>
              </w:rPr>
              <w:t>Workshop 1</w:t>
            </w:r>
          </w:p>
        </w:tc>
        <w:tc>
          <w:tcPr>
            <w:tcW w:w="3969" w:type="dxa"/>
          </w:tcPr>
          <w:p w14:paraId="3448C67E" w14:textId="77777777" w:rsidR="000D05E5" w:rsidRPr="00BA0B55" w:rsidRDefault="000D05E5" w:rsidP="005E0D57">
            <w:pPr>
              <w:pStyle w:val="ListParagraph"/>
              <w:numPr>
                <w:ilvl w:val="0"/>
                <w:numId w:val="68"/>
              </w:numPr>
              <w:tabs>
                <w:tab w:val="left" w:pos="464"/>
              </w:tabs>
              <w:spacing w:after="0"/>
              <w:ind w:left="464" w:hanging="425"/>
              <w:rPr>
                <w:rFonts w:ascii="Arial" w:eastAsia="Arial" w:hAnsi="Arial" w:cs="Arial"/>
                <w:bCs/>
                <w:color w:val="000000"/>
              </w:rPr>
            </w:pPr>
            <w:r>
              <w:rPr>
                <w:rFonts w:ascii="Arial" w:hAnsi="Arial" w:cs="Arial"/>
              </w:rPr>
              <w:t xml:space="preserve">Moorfields </w:t>
            </w:r>
            <w:r w:rsidRPr="00BA0B55">
              <w:rPr>
                <w:rFonts w:ascii="Arial" w:hAnsi="Arial" w:cs="Arial"/>
              </w:rPr>
              <w:t>Director of Estates, Capital &amp; Major Projects</w:t>
            </w:r>
          </w:p>
          <w:p w14:paraId="66F39707" w14:textId="77777777" w:rsidR="000D05E5" w:rsidRPr="00051B2F" w:rsidRDefault="000D05E5" w:rsidP="005E0D57">
            <w:pPr>
              <w:pStyle w:val="ListParagraph"/>
              <w:numPr>
                <w:ilvl w:val="0"/>
                <w:numId w:val="68"/>
              </w:numPr>
              <w:tabs>
                <w:tab w:val="left" w:pos="464"/>
              </w:tabs>
              <w:spacing w:after="0"/>
              <w:ind w:left="464" w:hanging="425"/>
              <w:rPr>
                <w:rFonts w:ascii="Arial" w:eastAsia="Arial" w:hAnsi="Arial" w:cs="Arial"/>
                <w:bCs/>
                <w:color w:val="000000"/>
              </w:rPr>
            </w:pPr>
            <w:r>
              <w:rPr>
                <w:rFonts w:ascii="Arial" w:hAnsi="Arial" w:cs="Arial"/>
              </w:rPr>
              <w:t>UCL Assistant Director of Capital Projects</w:t>
            </w:r>
          </w:p>
          <w:p w14:paraId="29F5DDC8" w14:textId="77777777" w:rsidR="000D05E5" w:rsidRPr="00051B2F" w:rsidRDefault="000D05E5" w:rsidP="005E0D57">
            <w:pPr>
              <w:pStyle w:val="ListParagraph"/>
              <w:numPr>
                <w:ilvl w:val="0"/>
                <w:numId w:val="68"/>
              </w:numPr>
              <w:tabs>
                <w:tab w:val="left" w:pos="464"/>
              </w:tabs>
              <w:spacing w:after="0"/>
              <w:ind w:left="464" w:hanging="425"/>
              <w:rPr>
                <w:rFonts w:ascii="Arial" w:eastAsia="Arial" w:hAnsi="Arial" w:cs="Arial"/>
                <w:bCs/>
                <w:color w:val="000000"/>
              </w:rPr>
            </w:pPr>
            <w:r>
              <w:rPr>
                <w:rFonts w:ascii="Arial" w:hAnsi="Arial" w:cs="Arial"/>
                <w:bCs/>
                <w:color w:val="000000"/>
              </w:rPr>
              <w:t>Project managers</w:t>
            </w:r>
          </w:p>
          <w:p w14:paraId="584A0D42" w14:textId="77777777" w:rsidR="000D05E5" w:rsidRPr="00BA0B55" w:rsidRDefault="000D05E5" w:rsidP="005E0D57">
            <w:pPr>
              <w:pStyle w:val="ListParagraph"/>
              <w:numPr>
                <w:ilvl w:val="0"/>
                <w:numId w:val="68"/>
              </w:numPr>
              <w:tabs>
                <w:tab w:val="left" w:pos="464"/>
              </w:tabs>
              <w:spacing w:after="0"/>
              <w:ind w:left="464" w:hanging="425"/>
              <w:rPr>
                <w:rFonts w:ascii="Arial" w:eastAsia="Arial" w:hAnsi="Arial" w:cs="Arial"/>
                <w:bCs/>
                <w:color w:val="000000"/>
              </w:rPr>
            </w:pPr>
            <w:r>
              <w:rPr>
                <w:rFonts w:ascii="Arial" w:hAnsi="Arial" w:cs="Arial"/>
                <w:bCs/>
                <w:color w:val="000000"/>
              </w:rPr>
              <w:lastRenderedPageBreak/>
              <w:t>Quantity surveyors</w:t>
            </w:r>
          </w:p>
        </w:tc>
        <w:tc>
          <w:tcPr>
            <w:tcW w:w="3747" w:type="dxa"/>
          </w:tcPr>
          <w:p w14:paraId="2BEB8162" w14:textId="77777777" w:rsidR="000D05E5" w:rsidRDefault="000D05E5" w:rsidP="00F9726C">
            <w:pPr>
              <w:tabs>
                <w:tab w:val="left" w:pos="567"/>
              </w:tabs>
              <w:spacing w:after="0"/>
              <w:rPr>
                <w:rFonts w:ascii="Arial" w:eastAsia="Arial" w:hAnsi="Arial" w:cs="Arial"/>
                <w:bCs/>
                <w:color w:val="000000"/>
              </w:rPr>
            </w:pPr>
            <w:r>
              <w:rPr>
                <w:rFonts w:ascii="Arial" w:eastAsia="Arial" w:hAnsi="Arial" w:cs="Arial"/>
                <w:bCs/>
                <w:color w:val="000000"/>
              </w:rPr>
              <w:lastRenderedPageBreak/>
              <w:t>Identify and weight procurement success factors (within the parameters of time, cost and quality) according to importance.</w:t>
            </w:r>
          </w:p>
          <w:p w14:paraId="04CF4F5E" w14:textId="77777777" w:rsidR="000D05E5" w:rsidRDefault="000D05E5" w:rsidP="00F9726C">
            <w:pPr>
              <w:tabs>
                <w:tab w:val="left" w:pos="567"/>
              </w:tabs>
              <w:spacing w:after="0"/>
              <w:rPr>
                <w:rFonts w:ascii="Arial" w:eastAsia="Arial" w:hAnsi="Arial" w:cs="Arial"/>
                <w:bCs/>
                <w:color w:val="000000"/>
              </w:rPr>
            </w:pPr>
            <w:r>
              <w:rPr>
                <w:rFonts w:ascii="Arial" w:eastAsia="Arial" w:hAnsi="Arial" w:cs="Arial"/>
                <w:bCs/>
                <w:color w:val="000000"/>
              </w:rPr>
              <w:lastRenderedPageBreak/>
              <w:t>Initial identification and assessment of procurement options</w:t>
            </w:r>
          </w:p>
        </w:tc>
      </w:tr>
      <w:tr w:rsidR="000D05E5" w14:paraId="7424DEE4" w14:textId="77777777" w:rsidTr="00F9726C">
        <w:tc>
          <w:tcPr>
            <w:tcW w:w="1526" w:type="dxa"/>
          </w:tcPr>
          <w:p w14:paraId="31E50246" w14:textId="77777777" w:rsidR="000D05E5" w:rsidRDefault="000D05E5" w:rsidP="00F9726C">
            <w:pPr>
              <w:tabs>
                <w:tab w:val="left" w:pos="567"/>
              </w:tabs>
              <w:spacing w:after="0"/>
              <w:rPr>
                <w:rFonts w:ascii="Arial" w:eastAsia="Arial" w:hAnsi="Arial" w:cs="Arial"/>
                <w:bCs/>
                <w:color w:val="000000"/>
              </w:rPr>
            </w:pPr>
            <w:r>
              <w:rPr>
                <w:rFonts w:ascii="Arial" w:eastAsia="Arial" w:hAnsi="Arial" w:cs="Arial"/>
                <w:bCs/>
                <w:color w:val="000000"/>
              </w:rPr>
              <w:lastRenderedPageBreak/>
              <w:t>Workshop 2</w:t>
            </w:r>
          </w:p>
        </w:tc>
        <w:tc>
          <w:tcPr>
            <w:tcW w:w="3969" w:type="dxa"/>
          </w:tcPr>
          <w:p w14:paraId="3995055B" w14:textId="77777777" w:rsidR="000D05E5" w:rsidRPr="005E5ECF" w:rsidRDefault="000D05E5" w:rsidP="005E0D57">
            <w:pPr>
              <w:pStyle w:val="ListParagraph"/>
              <w:numPr>
                <w:ilvl w:val="0"/>
                <w:numId w:val="68"/>
              </w:numPr>
              <w:tabs>
                <w:tab w:val="left" w:pos="464"/>
              </w:tabs>
              <w:spacing w:after="0"/>
              <w:ind w:left="464" w:hanging="425"/>
              <w:rPr>
                <w:rFonts w:ascii="Arial" w:hAnsi="Arial" w:cs="Arial"/>
              </w:rPr>
            </w:pPr>
            <w:r>
              <w:rPr>
                <w:rFonts w:ascii="Arial" w:hAnsi="Arial" w:cs="Arial"/>
              </w:rPr>
              <w:t xml:space="preserve">Moorfields </w:t>
            </w:r>
            <w:r w:rsidRPr="00BA0B55">
              <w:rPr>
                <w:rFonts w:ascii="Arial" w:hAnsi="Arial" w:cs="Arial"/>
              </w:rPr>
              <w:t>Director of Estates, Capital &amp; Major Projects</w:t>
            </w:r>
          </w:p>
          <w:p w14:paraId="24FB4A4E" w14:textId="77777777" w:rsidR="000D05E5" w:rsidRPr="005E5ECF" w:rsidRDefault="000D05E5" w:rsidP="005E0D57">
            <w:pPr>
              <w:pStyle w:val="ListParagraph"/>
              <w:numPr>
                <w:ilvl w:val="0"/>
                <w:numId w:val="68"/>
              </w:numPr>
              <w:tabs>
                <w:tab w:val="left" w:pos="464"/>
              </w:tabs>
              <w:spacing w:after="0"/>
              <w:ind w:left="464" w:hanging="425"/>
              <w:rPr>
                <w:rFonts w:ascii="Arial" w:hAnsi="Arial" w:cs="Arial"/>
              </w:rPr>
            </w:pPr>
            <w:r>
              <w:rPr>
                <w:rFonts w:ascii="Arial" w:hAnsi="Arial" w:cs="Arial"/>
              </w:rPr>
              <w:t>Moorfields Non-Executive Director</w:t>
            </w:r>
          </w:p>
          <w:p w14:paraId="575E486F" w14:textId="77777777" w:rsidR="000D05E5" w:rsidRPr="005E5ECF" w:rsidRDefault="000D05E5" w:rsidP="005E0D57">
            <w:pPr>
              <w:pStyle w:val="ListParagraph"/>
              <w:numPr>
                <w:ilvl w:val="0"/>
                <w:numId w:val="68"/>
              </w:numPr>
              <w:tabs>
                <w:tab w:val="left" w:pos="464"/>
              </w:tabs>
              <w:spacing w:after="0"/>
              <w:ind w:left="464" w:hanging="425"/>
              <w:rPr>
                <w:rFonts w:ascii="Arial" w:hAnsi="Arial" w:cs="Arial"/>
              </w:rPr>
            </w:pPr>
            <w:r>
              <w:rPr>
                <w:rFonts w:ascii="Arial" w:hAnsi="Arial" w:cs="Arial"/>
              </w:rPr>
              <w:t>Moorfields Facilities management</w:t>
            </w:r>
          </w:p>
          <w:p w14:paraId="570DA9B5" w14:textId="77777777" w:rsidR="000D05E5" w:rsidRPr="005E5ECF" w:rsidRDefault="000D05E5" w:rsidP="005E0D57">
            <w:pPr>
              <w:pStyle w:val="ListParagraph"/>
              <w:numPr>
                <w:ilvl w:val="0"/>
                <w:numId w:val="68"/>
              </w:numPr>
              <w:tabs>
                <w:tab w:val="left" w:pos="464"/>
              </w:tabs>
              <w:spacing w:after="0"/>
              <w:ind w:left="464" w:hanging="425"/>
              <w:rPr>
                <w:rFonts w:ascii="Arial" w:hAnsi="Arial" w:cs="Arial"/>
              </w:rPr>
            </w:pPr>
            <w:r w:rsidRPr="005E5ECF">
              <w:rPr>
                <w:rFonts w:ascii="Arial" w:hAnsi="Arial" w:cs="Arial"/>
              </w:rPr>
              <w:t>Project managers</w:t>
            </w:r>
          </w:p>
          <w:p w14:paraId="4234675C" w14:textId="77777777" w:rsidR="000D05E5" w:rsidRDefault="000D05E5" w:rsidP="005E0D57">
            <w:pPr>
              <w:pStyle w:val="ListParagraph"/>
              <w:numPr>
                <w:ilvl w:val="0"/>
                <w:numId w:val="68"/>
              </w:numPr>
              <w:tabs>
                <w:tab w:val="left" w:pos="464"/>
              </w:tabs>
              <w:spacing w:after="0"/>
              <w:ind w:left="464" w:hanging="425"/>
              <w:rPr>
                <w:rFonts w:ascii="Arial" w:hAnsi="Arial" w:cs="Arial"/>
              </w:rPr>
            </w:pPr>
            <w:r w:rsidRPr="005E5ECF">
              <w:rPr>
                <w:rFonts w:ascii="Arial" w:hAnsi="Arial" w:cs="Arial"/>
              </w:rPr>
              <w:t>Quantity surveyors</w:t>
            </w:r>
          </w:p>
          <w:p w14:paraId="6F6E0FC2" w14:textId="6BF837B2" w:rsidR="000D05E5" w:rsidRPr="002F2DD6" w:rsidRDefault="000D05E5" w:rsidP="00F9726C">
            <w:pPr>
              <w:tabs>
                <w:tab w:val="left" w:pos="464"/>
              </w:tabs>
              <w:spacing w:after="0"/>
              <w:ind w:left="39"/>
              <w:rPr>
                <w:rFonts w:ascii="Arial" w:hAnsi="Arial" w:cs="Arial"/>
              </w:rPr>
            </w:pPr>
            <w:r w:rsidRPr="002F2DD6">
              <w:rPr>
                <w:rFonts w:ascii="Arial" w:hAnsi="Arial" w:cs="Arial"/>
              </w:rPr>
              <w:t>Meeting held separately with UCL</w:t>
            </w:r>
            <w:r w:rsidR="0021652C">
              <w:rPr>
                <w:rFonts w:ascii="Arial" w:hAnsi="Arial" w:cs="Arial"/>
              </w:rPr>
              <w:t xml:space="preserve"> estates</w:t>
            </w:r>
          </w:p>
        </w:tc>
        <w:tc>
          <w:tcPr>
            <w:tcW w:w="3747" w:type="dxa"/>
          </w:tcPr>
          <w:p w14:paraId="6C5F6F6C" w14:textId="77777777" w:rsidR="000D05E5" w:rsidRDefault="000D05E5" w:rsidP="00F9726C">
            <w:pPr>
              <w:tabs>
                <w:tab w:val="left" w:pos="567"/>
              </w:tabs>
              <w:spacing w:after="0"/>
              <w:rPr>
                <w:rFonts w:ascii="Arial" w:eastAsia="Arial" w:hAnsi="Arial" w:cs="Arial"/>
                <w:bCs/>
                <w:color w:val="000000"/>
              </w:rPr>
            </w:pPr>
            <w:r>
              <w:rPr>
                <w:rFonts w:ascii="Arial" w:eastAsia="Arial" w:hAnsi="Arial" w:cs="Arial"/>
                <w:bCs/>
                <w:color w:val="000000"/>
              </w:rPr>
              <w:t>Review outcome of workshop 1.</w:t>
            </w:r>
          </w:p>
          <w:p w14:paraId="24427C72" w14:textId="77777777" w:rsidR="000D05E5" w:rsidRDefault="000D05E5" w:rsidP="00F9726C">
            <w:pPr>
              <w:tabs>
                <w:tab w:val="left" w:pos="567"/>
              </w:tabs>
              <w:spacing w:after="0"/>
              <w:rPr>
                <w:rFonts w:ascii="Arial" w:eastAsia="Arial" w:hAnsi="Arial" w:cs="Arial"/>
                <w:bCs/>
                <w:color w:val="000000"/>
              </w:rPr>
            </w:pPr>
          </w:p>
          <w:p w14:paraId="25ACDEC8" w14:textId="77777777" w:rsidR="000D05E5" w:rsidRDefault="000D05E5" w:rsidP="00F9726C">
            <w:pPr>
              <w:tabs>
                <w:tab w:val="left" w:pos="567"/>
              </w:tabs>
              <w:spacing w:after="0"/>
              <w:rPr>
                <w:rFonts w:ascii="Arial" w:eastAsia="Arial" w:hAnsi="Arial" w:cs="Arial"/>
                <w:bCs/>
                <w:color w:val="000000"/>
              </w:rPr>
            </w:pPr>
            <w:r>
              <w:rPr>
                <w:rFonts w:ascii="Arial" w:eastAsia="Arial" w:hAnsi="Arial" w:cs="Arial"/>
                <w:bCs/>
                <w:color w:val="000000"/>
              </w:rPr>
              <w:t>Test draft programme.</w:t>
            </w:r>
          </w:p>
          <w:p w14:paraId="73EB6F6D" w14:textId="77777777" w:rsidR="000D05E5" w:rsidRDefault="000D05E5" w:rsidP="00F9726C">
            <w:pPr>
              <w:tabs>
                <w:tab w:val="left" w:pos="567"/>
              </w:tabs>
              <w:spacing w:after="0"/>
              <w:rPr>
                <w:rFonts w:ascii="Arial" w:eastAsia="Arial" w:hAnsi="Arial" w:cs="Arial"/>
                <w:bCs/>
                <w:color w:val="000000"/>
              </w:rPr>
            </w:pPr>
          </w:p>
          <w:p w14:paraId="2A1EA175" w14:textId="77777777" w:rsidR="000D05E5" w:rsidRDefault="000D05E5" w:rsidP="00F9726C">
            <w:pPr>
              <w:tabs>
                <w:tab w:val="left" w:pos="567"/>
              </w:tabs>
              <w:spacing w:after="0"/>
              <w:rPr>
                <w:rFonts w:ascii="Arial" w:eastAsia="Arial" w:hAnsi="Arial" w:cs="Arial"/>
                <w:bCs/>
                <w:color w:val="000000"/>
              </w:rPr>
            </w:pPr>
            <w:r>
              <w:rPr>
                <w:rFonts w:ascii="Arial" w:eastAsia="Arial" w:hAnsi="Arial" w:cs="Arial"/>
                <w:bCs/>
                <w:color w:val="000000"/>
              </w:rPr>
              <w:t>Confirm next steps.</w:t>
            </w:r>
          </w:p>
        </w:tc>
      </w:tr>
    </w:tbl>
    <w:p w14:paraId="4587C56B" w14:textId="77777777" w:rsidR="000D05E5" w:rsidRDefault="000D05E5" w:rsidP="000D05E5">
      <w:pPr>
        <w:tabs>
          <w:tab w:val="left" w:pos="567"/>
        </w:tabs>
        <w:rPr>
          <w:rFonts w:ascii="Arial" w:eastAsia="Arial" w:hAnsi="Arial" w:cs="Arial"/>
          <w:bCs/>
          <w:color w:val="000000"/>
        </w:rPr>
      </w:pPr>
    </w:p>
    <w:p w14:paraId="04AD65A1" w14:textId="55C8418A" w:rsidR="000D05E5" w:rsidRDefault="000D05E5" w:rsidP="000D05E5">
      <w:pPr>
        <w:tabs>
          <w:tab w:val="left" w:pos="567"/>
        </w:tabs>
        <w:rPr>
          <w:rFonts w:ascii="Arial" w:eastAsia="Arial" w:hAnsi="Arial" w:cs="Arial"/>
          <w:bCs/>
          <w:color w:val="000000"/>
        </w:rPr>
      </w:pPr>
      <w:r>
        <w:rPr>
          <w:rFonts w:ascii="Arial" w:eastAsia="Arial" w:hAnsi="Arial" w:cs="Arial"/>
          <w:bCs/>
          <w:color w:val="000000"/>
        </w:rPr>
        <w:t xml:space="preserve">The following options were appraised – their advantages and disadvantages are summarised below, and detailed in the procurement strategy at Appendix </w:t>
      </w:r>
      <w:r w:rsidR="004424A6">
        <w:rPr>
          <w:rFonts w:ascii="Arial" w:eastAsia="Arial" w:hAnsi="Arial" w:cs="Arial"/>
          <w:bCs/>
          <w:color w:val="000000"/>
        </w:rPr>
        <w:t>7A</w:t>
      </w:r>
      <w:r>
        <w:rPr>
          <w:rFonts w:ascii="Arial" w:eastAsia="Arial" w:hAnsi="Arial" w:cs="Arial"/>
          <w:bCs/>
          <w:color w:val="000000"/>
        </w:rPr>
        <w:t>.</w:t>
      </w:r>
    </w:p>
    <w:p w14:paraId="0B20771B" w14:textId="3A8F2DE1" w:rsidR="00691888" w:rsidRDefault="00691888" w:rsidP="00691888">
      <w:pPr>
        <w:pStyle w:val="Caption"/>
      </w:pPr>
      <w:r>
        <w:t xml:space="preserve">Table </w:t>
      </w:r>
      <w:r>
        <w:fldChar w:fldCharType="begin"/>
      </w:r>
      <w:r>
        <w:instrText xml:space="preserve"> SEQ Table \* ARABIC </w:instrText>
      </w:r>
      <w:r>
        <w:fldChar w:fldCharType="separate"/>
      </w:r>
      <w:r w:rsidR="00A936CD">
        <w:rPr>
          <w:noProof/>
        </w:rPr>
        <w:t>38</w:t>
      </w:r>
      <w:r>
        <w:fldChar w:fldCharType="end"/>
      </w:r>
      <w:r>
        <w:t xml:space="preserve">: </w:t>
      </w:r>
      <w:r>
        <w:rPr>
          <w:b w:val="0"/>
          <w:bCs w:val="0"/>
        </w:rPr>
        <w:t>Procurement options appraisal</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756"/>
        <w:gridCol w:w="3757"/>
      </w:tblGrid>
      <w:tr w:rsidR="0025490F" w:rsidRPr="0021652C" w14:paraId="43849A29" w14:textId="77777777" w:rsidTr="0025490F">
        <w:tc>
          <w:tcPr>
            <w:tcW w:w="1809" w:type="dxa"/>
            <w:shd w:val="clear" w:color="auto" w:fill="4F81BD"/>
          </w:tcPr>
          <w:p w14:paraId="77860153" w14:textId="77777777" w:rsidR="000D05E5" w:rsidRPr="0021652C" w:rsidRDefault="000D05E5" w:rsidP="00F9726C">
            <w:pPr>
              <w:tabs>
                <w:tab w:val="left" w:pos="567"/>
              </w:tabs>
              <w:spacing w:after="0"/>
              <w:rPr>
                <w:rFonts w:ascii="Arial" w:eastAsia="Arial" w:hAnsi="Arial" w:cs="Arial"/>
                <w:b/>
                <w:color w:val="FFFFFF" w:themeColor="background1"/>
              </w:rPr>
            </w:pPr>
            <w:r w:rsidRPr="0021652C">
              <w:rPr>
                <w:rFonts w:ascii="Arial" w:eastAsia="Arial" w:hAnsi="Arial" w:cs="Arial"/>
                <w:b/>
                <w:color w:val="FFFFFF" w:themeColor="background1"/>
              </w:rPr>
              <w:t>Option</w:t>
            </w:r>
          </w:p>
        </w:tc>
        <w:tc>
          <w:tcPr>
            <w:tcW w:w="3756" w:type="dxa"/>
            <w:shd w:val="clear" w:color="auto" w:fill="4F81BD"/>
          </w:tcPr>
          <w:p w14:paraId="6AEDC808" w14:textId="77777777" w:rsidR="000D05E5" w:rsidRPr="0021652C" w:rsidRDefault="000D05E5" w:rsidP="00F9726C">
            <w:pPr>
              <w:tabs>
                <w:tab w:val="left" w:pos="567"/>
              </w:tabs>
              <w:spacing w:after="0"/>
              <w:rPr>
                <w:rFonts w:ascii="Arial" w:eastAsia="Arial" w:hAnsi="Arial" w:cs="Arial"/>
                <w:b/>
                <w:color w:val="FFFFFF" w:themeColor="background1"/>
              </w:rPr>
            </w:pPr>
            <w:r w:rsidRPr="0021652C">
              <w:rPr>
                <w:rFonts w:ascii="Arial" w:eastAsia="Arial" w:hAnsi="Arial" w:cs="Arial"/>
                <w:b/>
                <w:color w:val="FFFFFF" w:themeColor="background1"/>
              </w:rPr>
              <w:t>Advantages</w:t>
            </w:r>
          </w:p>
        </w:tc>
        <w:tc>
          <w:tcPr>
            <w:tcW w:w="3757" w:type="dxa"/>
            <w:shd w:val="clear" w:color="auto" w:fill="4F81BD"/>
          </w:tcPr>
          <w:p w14:paraId="3F1FD6EA" w14:textId="77777777" w:rsidR="000D05E5" w:rsidRPr="0021652C" w:rsidRDefault="000D05E5" w:rsidP="00F9726C">
            <w:pPr>
              <w:tabs>
                <w:tab w:val="left" w:pos="567"/>
              </w:tabs>
              <w:spacing w:after="0"/>
              <w:rPr>
                <w:rFonts w:ascii="Arial" w:eastAsia="Arial" w:hAnsi="Arial" w:cs="Arial"/>
                <w:b/>
                <w:color w:val="FFFFFF" w:themeColor="background1"/>
              </w:rPr>
            </w:pPr>
            <w:r w:rsidRPr="0021652C">
              <w:rPr>
                <w:rFonts w:ascii="Arial" w:eastAsia="Arial" w:hAnsi="Arial" w:cs="Arial"/>
                <w:b/>
                <w:color w:val="FFFFFF" w:themeColor="background1"/>
              </w:rPr>
              <w:t>Disadvantages</w:t>
            </w:r>
          </w:p>
        </w:tc>
      </w:tr>
      <w:tr w:rsidR="000D05E5" w:rsidRPr="0021652C" w14:paraId="205A2874" w14:textId="77777777" w:rsidTr="00F9726C">
        <w:tc>
          <w:tcPr>
            <w:tcW w:w="1809" w:type="dxa"/>
          </w:tcPr>
          <w:p w14:paraId="511AF7DA" w14:textId="77777777" w:rsidR="000D05E5" w:rsidRPr="0021652C" w:rsidRDefault="000D05E5" w:rsidP="00F9726C">
            <w:pPr>
              <w:tabs>
                <w:tab w:val="left" w:pos="567"/>
              </w:tabs>
              <w:spacing w:after="0"/>
              <w:rPr>
                <w:rFonts w:ascii="Arial" w:eastAsia="Arial" w:hAnsi="Arial" w:cs="Arial"/>
                <w:bCs/>
                <w:color w:val="000000"/>
              </w:rPr>
            </w:pPr>
            <w:r w:rsidRPr="0021652C">
              <w:rPr>
                <w:rFonts w:ascii="Arial" w:eastAsia="Arial" w:hAnsi="Arial" w:cs="Arial"/>
                <w:bCs/>
                <w:color w:val="000000"/>
              </w:rPr>
              <w:t>Traditional lump sum – single stage</w:t>
            </w:r>
          </w:p>
        </w:tc>
        <w:tc>
          <w:tcPr>
            <w:tcW w:w="3756" w:type="dxa"/>
          </w:tcPr>
          <w:p w14:paraId="12A341B0" w14:textId="77777777" w:rsidR="000D05E5" w:rsidRPr="0021652C" w:rsidRDefault="000D05E5" w:rsidP="00F9726C">
            <w:pPr>
              <w:tabs>
                <w:tab w:val="left" w:pos="567"/>
              </w:tabs>
              <w:spacing w:after="0"/>
              <w:rPr>
                <w:rFonts w:ascii="Arial" w:eastAsia="Arial" w:hAnsi="Arial" w:cs="Arial"/>
                <w:bCs/>
                <w:color w:val="000000"/>
              </w:rPr>
            </w:pPr>
            <w:r w:rsidRPr="0021652C">
              <w:rPr>
                <w:rFonts w:ascii="Arial" w:eastAsia="Arial" w:hAnsi="Arial" w:cs="Arial"/>
                <w:bCs/>
                <w:color w:val="000000"/>
              </w:rPr>
              <w:t>Time:</w:t>
            </w:r>
          </w:p>
          <w:p w14:paraId="1C1BA819" w14:textId="77777777" w:rsidR="000D05E5" w:rsidRPr="0021652C" w:rsidRDefault="000D05E5"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Simple, well-defined and widely understood</w:t>
            </w:r>
          </w:p>
          <w:p w14:paraId="6C0C9288" w14:textId="2C7D8D32" w:rsidR="000D05E5" w:rsidRPr="0021652C" w:rsidRDefault="000D05E5" w:rsidP="00F9726C">
            <w:pPr>
              <w:tabs>
                <w:tab w:val="left" w:pos="567"/>
              </w:tabs>
              <w:spacing w:after="0"/>
              <w:rPr>
                <w:rFonts w:ascii="Arial" w:eastAsia="Arial" w:hAnsi="Arial" w:cs="Arial"/>
                <w:bCs/>
                <w:color w:val="000000"/>
              </w:rPr>
            </w:pPr>
            <w:r w:rsidRPr="0021652C">
              <w:rPr>
                <w:rFonts w:ascii="Arial" w:eastAsia="Arial" w:hAnsi="Arial" w:cs="Arial"/>
                <w:bCs/>
                <w:color w:val="000000"/>
              </w:rPr>
              <w:t>Cost</w:t>
            </w:r>
            <w:r w:rsidR="0021652C">
              <w:rPr>
                <w:rFonts w:ascii="Arial" w:eastAsia="Arial" w:hAnsi="Arial" w:cs="Arial"/>
                <w:bCs/>
                <w:color w:val="000000"/>
              </w:rPr>
              <w:t>:</w:t>
            </w:r>
          </w:p>
          <w:p w14:paraId="395E683D" w14:textId="77777777" w:rsidR="000D05E5" w:rsidRPr="0021652C" w:rsidRDefault="000D05E5"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High level of cost certainty</w:t>
            </w:r>
          </w:p>
          <w:p w14:paraId="75D1B74F" w14:textId="77777777" w:rsidR="000D05E5" w:rsidRPr="0021652C" w:rsidRDefault="000D05E5"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Good value for money on variations</w:t>
            </w:r>
          </w:p>
          <w:p w14:paraId="09725906" w14:textId="77777777" w:rsidR="000D05E5" w:rsidRPr="0021652C" w:rsidRDefault="000D05E5"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Contractor accepts most cost and time risks</w:t>
            </w:r>
          </w:p>
          <w:p w14:paraId="02CDF075" w14:textId="679E6F6F" w:rsidR="000D05E5" w:rsidRPr="0021652C" w:rsidRDefault="000D05E5" w:rsidP="00F9726C">
            <w:pPr>
              <w:tabs>
                <w:tab w:val="left" w:pos="567"/>
              </w:tabs>
              <w:spacing w:after="0"/>
              <w:rPr>
                <w:rFonts w:ascii="Arial" w:eastAsia="Arial" w:hAnsi="Arial" w:cs="Arial"/>
                <w:bCs/>
                <w:color w:val="000000"/>
              </w:rPr>
            </w:pPr>
            <w:r w:rsidRPr="0021652C">
              <w:rPr>
                <w:rFonts w:ascii="Arial" w:eastAsia="Arial" w:hAnsi="Arial" w:cs="Arial"/>
                <w:bCs/>
                <w:color w:val="000000"/>
              </w:rPr>
              <w:t>Quality</w:t>
            </w:r>
            <w:r w:rsidR="0021652C">
              <w:rPr>
                <w:rFonts w:ascii="Arial" w:eastAsia="Arial" w:hAnsi="Arial" w:cs="Arial"/>
                <w:bCs/>
                <w:color w:val="000000"/>
              </w:rPr>
              <w:t>:</w:t>
            </w:r>
          </w:p>
          <w:p w14:paraId="318E719A" w14:textId="77777777" w:rsidR="000D05E5" w:rsidRPr="0021652C" w:rsidRDefault="000D05E5"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Can result in higher design quality with specialist input</w:t>
            </w:r>
          </w:p>
          <w:p w14:paraId="40A8E429" w14:textId="77777777" w:rsidR="000D05E5" w:rsidRPr="0021652C" w:rsidRDefault="000D05E5"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Client retains design control</w:t>
            </w:r>
          </w:p>
          <w:p w14:paraId="2A45C0C1" w14:textId="77777777" w:rsidR="000D05E5" w:rsidRPr="0021652C" w:rsidRDefault="000D05E5"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Easy to instruct variations</w:t>
            </w:r>
          </w:p>
        </w:tc>
        <w:tc>
          <w:tcPr>
            <w:tcW w:w="3757" w:type="dxa"/>
          </w:tcPr>
          <w:p w14:paraId="51006702" w14:textId="77777777" w:rsidR="000D05E5" w:rsidRPr="0021652C" w:rsidRDefault="000D05E5" w:rsidP="00F9726C">
            <w:pPr>
              <w:tabs>
                <w:tab w:val="left" w:pos="567"/>
              </w:tabs>
              <w:spacing w:after="0"/>
              <w:rPr>
                <w:rFonts w:ascii="Arial" w:eastAsia="Arial" w:hAnsi="Arial" w:cs="Arial"/>
                <w:bCs/>
                <w:color w:val="000000"/>
              </w:rPr>
            </w:pPr>
            <w:r w:rsidRPr="0021652C">
              <w:rPr>
                <w:rFonts w:ascii="Arial" w:eastAsia="Arial" w:hAnsi="Arial" w:cs="Arial"/>
                <w:bCs/>
                <w:color w:val="000000"/>
              </w:rPr>
              <w:t>Time:</w:t>
            </w:r>
          </w:p>
          <w:p w14:paraId="177C88BA" w14:textId="77777777" w:rsidR="000D05E5" w:rsidRPr="0021652C" w:rsidRDefault="000D05E5"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Little potential for pre-planning or pre-ordering</w:t>
            </w:r>
          </w:p>
          <w:p w14:paraId="1F96089C" w14:textId="4425DEF9" w:rsidR="000D05E5" w:rsidRPr="0021652C" w:rsidRDefault="000D05E5" w:rsidP="00F9726C">
            <w:pPr>
              <w:tabs>
                <w:tab w:val="left" w:pos="567"/>
              </w:tabs>
              <w:spacing w:after="0"/>
              <w:rPr>
                <w:rFonts w:ascii="Arial" w:eastAsia="Arial" w:hAnsi="Arial" w:cs="Arial"/>
                <w:bCs/>
                <w:color w:val="000000"/>
              </w:rPr>
            </w:pPr>
            <w:r w:rsidRPr="0021652C">
              <w:rPr>
                <w:rFonts w:ascii="Arial" w:eastAsia="Arial" w:hAnsi="Arial" w:cs="Arial"/>
                <w:bCs/>
                <w:color w:val="000000"/>
              </w:rPr>
              <w:t>Cost</w:t>
            </w:r>
            <w:r w:rsidR="0021652C">
              <w:rPr>
                <w:rFonts w:ascii="Arial" w:eastAsia="Arial" w:hAnsi="Arial" w:cs="Arial"/>
                <w:bCs/>
                <w:color w:val="000000"/>
              </w:rPr>
              <w:t>:</w:t>
            </w:r>
          </w:p>
          <w:p w14:paraId="59D5159F" w14:textId="77777777" w:rsidR="000D05E5" w:rsidRPr="0021652C" w:rsidRDefault="000D05E5"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Potentially adversarial with costly claims</w:t>
            </w:r>
          </w:p>
          <w:p w14:paraId="5EAB6381" w14:textId="77777777" w:rsidR="000D05E5" w:rsidRPr="0021652C" w:rsidRDefault="000D05E5"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Cost certainty decreases with post-contract changes</w:t>
            </w:r>
          </w:p>
          <w:p w14:paraId="70153788" w14:textId="7BE7D4A3" w:rsidR="000D05E5" w:rsidRPr="0021652C" w:rsidRDefault="000D05E5" w:rsidP="00F9726C">
            <w:pPr>
              <w:tabs>
                <w:tab w:val="left" w:pos="567"/>
              </w:tabs>
              <w:spacing w:after="0"/>
              <w:rPr>
                <w:rFonts w:ascii="Arial" w:eastAsia="Arial" w:hAnsi="Arial" w:cs="Arial"/>
                <w:bCs/>
                <w:color w:val="000000"/>
              </w:rPr>
            </w:pPr>
            <w:r w:rsidRPr="0021652C">
              <w:rPr>
                <w:rFonts w:ascii="Arial" w:eastAsia="Arial" w:hAnsi="Arial" w:cs="Arial"/>
                <w:bCs/>
                <w:color w:val="000000"/>
              </w:rPr>
              <w:t>Quality</w:t>
            </w:r>
            <w:r w:rsidR="0021652C">
              <w:rPr>
                <w:rFonts w:ascii="Arial" w:eastAsia="Arial" w:hAnsi="Arial" w:cs="Arial"/>
                <w:bCs/>
                <w:color w:val="000000"/>
              </w:rPr>
              <w:t>:</w:t>
            </w:r>
          </w:p>
          <w:p w14:paraId="79005D48" w14:textId="77777777" w:rsidR="000D05E5" w:rsidRPr="0021652C" w:rsidRDefault="000D05E5"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Client responsible for design team performance</w:t>
            </w:r>
          </w:p>
          <w:p w14:paraId="1E077D2F" w14:textId="77777777" w:rsidR="000D05E5" w:rsidRPr="0021652C" w:rsidRDefault="000D05E5"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No contractor involvement in design may affect buildability</w:t>
            </w:r>
          </w:p>
        </w:tc>
      </w:tr>
      <w:tr w:rsidR="000D05E5" w:rsidRPr="0021652C" w14:paraId="3E25D7F2" w14:textId="77777777" w:rsidTr="00F9726C">
        <w:tc>
          <w:tcPr>
            <w:tcW w:w="1809" w:type="dxa"/>
          </w:tcPr>
          <w:p w14:paraId="3DCE9C58" w14:textId="77777777" w:rsidR="000D05E5" w:rsidRPr="0021652C" w:rsidRDefault="000D05E5" w:rsidP="00F9726C">
            <w:pPr>
              <w:tabs>
                <w:tab w:val="left" w:pos="567"/>
              </w:tabs>
              <w:spacing w:after="0"/>
              <w:rPr>
                <w:rFonts w:ascii="Arial" w:eastAsia="Arial" w:hAnsi="Arial" w:cs="Arial"/>
                <w:bCs/>
                <w:color w:val="000000"/>
              </w:rPr>
            </w:pPr>
            <w:r w:rsidRPr="0021652C">
              <w:rPr>
                <w:rFonts w:ascii="Arial" w:eastAsia="Arial" w:hAnsi="Arial" w:cs="Arial"/>
                <w:bCs/>
                <w:color w:val="000000"/>
              </w:rPr>
              <w:t>Traditional lump sum – two stage</w:t>
            </w:r>
          </w:p>
        </w:tc>
        <w:tc>
          <w:tcPr>
            <w:tcW w:w="3756" w:type="dxa"/>
          </w:tcPr>
          <w:p w14:paraId="3A50AA45" w14:textId="77777777" w:rsidR="000D05E5" w:rsidRPr="0021652C" w:rsidRDefault="000D05E5" w:rsidP="00F9726C">
            <w:pPr>
              <w:tabs>
                <w:tab w:val="left" w:pos="567"/>
              </w:tabs>
              <w:spacing w:after="0"/>
              <w:rPr>
                <w:rFonts w:ascii="Arial" w:eastAsia="Arial" w:hAnsi="Arial" w:cs="Arial"/>
                <w:bCs/>
                <w:color w:val="000000"/>
              </w:rPr>
            </w:pPr>
            <w:r w:rsidRPr="0021652C">
              <w:rPr>
                <w:rFonts w:ascii="Arial" w:eastAsia="Arial" w:hAnsi="Arial" w:cs="Arial"/>
                <w:bCs/>
                <w:color w:val="000000"/>
              </w:rPr>
              <w:t>Time:</w:t>
            </w:r>
          </w:p>
          <w:p w14:paraId="43A0EBCA" w14:textId="77777777" w:rsidR="000D05E5" w:rsidRPr="0021652C" w:rsidRDefault="000D05E5"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Allows earlier start on site</w:t>
            </w:r>
          </w:p>
          <w:p w14:paraId="0F826C3E" w14:textId="07D57DC9" w:rsidR="000D05E5" w:rsidRPr="0021652C" w:rsidRDefault="000D05E5" w:rsidP="00F9726C">
            <w:pPr>
              <w:tabs>
                <w:tab w:val="left" w:pos="567"/>
              </w:tabs>
              <w:spacing w:after="0"/>
              <w:rPr>
                <w:rFonts w:ascii="Arial" w:eastAsia="Arial" w:hAnsi="Arial" w:cs="Arial"/>
                <w:bCs/>
                <w:color w:val="000000"/>
              </w:rPr>
            </w:pPr>
            <w:r w:rsidRPr="0021652C">
              <w:rPr>
                <w:rFonts w:ascii="Arial" w:eastAsia="Arial" w:hAnsi="Arial" w:cs="Arial"/>
                <w:bCs/>
                <w:color w:val="000000"/>
              </w:rPr>
              <w:t>Cost</w:t>
            </w:r>
            <w:r w:rsidR="0021652C">
              <w:rPr>
                <w:rFonts w:ascii="Arial" w:eastAsia="Arial" w:hAnsi="Arial" w:cs="Arial"/>
                <w:bCs/>
                <w:color w:val="000000"/>
              </w:rPr>
              <w:t>:</w:t>
            </w:r>
          </w:p>
          <w:p w14:paraId="197F416B" w14:textId="77777777" w:rsidR="000D05E5" w:rsidRPr="0021652C" w:rsidRDefault="000D05E5"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Open book policy</w:t>
            </w:r>
          </w:p>
          <w:p w14:paraId="41FD76DE" w14:textId="77777777" w:rsidR="000D05E5" w:rsidRPr="0021652C" w:rsidRDefault="000D05E5"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Retains a degree of competition</w:t>
            </w:r>
          </w:p>
          <w:p w14:paraId="33C60A0D" w14:textId="77777777" w:rsidR="000D05E5" w:rsidRPr="0021652C" w:rsidRDefault="000D05E5"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Good value for money on variations</w:t>
            </w:r>
          </w:p>
          <w:p w14:paraId="4F7C61AC" w14:textId="77777777" w:rsidR="000D05E5" w:rsidRPr="0021652C" w:rsidRDefault="000D05E5"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Contractor accepts most cost and time risks</w:t>
            </w:r>
          </w:p>
          <w:p w14:paraId="71BBF23A" w14:textId="24473235" w:rsidR="000D05E5" w:rsidRPr="0021652C" w:rsidRDefault="000D05E5" w:rsidP="00F9726C">
            <w:pPr>
              <w:tabs>
                <w:tab w:val="left" w:pos="567"/>
              </w:tabs>
              <w:spacing w:after="0"/>
              <w:rPr>
                <w:rFonts w:ascii="Arial" w:eastAsia="Arial" w:hAnsi="Arial" w:cs="Arial"/>
                <w:bCs/>
                <w:color w:val="000000"/>
              </w:rPr>
            </w:pPr>
            <w:r w:rsidRPr="0021652C">
              <w:rPr>
                <w:rFonts w:ascii="Arial" w:eastAsia="Arial" w:hAnsi="Arial" w:cs="Arial"/>
                <w:bCs/>
                <w:color w:val="000000"/>
              </w:rPr>
              <w:t>Quality</w:t>
            </w:r>
            <w:r w:rsidR="0021652C">
              <w:rPr>
                <w:rFonts w:ascii="Arial" w:eastAsia="Arial" w:hAnsi="Arial" w:cs="Arial"/>
                <w:bCs/>
                <w:color w:val="000000"/>
              </w:rPr>
              <w:t>:</w:t>
            </w:r>
          </w:p>
          <w:p w14:paraId="524886BE" w14:textId="77777777" w:rsidR="000D05E5" w:rsidRPr="0021652C" w:rsidRDefault="000D05E5"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lastRenderedPageBreak/>
              <w:t>Early advice on buildability</w:t>
            </w:r>
          </w:p>
          <w:p w14:paraId="4366019D" w14:textId="77777777" w:rsidR="000D05E5" w:rsidRPr="0021652C" w:rsidRDefault="000D05E5"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Can result in higher design quality with specialist input</w:t>
            </w:r>
          </w:p>
          <w:p w14:paraId="3B58AEAA" w14:textId="77777777" w:rsidR="000D05E5" w:rsidRPr="0021652C" w:rsidRDefault="000D05E5"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Client retains design control</w:t>
            </w:r>
          </w:p>
          <w:p w14:paraId="5431864D" w14:textId="77777777" w:rsidR="000D05E5" w:rsidRPr="0021652C" w:rsidRDefault="000D05E5"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Easy to instruct variations</w:t>
            </w:r>
          </w:p>
        </w:tc>
        <w:tc>
          <w:tcPr>
            <w:tcW w:w="3757" w:type="dxa"/>
          </w:tcPr>
          <w:p w14:paraId="0AFA09F3" w14:textId="77777777" w:rsidR="000D05E5" w:rsidRPr="0021652C" w:rsidRDefault="000D05E5" w:rsidP="00F9726C">
            <w:pPr>
              <w:tabs>
                <w:tab w:val="left" w:pos="567"/>
              </w:tabs>
              <w:spacing w:after="0"/>
              <w:rPr>
                <w:rFonts w:ascii="Arial" w:eastAsia="Arial" w:hAnsi="Arial" w:cs="Arial"/>
                <w:bCs/>
                <w:color w:val="000000"/>
              </w:rPr>
            </w:pPr>
            <w:r w:rsidRPr="0021652C">
              <w:rPr>
                <w:rFonts w:ascii="Arial" w:eastAsia="Arial" w:hAnsi="Arial" w:cs="Arial"/>
                <w:bCs/>
                <w:color w:val="000000"/>
              </w:rPr>
              <w:lastRenderedPageBreak/>
              <w:t>Time:</w:t>
            </w:r>
          </w:p>
          <w:p w14:paraId="355C57D1" w14:textId="77777777" w:rsidR="000D05E5" w:rsidRPr="0021652C" w:rsidRDefault="000D05E5"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Contractor can delay commitment to price and programme</w:t>
            </w:r>
          </w:p>
          <w:p w14:paraId="32A1AAAB" w14:textId="5A5DD8D8" w:rsidR="000D05E5" w:rsidRPr="0021652C" w:rsidRDefault="000D05E5" w:rsidP="00F9726C">
            <w:pPr>
              <w:tabs>
                <w:tab w:val="left" w:pos="567"/>
              </w:tabs>
              <w:spacing w:after="0"/>
              <w:rPr>
                <w:rFonts w:ascii="Arial" w:eastAsia="Arial" w:hAnsi="Arial" w:cs="Arial"/>
                <w:bCs/>
                <w:color w:val="000000"/>
              </w:rPr>
            </w:pPr>
            <w:r w:rsidRPr="0021652C">
              <w:rPr>
                <w:rFonts w:ascii="Arial" w:eastAsia="Arial" w:hAnsi="Arial" w:cs="Arial"/>
                <w:bCs/>
                <w:color w:val="000000"/>
              </w:rPr>
              <w:t>Cost</w:t>
            </w:r>
            <w:r w:rsidR="0021652C">
              <w:rPr>
                <w:rFonts w:ascii="Arial" w:eastAsia="Arial" w:hAnsi="Arial" w:cs="Arial"/>
                <w:bCs/>
                <w:color w:val="000000"/>
              </w:rPr>
              <w:t>:</w:t>
            </w:r>
          </w:p>
          <w:p w14:paraId="7F1D2F5E" w14:textId="77777777" w:rsidR="000D05E5" w:rsidRPr="0021652C" w:rsidRDefault="000D05E5"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Contractor fee for early involvement</w:t>
            </w:r>
          </w:p>
          <w:p w14:paraId="1DAF33C5" w14:textId="77777777" w:rsidR="000D05E5" w:rsidRPr="0021652C" w:rsidRDefault="000D05E5"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Greater client risk until works packages tendered</w:t>
            </w:r>
          </w:p>
          <w:p w14:paraId="6561C18A" w14:textId="5D54BC25" w:rsidR="000D05E5" w:rsidRPr="0021652C" w:rsidRDefault="000D05E5" w:rsidP="00F9726C">
            <w:pPr>
              <w:tabs>
                <w:tab w:val="left" w:pos="567"/>
              </w:tabs>
              <w:spacing w:after="0"/>
              <w:rPr>
                <w:rFonts w:ascii="Arial" w:eastAsia="Arial" w:hAnsi="Arial" w:cs="Arial"/>
                <w:bCs/>
                <w:color w:val="000000"/>
              </w:rPr>
            </w:pPr>
            <w:r w:rsidRPr="0021652C">
              <w:rPr>
                <w:rFonts w:ascii="Arial" w:eastAsia="Arial" w:hAnsi="Arial" w:cs="Arial"/>
                <w:bCs/>
                <w:color w:val="000000"/>
              </w:rPr>
              <w:t>Quality</w:t>
            </w:r>
            <w:r w:rsidR="0021652C">
              <w:rPr>
                <w:rFonts w:ascii="Arial" w:eastAsia="Arial" w:hAnsi="Arial" w:cs="Arial"/>
                <w:bCs/>
                <w:color w:val="000000"/>
              </w:rPr>
              <w:t>:</w:t>
            </w:r>
          </w:p>
          <w:p w14:paraId="724AB514" w14:textId="77777777" w:rsidR="000D05E5" w:rsidRPr="0021652C" w:rsidRDefault="000D05E5"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lastRenderedPageBreak/>
              <w:t>Client responsible for design team performance</w:t>
            </w:r>
          </w:p>
          <w:p w14:paraId="3711BA53" w14:textId="77777777" w:rsidR="000D05E5" w:rsidRPr="0021652C" w:rsidRDefault="000D05E5" w:rsidP="00F9726C">
            <w:pPr>
              <w:tabs>
                <w:tab w:val="left" w:pos="567"/>
              </w:tabs>
              <w:spacing w:after="0"/>
              <w:rPr>
                <w:rFonts w:ascii="Arial" w:eastAsia="Arial" w:hAnsi="Arial" w:cs="Arial"/>
                <w:bCs/>
                <w:color w:val="000000"/>
              </w:rPr>
            </w:pPr>
          </w:p>
        </w:tc>
      </w:tr>
      <w:tr w:rsidR="00D654D3" w:rsidRPr="0021652C" w14:paraId="4A07B983" w14:textId="77777777" w:rsidTr="00F9726C">
        <w:tc>
          <w:tcPr>
            <w:tcW w:w="1809" w:type="dxa"/>
          </w:tcPr>
          <w:p w14:paraId="4CDA37EE" w14:textId="77777777" w:rsidR="00D654D3" w:rsidRPr="0021652C" w:rsidRDefault="00D654D3" w:rsidP="00F9726C">
            <w:pPr>
              <w:tabs>
                <w:tab w:val="left" w:pos="567"/>
              </w:tabs>
              <w:spacing w:after="0"/>
              <w:rPr>
                <w:rFonts w:ascii="Arial" w:eastAsia="Arial" w:hAnsi="Arial" w:cs="Arial"/>
                <w:bCs/>
                <w:color w:val="000000"/>
              </w:rPr>
            </w:pPr>
            <w:r w:rsidRPr="0021652C">
              <w:rPr>
                <w:rFonts w:ascii="Arial" w:eastAsia="Arial" w:hAnsi="Arial" w:cs="Arial"/>
                <w:bCs/>
                <w:color w:val="000000"/>
              </w:rPr>
              <w:lastRenderedPageBreak/>
              <w:t>Design and build (can be one or two stage)</w:t>
            </w:r>
          </w:p>
        </w:tc>
        <w:tc>
          <w:tcPr>
            <w:tcW w:w="3756" w:type="dxa"/>
          </w:tcPr>
          <w:p w14:paraId="6AA07735" w14:textId="77777777" w:rsidR="00D654D3" w:rsidRPr="0021652C" w:rsidRDefault="00D654D3" w:rsidP="00F9726C">
            <w:pPr>
              <w:tabs>
                <w:tab w:val="left" w:pos="567"/>
              </w:tabs>
              <w:spacing w:after="0"/>
              <w:rPr>
                <w:rFonts w:ascii="Arial" w:eastAsia="Arial" w:hAnsi="Arial" w:cs="Arial"/>
                <w:bCs/>
                <w:color w:val="000000"/>
              </w:rPr>
            </w:pPr>
            <w:r w:rsidRPr="0021652C">
              <w:rPr>
                <w:rFonts w:ascii="Arial" w:eastAsia="Arial" w:hAnsi="Arial" w:cs="Arial"/>
                <w:bCs/>
                <w:color w:val="000000"/>
              </w:rPr>
              <w:t>Time:</w:t>
            </w:r>
          </w:p>
          <w:p w14:paraId="290A0C9D" w14:textId="77777777" w:rsidR="00D654D3" w:rsidRPr="0021652C" w:rsidRDefault="00D654D3"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Works on site may commence before the design is complete</w:t>
            </w:r>
          </w:p>
          <w:p w14:paraId="0192AD25" w14:textId="77777777" w:rsidR="00D654D3" w:rsidRPr="0021652C" w:rsidRDefault="00D654D3"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Contractor controls design information</w:t>
            </w:r>
          </w:p>
          <w:p w14:paraId="73090A34" w14:textId="16C2C3F1" w:rsidR="00D654D3" w:rsidRPr="0021652C" w:rsidRDefault="00D654D3" w:rsidP="00F9726C">
            <w:pPr>
              <w:tabs>
                <w:tab w:val="left" w:pos="567"/>
              </w:tabs>
              <w:spacing w:after="0"/>
              <w:rPr>
                <w:rFonts w:ascii="Arial" w:eastAsia="Arial" w:hAnsi="Arial" w:cs="Arial"/>
                <w:bCs/>
                <w:color w:val="000000"/>
              </w:rPr>
            </w:pPr>
            <w:r w:rsidRPr="0021652C">
              <w:rPr>
                <w:rFonts w:ascii="Arial" w:eastAsia="Arial" w:hAnsi="Arial" w:cs="Arial"/>
                <w:bCs/>
                <w:color w:val="000000"/>
              </w:rPr>
              <w:t>Cost</w:t>
            </w:r>
            <w:r w:rsidR="0021652C">
              <w:rPr>
                <w:rFonts w:ascii="Arial" w:eastAsia="Arial" w:hAnsi="Arial" w:cs="Arial"/>
                <w:bCs/>
                <w:color w:val="000000"/>
              </w:rPr>
              <w:t>:</w:t>
            </w:r>
          </w:p>
          <w:p w14:paraId="3CD95BB6" w14:textId="77777777" w:rsidR="00D654D3" w:rsidRPr="0021652C" w:rsidRDefault="00D654D3"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Earlier works package tendering to obtain cost certainty</w:t>
            </w:r>
          </w:p>
          <w:p w14:paraId="79A02D01" w14:textId="60C8E52E" w:rsidR="00D654D3" w:rsidRPr="0021652C" w:rsidRDefault="00D654D3" w:rsidP="00F9726C">
            <w:pPr>
              <w:tabs>
                <w:tab w:val="left" w:pos="567"/>
              </w:tabs>
              <w:spacing w:after="0"/>
              <w:rPr>
                <w:rFonts w:ascii="Arial" w:eastAsia="Arial" w:hAnsi="Arial" w:cs="Arial"/>
                <w:bCs/>
                <w:color w:val="000000"/>
              </w:rPr>
            </w:pPr>
            <w:r w:rsidRPr="0021652C">
              <w:rPr>
                <w:rFonts w:ascii="Arial" w:eastAsia="Arial" w:hAnsi="Arial" w:cs="Arial"/>
                <w:bCs/>
                <w:color w:val="000000"/>
              </w:rPr>
              <w:t>Quality</w:t>
            </w:r>
            <w:r w:rsidR="0021652C">
              <w:rPr>
                <w:rFonts w:ascii="Arial" w:eastAsia="Arial" w:hAnsi="Arial" w:cs="Arial"/>
                <w:bCs/>
                <w:color w:val="000000"/>
              </w:rPr>
              <w:t>:</w:t>
            </w:r>
          </w:p>
          <w:p w14:paraId="10EB820B" w14:textId="77777777" w:rsidR="00D654D3" w:rsidRPr="0021652C" w:rsidRDefault="00D654D3"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Contractor involvement ensures buildability</w:t>
            </w:r>
          </w:p>
          <w:p w14:paraId="35E88B15" w14:textId="77777777" w:rsidR="00D654D3" w:rsidRPr="0021652C" w:rsidRDefault="00D654D3"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Project benefits from specialist sub-contractors</w:t>
            </w:r>
          </w:p>
        </w:tc>
        <w:tc>
          <w:tcPr>
            <w:tcW w:w="3757" w:type="dxa"/>
          </w:tcPr>
          <w:p w14:paraId="352C691D" w14:textId="77777777" w:rsidR="00D654D3" w:rsidRPr="0021652C" w:rsidRDefault="00D654D3" w:rsidP="00F9726C">
            <w:pPr>
              <w:tabs>
                <w:tab w:val="left" w:pos="567"/>
              </w:tabs>
              <w:spacing w:after="0"/>
              <w:rPr>
                <w:rFonts w:ascii="Arial" w:eastAsia="Arial" w:hAnsi="Arial" w:cs="Arial"/>
                <w:bCs/>
                <w:color w:val="000000"/>
              </w:rPr>
            </w:pPr>
            <w:r w:rsidRPr="0021652C">
              <w:rPr>
                <w:rFonts w:ascii="Arial" w:eastAsia="Arial" w:hAnsi="Arial" w:cs="Arial"/>
                <w:bCs/>
                <w:color w:val="000000"/>
              </w:rPr>
              <w:t>Time:</w:t>
            </w:r>
          </w:p>
          <w:p w14:paraId="03C95821" w14:textId="77777777" w:rsidR="00D654D3" w:rsidRPr="0021652C" w:rsidRDefault="00D654D3"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Pre-contract period can become protracted in order to achieve a higher degree of cost certainty before contract agreement</w:t>
            </w:r>
          </w:p>
          <w:p w14:paraId="5E468E41" w14:textId="48E3A8A0" w:rsidR="00D654D3" w:rsidRPr="0021652C" w:rsidRDefault="00D654D3" w:rsidP="00F9726C">
            <w:pPr>
              <w:tabs>
                <w:tab w:val="left" w:pos="567"/>
              </w:tabs>
              <w:spacing w:after="0"/>
              <w:rPr>
                <w:rFonts w:ascii="Arial" w:eastAsia="Arial" w:hAnsi="Arial" w:cs="Arial"/>
                <w:bCs/>
                <w:color w:val="000000"/>
              </w:rPr>
            </w:pPr>
            <w:r w:rsidRPr="0021652C">
              <w:rPr>
                <w:rFonts w:ascii="Arial" w:eastAsia="Arial" w:hAnsi="Arial" w:cs="Arial"/>
                <w:bCs/>
                <w:color w:val="000000"/>
              </w:rPr>
              <w:t>Cost</w:t>
            </w:r>
            <w:r w:rsidR="0021652C">
              <w:rPr>
                <w:rFonts w:ascii="Arial" w:eastAsia="Arial" w:hAnsi="Arial" w:cs="Arial"/>
                <w:bCs/>
                <w:color w:val="000000"/>
              </w:rPr>
              <w:t>:</w:t>
            </w:r>
          </w:p>
          <w:p w14:paraId="53CC2A28" w14:textId="77777777" w:rsidR="00D654D3" w:rsidRPr="0021652C" w:rsidRDefault="00D654D3"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Post-contract changes can be difficult and expensive to incorporate</w:t>
            </w:r>
          </w:p>
          <w:p w14:paraId="5A7A1280" w14:textId="77777777" w:rsidR="00D654D3" w:rsidRPr="0021652C" w:rsidRDefault="00D654D3"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Cost premium associated with single point responsibility</w:t>
            </w:r>
          </w:p>
          <w:p w14:paraId="1824ADC4" w14:textId="160CF480" w:rsidR="00D654D3" w:rsidRPr="0021652C" w:rsidRDefault="00D654D3" w:rsidP="00F9726C">
            <w:pPr>
              <w:tabs>
                <w:tab w:val="left" w:pos="567"/>
              </w:tabs>
              <w:spacing w:after="0"/>
              <w:rPr>
                <w:rFonts w:ascii="Arial" w:eastAsia="Arial" w:hAnsi="Arial" w:cs="Arial"/>
                <w:bCs/>
                <w:color w:val="000000"/>
              </w:rPr>
            </w:pPr>
            <w:r w:rsidRPr="0021652C">
              <w:rPr>
                <w:rFonts w:ascii="Arial" w:eastAsia="Arial" w:hAnsi="Arial" w:cs="Arial"/>
                <w:bCs/>
                <w:color w:val="000000"/>
              </w:rPr>
              <w:t>Quality</w:t>
            </w:r>
            <w:r w:rsidR="0021652C">
              <w:rPr>
                <w:rFonts w:ascii="Arial" w:eastAsia="Arial" w:hAnsi="Arial" w:cs="Arial"/>
                <w:bCs/>
                <w:color w:val="000000"/>
              </w:rPr>
              <w:t>:</w:t>
            </w:r>
          </w:p>
          <w:p w14:paraId="522AF5F1" w14:textId="77777777" w:rsidR="00D654D3" w:rsidRPr="0021652C" w:rsidRDefault="00D654D3"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Reduced main contractor pool who have the ability to deliver single point of responsibility</w:t>
            </w:r>
          </w:p>
          <w:p w14:paraId="552A122A" w14:textId="77777777" w:rsidR="00D654D3" w:rsidRPr="0021652C" w:rsidRDefault="00D654D3" w:rsidP="005E0D57">
            <w:pPr>
              <w:pStyle w:val="ListParagraph"/>
              <w:numPr>
                <w:ilvl w:val="0"/>
                <w:numId w:val="69"/>
              </w:numPr>
              <w:tabs>
                <w:tab w:val="left" w:pos="567"/>
              </w:tabs>
              <w:spacing w:after="0"/>
              <w:ind w:left="600" w:hanging="240"/>
              <w:rPr>
                <w:rFonts w:ascii="Arial" w:eastAsia="Arial" w:hAnsi="Arial" w:cs="Arial"/>
                <w:bCs/>
                <w:color w:val="000000"/>
              </w:rPr>
            </w:pPr>
            <w:r w:rsidRPr="0021652C">
              <w:rPr>
                <w:rFonts w:ascii="Arial" w:eastAsia="Arial" w:hAnsi="Arial" w:cs="Arial"/>
                <w:bCs/>
                <w:color w:val="000000"/>
              </w:rPr>
              <w:t>Reduced client control over design once contractor appointed (can be offset by robustness of Employers Requirements)</w:t>
            </w:r>
          </w:p>
        </w:tc>
      </w:tr>
    </w:tbl>
    <w:p w14:paraId="2564B1C8" w14:textId="77777777" w:rsidR="000D05E5" w:rsidRDefault="000D05E5" w:rsidP="000D05E5">
      <w:pPr>
        <w:tabs>
          <w:tab w:val="left" w:pos="567"/>
        </w:tabs>
        <w:rPr>
          <w:rFonts w:ascii="Arial" w:eastAsia="Arial" w:hAnsi="Arial" w:cs="Arial"/>
          <w:bCs/>
          <w:color w:val="000000"/>
        </w:rPr>
      </w:pPr>
    </w:p>
    <w:p w14:paraId="2304FB4F" w14:textId="77777777" w:rsidR="000D05E5" w:rsidRPr="000D05E5" w:rsidRDefault="000D05E5" w:rsidP="005E0D57">
      <w:pPr>
        <w:pStyle w:val="Heading2"/>
        <w:numPr>
          <w:ilvl w:val="2"/>
          <w:numId w:val="39"/>
        </w:numPr>
        <w:spacing w:after="240"/>
        <w:rPr>
          <w:rFonts w:ascii="Arial" w:eastAsia="Arial" w:hAnsi="Arial" w:cs="Arial"/>
          <w:sz w:val="22"/>
          <w:szCs w:val="22"/>
        </w:rPr>
      </w:pPr>
      <w:bookmarkStart w:id="379" w:name="_Toc27746728"/>
      <w:bookmarkStart w:id="380" w:name="_Toc30168786"/>
      <w:bookmarkStart w:id="381" w:name="_Toc30670734"/>
      <w:bookmarkStart w:id="382" w:name="_Toc32842753"/>
      <w:r w:rsidRPr="000D05E5">
        <w:rPr>
          <w:rFonts w:ascii="Arial" w:eastAsia="Arial" w:hAnsi="Arial" w:cs="Arial"/>
          <w:sz w:val="22"/>
          <w:szCs w:val="22"/>
        </w:rPr>
        <w:t>The preferred procurement route</w:t>
      </w:r>
      <w:bookmarkEnd w:id="379"/>
      <w:bookmarkEnd w:id="380"/>
      <w:bookmarkEnd w:id="381"/>
      <w:bookmarkEnd w:id="382"/>
    </w:p>
    <w:p w14:paraId="1129BB47" w14:textId="77777777" w:rsidR="000D05E5" w:rsidRDefault="000D05E5" w:rsidP="000D05E5">
      <w:pPr>
        <w:tabs>
          <w:tab w:val="left" w:pos="567"/>
        </w:tabs>
        <w:rPr>
          <w:rFonts w:ascii="Arial" w:eastAsia="Arial" w:hAnsi="Arial" w:cs="Arial"/>
          <w:bCs/>
          <w:color w:val="000000"/>
        </w:rPr>
      </w:pPr>
      <w:r>
        <w:rPr>
          <w:rFonts w:ascii="Arial" w:eastAsia="Arial" w:hAnsi="Arial" w:cs="Arial"/>
          <w:bCs/>
          <w:color w:val="000000"/>
        </w:rPr>
        <w:t>By scoring options against success criteria at Workshop 1, with the benefit of G&amp;T’s market knowledge:</w:t>
      </w:r>
    </w:p>
    <w:p w14:paraId="09024167" w14:textId="77777777" w:rsidR="000D05E5" w:rsidRDefault="000D05E5" w:rsidP="005E0D57">
      <w:pPr>
        <w:pStyle w:val="ListParagraph"/>
        <w:numPr>
          <w:ilvl w:val="0"/>
          <w:numId w:val="70"/>
        </w:numPr>
        <w:tabs>
          <w:tab w:val="left" w:pos="709"/>
        </w:tabs>
        <w:rPr>
          <w:rFonts w:ascii="Arial" w:eastAsia="Arial" w:hAnsi="Arial" w:cs="Arial"/>
          <w:bCs/>
          <w:color w:val="000000"/>
        </w:rPr>
      </w:pPr>
      <w:r>
        <w:rPr>
          <w:rFonts w:ascii="Arial" w:eastAsia="Arial" w:hAnsi="Arial" w:cs="Arial"/>
          <w:b/>
          <w:color w:val="000000"/>
        </w:rPr>
        <w:t>Design and build</w:t>
      </w:r>
      <w:r>
        <w:rPr>
          <w:rFonts w:ascii="Arial" w:eastAsia="Arial" w:hAnsi="Arial" w:cs="Arial"/>
          <w:bCs/>
          <w:color w:val="000000"/>
        </w:rPr>
        <w:t xml:space="preserve"> was selected over traditional procurement as it enables transfer of design and construction risk to the same party upon contractor appointment, provides earlier cost certainty, and enables a shorter programme.</w:t>
      </w:r>
    </w:p>
    <w:p w14:paraId="3693BF25" w14:textId="77777777" w:rsidR="000D05E5" w:rsidRDefault="000D05E5" w:rsidP="005E0D57">
      <w:pPr>
        <w:pStyle w:val="ListParagraph"/>
        <w:numPr>
          <w:ilvl w:val="0"/>
          <w:numId w:val="70"/>
        </w:numPr>
        <w:tabs>
          <w:tab w:val="left" w:pos="709"/>
        </w:tabs>
        <w:rPr>
          <w:rFonts w:ascii="Arial" w:eastAsia="Arial" w:hAnsi="Arial" w:cs="Arial"/>
          <w:bCs/>
          <w:color w:val="000000"/>
        </w:rPr>
      </w:pPr>
      <w:r w:rsidRPr="003128F4">
        <w:rPr>
          <w:rFonts w:ascii="Arial" w:eastAsia="Arial" w:hAnsi="Arial" w:cs="Arial"/>
          <w:b/>
          <w:color w:val="000000"/>
        </w:rPr>
        <w:t xml:space="preserve">Two-stage </w:t>
      </w:r>
      <w:r w:rsidRPr="003128F4">
        <w:rPr>
          <w:rFonts w:ascii="Arial" w:eastAsia="Arial" w:hAnsi="Arial" w:cs="Arial"/>
          <w:bCs/>
          <w:color w:val="000000"/>
        </w:rPr>
        <w:t>procurement was selected over single-stage as is anticipated, given the size and value, that main contractors will only consider a two stage tender</w:t>
      </w:r>
      <w:r>
        <w:rPr>
          <w:rFonts w:ascii="Arial" w:eastAsia="Arial" w:hAnsi="Arial" w:cs="Arial"/>
          <w:bCs/>
          <w:color w:val="000000"/>
        </w:rPr>
        <w:t xml:space="preserve"> </w:t>
      </w:r>
      <w:r w:rsidRPr="003128F4">
        <w:rPr>
          <w:rFonts w:ascii="Arial" w:eastAsia="Arial" w:hAnsi="Arial" w:cs="Arial"/>
          <w:bCs/>
          <w:color w:val="000000"/>
        </w:rPr>
        <w:t>route</w:t>
      </w:r>
      <w:r>
        <w:rPr>
          <w:rFonts w:ascii="Arial" w:eastAsia="Arial" w:hAnsi="Arial" w:cs="Arial"/>
          <w:bCs/>
          <w:color w:val="000000"/>
        </w:rPr>
        <w:t>. This has been confirmed through market feedback. In addition, this will encourage increased competition, transparency and innovation.</w:t>
      </w:r>
    </w:p>
    <w:p w14:paraId="5D18C728" w14:textId="77777777" w:rsidR="000D05E5" w:rsidRDefault="000D05E5" w:rsidP="005E0D57">
      <w:pPr>
        <w:pStyle w:val="ListParagraph"/>
        <w:numPr>
          <w:ilvl w:val="0"/>
          <w:numId w:val="70"/>
        </w:numPr>
        <w:tabs>
          <w:tab w:val="left" w:pos="709"/>
        </w:tabs>
        <w:rPr>
          <w:rFonts w:ascii="Arial" w:eastAsia="Arial" w:hAnsi="Arial" w:cs="Arial"/>
          <w:bCs/>
          <w:color w:val="000000"/>
        </w:rPr>
      </w:pPr>
      <w:r>
        <w:rPr>
          <w:rFonts w:ascii="Arial" w:eastAsia="Arial" w:hAnsi="Arial" w:cs="Arial"/>
          <w:b/>
          <w:color w:val="000000"/>
        </w:rPr>
        <w:t>Official Journal of the European Union (OJEU)</w:t>
      </w:r>
      <w:r>
        <w:rPr>
          <w:rFonts w:ascii="Arial" w:eastAsia="Arial" w:hAnsi="Arial" w:cs="Arial"/>
          <w:bCs/>
          <w:color w:val="000000"/>
        </w:rPr>
        <w:t xml:space="preserve"> has been selected over a framework route to allow full competition of the market place.</w:t>
      </w:r>
    </w:p>
    <w:p w14:paraId="1A9D25C5" w14:textId="77777777" w:rsidR="00D654D3" w:rsidRDefault="00D654D3" w:rsidP="000D05E5">
      <w:pPr>
        <w:tabs>
          <w:tab w:val="left" w:pos="567"/>
        </w:tabs>
        <w:rPr>
          <w:rFonts w:ascii="Arial" w:eastAsia="Arial" w:hAnsi="Arial" w:cs="Arial"/>
          <w:bCs/>
          <w:color w:val="000000"/>
        </w:rPr>
      </w:pPr>
      <w:r w:rsidRPr="00D654D3">
        <w:rPr>
          <w:rFonts w:ascii="Arial" w:eastAsia="Arial" w:hAnsi="Arial" w:cs="Arial"/>
          <w:bCs/>
          <w:color w:val="000000"/>
        </w:rPr>
        <w:t xml:space="preserve">The second stage competitive dialogue will be based upon RIBA Stage 3 design. During the second stage, the two shortlisted main contractors will re-assess Stage 3 design and develop the design (RIBA Stage 4) where necessary to re-risk and offer a final price for </w:t>
      </w:r>
      <w:r w:rsidRPr="00D654D3">
        <w:rPr>
          <w:rFonts w:ascii="Arial" w:eastAsia="Arial" w:hAnsi="Arial" w:cs="Arial"/>
          <w:bCs/>
          <w:color w:val="000000"/>
        </w:rPr>
        <w:lastRenderedPageBreak/>
        <w:t>assessment and recommendation. This is considered to offer the best value for money, and ensure interest from the market.</w:t>
      </w:r>
    </w:p>
    <w:p w14:paraId="19BEC10C" w14:textId="77777777" w:rsidR="000D05E5" w:rsidRDefault="000D05E5" w:rsidP="000D05E5">
      <w:pPr>
        <w:tabs>
          <w:tab w:val="left" w:pos="709"/>
        </w:tabs>
        <w:rPr>
          <w:rFonts w:ascii="Arial" w:eastAsia="Arial" w:hAnsi="Arial" w:cs="Arial"/>
          <w:bCs/>
          <w:color w:val="000000"/>
        </w:rPr>
      </w:pPr>
      <w:r>
        <w:rPr>
          <w:rFonts w:ascii="Arial" w:eastAsia="Arial" w:hAnsi="Arial" w:cs="Arial"/>
          <w:bCs/>
          <w:color w:val="000000"/>
        </w:rPr>
        <w:t xml:space="preserve">The </w:t>
      </w:r>
      <w:r>
        <w:rPr>
          <w:rFonts w:ascii="Arial" w:eastAsia="Arial" w:hAnsi="Arial" w:cs="Arial"/>
          <w:b/>
          <w:color w:val="000000"/>
        </w:rPr>
        <w:t>benefits</w:t>
      </w:r>
      <w:r>
        <w:rPr>
          <w:rFonts w:ascii="Arial" w:eastAsia="Arial" w:hAnsi="Arial" w:cs="Arial"/>
          <w:bCs/>
          <w:color w:val="000000"/>
        </w:rPr>
        <w:t xml:space="preserve"> of this approach are:</w:t>
      </w:r>
    </w:p>
    <w:p w14:paraId="4600B1F7" w14:textId="77777777" w:rsidR="000D05E5" w:rsidRPr="003128F4" w:rsidRDefault="000D05E5" w:rsidP="005E0D57">
      <w:pPr>
        <w:pStyle w:val="ListParagraph"/>
        <w:numPr>
          <w:ilvl w:val="0"/>
          <w:numId w:val="70"/>
        </w:numPr>
        <w:tabs>
          <w:tab w:val="left" w:pos="709"/>
        </w:tabs>
        <w:rPr>
          <w:rFonts w:ascii="Arial" w:eastAsia="Arial" w:hAnsi="Arial" w:cs="Arial"/>
          <w:bCs/>
          <w:color w:val="000000"/>
        </w:rPr>
      </w:pPr>
      <w:r w:rsidRPr="003128F4">
        <w:rPr>
          <w:rFonts w:ascii="Arial" w:eastAsia="Arial" w:hAnsi="Arial" w:cs="Arial"/>
          <w:bCs/>
          <w:color w:val="000000"/>
        </w:rPr>
        <w:t>An OJEU tender would allow full competition of the market place</w:t>
      </w:r>
      <w:r>
        <w:rPr>
          <w:rFonts w:ascii="Arial" w:eastAsia="Arial" w:hAnsi="Arial" w:cs="Arial"/>
          <w:bCs/>
          <w:color w:val="000000"/>
        </w:rPr>
        <w:t xml:space="preserve">, </w:t>
      </w:r>
      <w:r w:rsidRPr="000D05E5">
        <w:rPr>
          <w:rFonts w:ascii="Arial" w:eastAsia="Arial" w:hAnsi="Arial" w:cs="Arial"/>
          <w:bCs/>
          <w:color w:val="000000"/>
        </w:rPr>
        <w:t>including to those larger contractors who have an excellent track record in delivering bespoke world-class health and research facilities.</w:t>
      </w:r>
    </w:p>
    <w:p w14:paraId="23B82AF2" w14:textId="77777777" w:rsidR="000D05E5" w:rsidRPr="003128F4" w:rsidRDefault="000D05E5" w:rsidP="005E0D57">
      <w:pPr>
        <w:pStyle w:val="ListParagraph"/>
        <w:numPr>
          <w:ilvl w:val="0"/>
          <w:numId w:val="70"/>
        </w:numPr>
        <w:tabs>
          <w:tab w:val="left" w:pos="709"/>
        </w:tabs>
        <w:rPr>
          <w:rFonts w:ascii="Arial" w:eastAsia="Arial" w:hAnsi="Arial" w:cs="Arial"/>
          <w:bCs/>
          <w:color w:val="000000"/>
        </w:rPr>
      </w:pPr>
      <w:r w:rsidRPr="003128F4">
        <w:rPr>
          <w:rFonts w:ascii="Arial" w:eastAsia="Arial" w:hAnsi="Arial" w:cs="Arial"/>
          <w:bCs/>
          <w:color w:val="000000"/>
        </w:rPr>
        <w:t>Main contractor market will unlikely respond to a single stage tender</w:t>
      </w:r>
      <w:r>
        <w:rPr>
          <w:rFonts w:ascii="Arial" w:eastAsia="Arial" w:hAnsi="Arial" w:cs="Arial"/>
          <w:bCs/>
          <w:color w:val="000000"/>
        </w:rPr>
        <w:t>.</w:t>
      </w:r>
    </w:p>
    <w:p w14:paraId="39778FCE" w14:textId="77777777" w:rsidR="00AB76DC" w:rsidRPr="003128F4" w:rsidRDefault="00AB76DC" w:rsidP="005E0D57">
      <w:pPr>
        <w:pStyle w:val="ListParagraph"/>
        <w:numPr>
          <w:ilvl w:val="0"/>
          <w:numId w:val="70"/>
        </w:numPr>
        <w:tabs>
          <w:tab w:val="left" w:pos="709"/>
        </w:tabs>
        <w:rPr>
          <w:rFonts w:ascii="Arial" w:eastAsia="Arial" w:hAnsi="Arial" w:cs="Arial"/>
          <w:bCs/>
          <w:color w:val="000000"/>
        </w:rPr>
      </w:pPr>
      <w:r>
        <w:rPr>
          <w:rFonts w:ascii="Arial" w:eastAsia="Arial" w:hAnsi="Arial" w:cs="Arial"/>
          <w:bCs/>
          <w:color w:val="000000"/>
        </w:rPr>
        <w:t xml:space="preserve">Avoids </w:t>
      </w:r>
      <w:r w:rsidRPr="003128F4">
        <w:rPr>
          <w:rFonts w:ascii="Arial" w:eastAsia="Arial" w:hAnsi="Arial" w:cs="Arial"/>
          <w:bCs/>
          <w:color w:val="000000"/>
        </w:rPr>
        <w:t xml:space="preserve">reduced competition / transparency </w:t>
      </w:r>
      <w:r>
        <w:rPr>
          <w:rFonts w:ascii="Arial" w:eastAsia="Arial" w:hAnsi="Arial" w:cs="Arial"/>
          <w:bCs/>
          <w:color w:val="000000"/>
        </w:rPr>
        <w:t xml:space="preserve">which results from </w:t>
      </w:r>
      <w:r w:rsidRPr="003128F4">
        <w:rPr>
          <w:rFonts w:ascii="Arial" w:eastAsia="Arial" w:hAnsi="Arial" w:cs="Arial"/>
          <w:bCs/>
          <w:color w:val="000000"/>
        </w:rPr>
        <w:t>selection of a single main</w:t>
      </w:r>
      <w:r>
        <w:rPr>
          <w:rFonts w:ascii="Arial" w:eastAsia="Arial" w:hAnsi="Arial" w:cs="Arial"/>
          <w:bCs/>
          <w:color w:val="000000"/>
        </w:rPr>
        <w:t xml:space="preserve"> </w:t>
      </w:r>
      <w:r w:rsidRPr="003128F4">
        <w:rPr>
          <w:rFonts w:ascii="Arial" w:eastAsia="Arial" w:hAnsi="Arial" w:cs="Arial"/>
          <w:bCs/>
          <w:color w:val="000000"/>
        </w:rPr>
        <w:t>contractor on a two stage tendering basis</w:t>
      </w:r>
      <w:r>
        <w:rPr>
          <w:rFonts w:ascii="Arial" w:eastAsia="Arial" w:hAnsi="Arial" w:cs="Arial"/>
          <w:bCs/>
          <w:color w:val="000000"/>
        </w:rPr>
        <w:t>.</w:t>
      </w:r>
    </w:p>
    <w:p w14:paraId="1D29D4F6" w14:textId="77777777" w:rsidR="000D05E5" w:rsidRPr="003128F4" w:rsidRDefault="000D05E5" w:rsidP="005E0D57">
      <w:pPr>
        <w:pStyle w:val="ListParagraph"/>
        <w:numPr>
          <w:ilvl w:val="0"/>
          <w:numId w:val="70"/>
        </w:numPr>
        <w:tabs>
          <w:tab w:val="left" w:pos="709"/>
        </w:tabs>
        <w:rPr>
          <w:rFonts w:ascii="Arial" w:eastAsia="Arial" w:hAnsi="Arial" w:cs="Arial"/>
          <w:bCs/>
          <w:color w:val="000000"/>
        </w:rPr>
      </w:pPr>
      <w:r w:rsidRPr="003128F4">
        <w:rPr>
          <w:rFonts w:ascii="Arial" w:eastAsia="Arial" w:hAnsi="Arial" w:cs="Arial"/>
          <w:bCs/>
          <w:color w:val="000000"/>
        </w:rPr>
        <w:t>The proposed procurement route seeks to retain competition until a fixed price is agreed</w:t>
      </w:r>
      <w:r>
        <w:rPr>
          <w:rFonts w:ascii="Arial" w:eastAsia="Arial" w:hAnsi="Arial" w:cs="Arial"/>
          <w:bCs/>
          <w:color w:val="000000"/>
        </w:rPr>
        <w:t>.</w:t>
      </w:r>
    </w:p>
    <w:p w14:paraId="68DBB19D" w14:textId="77777777" w:rsidR="000D05E5" w:rsidRPr="003128F4" w:rsidRDefault="000D05E5" w:rsidP="005E0D57">
      <w:pPr>
        <w:pStyle w:val="ListParagraph"/>
        <w:numPr>
          <w:ilvl w:val="0"/>
          <w:numId w:val="70"/>
        </w:numPr>
        <w:tabs>
          <w:tab w:val="left" w:pos="709"/>
        </w:tabs>
        <w:rPr>
          <w:rFonts w:ascii="Arial" w:eastAsia="Arial" w:hAnsi="Arial" w:cs="Arial"/>
          <w:bCs/>
          <w:color w:val="000000"/>
        </w:rPr>
      </w:pPr>
      <w:r w:rsidRPr="003128F4">
        <w:rPr>
          <w:rFonts w:ascii="Arial" w:eastAsia="Arial" w:hAnsi="Arial" w:cs="Arial"/>
          <w:bCs/>
          <w:color w:val="000000"/>
        </w:rPr>
        <w:t>More than one main contractor tendering, on a two stage tender basis, will likely be seeking payment if not selected. It is expected that this payment will contribute towards the significant bidding costs incurred by the tendering contractors, including those of third parties, but saved in the competitive prices offered. This proposal is supported by</w:t>
      </w:r>
      <w:r>
        <w:rPr>
          <w:rFonts w:ascii="Arial" w:eastAsia="Arial" w:hAnsi="Arial" w:cs="Arial"/>
          <w:bCs/>
          <w:color w:val="000000"/>
        </w:rPr>
        <w:t xml:space="preserve"> </w:t>
      </w:r>
      <w:r w:rsidRPr="003128F4">
        <w:rPr>
          <w:rFonts w:ascii="Arial" w:eastAsia="Arial" w:hAnsi="Arial" w:cs="Arial"/>
          <w:bCs/>
          <w:color w:val="000000"/>
        </w:rPr>
        <w:t>Moorfields Eye Hospital and the partners of Oriel</w:t>
      </w:r>
      <w:r>
        <w:rPr>
          <w:rFonts w:ascii="Arial" w:eastAsia="Arial" w:hAnsi="Arial" w:cs="Arial"/>
          <w:bCs/>
          <w:color w:val="000000"/>
        </w:rPr>
        <w:t>.</w:t>
      </w:r>
    </w:p>
    <w:p w14:paraId="4F39C27B" w14:textId="77777777" w:rsidR="000D05E5" w:rsidRPr="003128F4" w:rsidRDefault="000D05E5" w:rsidP="005E0D57">
      <w:pPr>
        <w:pStyle w:val="ListParagraph"/>
        <w:numPr>
          <w:ilvl w:val="0"/>
          <w:numId w:val="70"/>
        </w:numPr>
        <w:tabs>
          <w:tab w:val="left" w:pos="709"/>
        </w:tabs>
        <w:rPr>
          <w:rFonts w:ascii="Arial" w:eastAsia="Arial" w:hAnsi="Arial" w:cs="Arial"/>
          <w:bCs/>
          <w:color w:val="000000"/>
        </w:rPr>
      </w:pPr>
      <w:r w:rsidRPr="003128F4">
        <w:rPr>
          <w:rFonts w:ascii="Arial" w:eastAsia="Arial" w:hAnsi="Arial" w:cs="Arial"/>
          <w:bCs/>
          <w:color w:val="000000"/>
        </w:rPr>
        <w:t>The programme allows the main contractors time to consider and integrate innovation / off</w:t>
      </w:r>
      <w:r>
        <w:rPr>
          <w:rFonts w:ascii="Arial" w:eastAsia="Arial" w:hAnsi="Arial" w:cs="Arial"/>
          <w:bCs/>
          <w:color w:val="000000"/>
        </w:rPr>
        <w:t xml:space="preserve"> </w:t>
      </w:r>
      <w:r w:rsidRPr="003128F4">
        <w:rPr>
          <w:rFonts w:ascii="Arial" w:eastAsia="Arial" w:hAnsi="Arial" w:cs="Arial"/>
          <w:bCs/>
          <w:color w:val="000000"/>
        </w:rPr>
        <w:t>site fabrication in the design</w:t>
      </w:r>
      <w:r>
        <w:rPr>
          <w:rFonts w:ascii="Arial" w:eastAsia="Arial" w:hAnsi="Arial" w:cs="Arial"/>
          <w:bCs/>
          <w:color w:val="000000"/>
        </w:rPr>
        <w:t>.</w:t>
      </w:r>
    </w:p>
    <w:p w14:paraId="75E6B87B" w14:textId="77777777" w:rsidR="000D05E5" w:rsidRDefault="000D05E5" w:rsidP="005E0D57">
      <w:pPr>
        <w:pStyle w:val="ListParagraph"/>
        <w:numPr>
          <w:ilvl w:val="0"/>
          <w:numId w:val="70"/>
        </w:numPr>
        <w:tabs>
          <w:tab w:val="left" w:pos="709"/>
        </w:tabs>
        <w:rPr>
          <w:rFonts w:ascii="Arial" w:eastAsia="Arial" w:hAnsi="Arial" w:cs="Arial"/>
          <w:bCs/>
          <w:color w:val="000000"/>
        </w:rPr>
      </w:pPr>
      <w:r w:rsidRPr="003128F4">
        <w:rPr>
          <w:rFonts w:ascii="Arial" w:eastAsia="Arial" w:hAnsi="Arial" w:cs="Arial"/>
          <w:bCs/>
          <w:color w:val="000000"/>
        </w:rPr>
        <w:t>It places progression of detail design with those responsible for delivery</w:t>
      </w:r>
      <w:r w:rsidR="00A27A7D">
        <w:rPr>
          <w:rFonts w:ascii="Arial" w:eastAsia="Arial" w:hAnsi="Arial" w:cs="Arial"/>
          <w:bCs/>
          <w:color w:val="000000"/>
        </w:rPr>
        <w:t xml:space="preserve"> </w:t>
      </w:r>
      <w:r w:rsidR="00A27A7D" w:rsidRPr="00A27A7D">
        <w:rPr>
          <w:rFonts w:ascii="Arial" w:eastAsia="Arial" w:hAnsi="Arial" w:cs="Arial"/>
          <w:bCs/>
          <w:color w:val="000000"/>
        </w:rPr>
        <w:t>and by doing so considers the buildability of the final design</w:t>
      </w:r>
      <w:r w:rsidRPr="003128F4">
        <w:rPr>
          <w:rFonts w:ascii="Arial" w:eastAsia="Arial" w:hAnsi="Arial" w:cs="Arial"/>
          <w:bCs/>
          <w:color w:val="000000"/>
        </w:rPr>
        <w:t>.</w:t>
      </w:r>
    </w:p>
    <w:p w14:paraId="2F4031AF" w14:textId="77777777" w:rsidR="00A27A7D" w:rsidRPr="00A27A7D" w:rsidRDefault="00A27A7D" w:rsidP="005E0D57">
      <w:pPr>
        <w:pStyle w:val="ListParagraph"/>
        <w:numPr>
          <w:ilvl w:val="0"/>
          <w:numId w:val="70"/>
        </w:numPr>
        <w:tabs>
          <w:tab w:val="left" w:pos="709"/>
        </w:tabs>
        <w:rPr>
          <w:rFonts w:ascii="Arial" w:eastAsia="Arial" w:hAnsi="Arial" w:cs="Arial"/>
          <w:bCs/>
          <w:color w:val="000000"/>
        </w:rPr>
      </w:pPr>
      <w:r w:rsidRPr="00A27A7D">
        <w:rPr>
          <w:rFonts w:ascii="Arial" w:eastAsia="Arial" w:hAnsi="Arial" w:cs="Arial"/>
          <w:bCs/>
          <w:color w:val="000000"/>
        </w:rPr>
        <w:t>It enables the trust and partners to ensure the digital strategy is fully understood by bidders, and forms an integral part of the design approach. It is essential that Oriel is designed for digital at every stage of its development.</w:t>
      </w:r>
    </w:p>
    <w:p w14:paraId="4CBEC8BC" w14:textId="77777777" w:rsidR="000D05E5" w:rsidRPr="003128F4" w:rsidRDefault="000D05E5" w:rsidP="005E0D57">
      <w:pPr>
        <w:pStyle w:val="ListParagraph"/>
        <w:numPr>
          <w:ilvl w:val="0"/>
          <w:numId w:val="70"/>
        </w:numPr>
        <w:tabs>
          <w:tab w:val="left" w:pos="709"/>
        </w:tabs>
        <w:rPr>
          <w:rFonts w:ascii="Arial" w:eastAsia="Arial" w:hAnsi="Arial" w:cs="Arial"/>
          <w:bCs/>
          <w:color w:val="000000"/>
        </w:rPr>
      </w:pPr>
      <w:r w:rsidRPr="003128F4">
        <w:rPr>
          <w:rFonts w:ascii="Arial" w:eastAsia="Arial" w:hAnsi="Arial" w:cs="Arial"/>
          <w:bCs/>
          <w:color w:val="000000"/>
        </w:rPr>
        <w:t>Current client side design team could be appointed on a monitoring role basis</w:t>
      </w:r>
      <w:r>
        <w:rPr>
          <w:rFonts w:ascii="Arial" w:eastAsia="Arial" w:hAnsi="Arial" w:cs="Arial"/>
          <w:bCs/>
          <w:color w:val="000000"/>
        </w:rPr>
        <w:t>.</w:t>
      </w:r>
    </w:p>
    <w:p w14:paraId="4E27BD0C" w14:textId="77777777" w:rsidR="000D05E5" w:rsidRPr="003128F4" w:rsidRDefault="000D05E5" w:rsidP="005E0D57">
      <w:pPr>
        <w:pStyle w:val="ListParagraph"/>
        <w:numPr>
          <w:ilvl w:val="0"/>
          <w:numId w:val="70"/>
        </w:numPr>
        <w:tabs>
          <w:tab w:val="left" w:pos="709"/>
        </w:tabs>
        <w:rPr>
          <w:rFonts w:ascii="Arial" w:eastAsia="Arial" w:hAnsi="Arial" w:cs="Arial"/>
          <w:bCs/>
          <w:color w:val="000000"/>
        </w:rPr>
      </w:pPr>
      <w:r w:rsidRPr="003128F4">
        <w:rPr>
          <w:rFonts w:ascii="Arial" w:eastAsia="Arial" w:hAnsi="Arial" w:cs="Arial"/>
          <w:bCs/>
          <w:color w:val="000000"/>
        </w:rPr>
        <w:t>FBC submission will be based on the agreed Contract Sum for the Main</w:t>
      </w:r>
      <w:r>
        <w:rPr>
          <w:rFonts w:ascii="Arial" w:eastAsia="Arial" w:hAnsi="Arial" w:cs="Arial"/>
          <w:bCs/>
          <w:color w:val="000000"/>
        </w:rPr>
        <w:t xml:space="preserve"> </w:t>
      </w:r>
      <w:r w:rsidRPr="003128F4">
        <w:rPr>
          <w:rFonts w:ascii="Arial" w:eastAsia="Arial" w:hAnsi="Arial" w:cs="Arial"/>
          <w:bCs/>
          <w:color w:val="000000"/>
        </w:rPr>
        <w:t>Contract and Enabling works</w:t>
      </w:r>
      <w:r>
        <w:rPr>
          <w:rFonts w:ascii="Arial" w:eastAsia="Arial" w:hAnsi="Arial" w:cs="Arial"/>
          <w:bCs/>
          <w:color w:val="000000"/>
        </w:rPr>
        <w:t>.</w:t>
      </w:r>
    </w:p>
    <w:p w14:paraId="658C4CA6" w14:textId="77777777" w:rsidR="000D05E5" w:rsidRPr="003128F4" w:rsidRDefault="000D05E5" w:rsidP="005E0D57">
      <w:pPr>
        <w:pStyle w:val="ListParagraph"/>
        <w:numPr>
          <w:ilvl w:val="0"/>
          <w:numId w:val="70"/>
        </w:numPr>
        <w:tabs>
          <w:tab w:val="left" w:pos="709"/>
        </w:tabs>
        <w:rPr>
          <w:rFonts w:ascii="Arial" w:eastAsia="Arial" w:hAnsi="Arial" w:cs="Arial"/>
          <w:bCs/>
          <w:color w:val="000000"/>
        </w:rPr>
      </w:pPr>
      <w:r w:rsidRPr="003128F4">
        <w:rPr>
          <w:rFonts w:ascii="Arial" w:eastAsia="Arial" w:hAnsi="Arial" w:cs="Arial"/>
          <w:bCs/>
          <w:color w:val="000000"/>
        </w:rPr>
        <w:t>Control of the programme up to contractual award, due to retained competition during</w:t>
      </w:r>
      <w:r>
        <w:rPr>
          <w:rFonts w:ascii="Arial" w:eastAsia="Arial" w:hAnsi="Arial" w:cs="Arial"/>
          <w:bCs/>
          <w:color w:val="000000"/>
        </w:rPr>
        <w:t xml:space="preserve"> </w:t>
      </w:r>
      <w:r w:rsidRPr="003128F4">
        <w:rPr>
          <w:rFonts w:ascii="Arial" w:eastAsia="Arial" w:hAnsi="Arial" w:cs="Arial"/>
          <w:bCs/>
          <w:color w:val="000000"/>
        </w:rPr>
        <w:t xml:space="preserve">second stage process, is maintained by the </w:t>
      </w:r>
      <w:r>
        <w:rPr>
          <w:rFonts w:ascii="Arial" w:eastAsia="Arial" w:hAnsi="Arial" w:cs="Arial"/>
          <w:bCs/>
          <w:color w:val="000000"/>
        </w:rPr>
        <w:t>partners.</w:t>
      </w:r>
    </w:p>
    <w:p w14:paraId="52656D98" w14:textId="77777777" w:rsidR="000D05E5" w:rsidRPr="000D05E5" w:rsidRDefault="000D05E5" w:rsidP="005E0D57">
      <w:pPr>
        <w:pStyle w:val="Heading2"/>
        <w:numPr>
          <w:ilvl w:val="2"/>
          <w:numId w:val="39"/>
        </w:numPr>
        <w:spacing w:after="240"/>
        <w:rPr>
          <w:rFonts w:ascii="Arial" w:eastAsia="Arial" w:hAnsi="Arial" w:cs="Arial"/>
          <w:sz w:val="22"/>
          <w:szCs w:val="22"/>
        </w:rPr>
      </w:pPr>
      <w:bookmarkStart w:id="383" w:name="_Toc27746729"/>
      <w:bookmarkStart w:id="384" w:name="_Toc30168787"/>
      <w:bookmarkStart w:id="385" w:name="_Toc30670735"/>
      <w:bookmarkStart w:id="386" w:name="_Toc32842754"/>
      <w:r w:rsidRPr="000D05E5">
        <w:rPr>
          <w:rFonts w:ascii="Arial" w:eastAsia="Arial" w:hAnsi="Arial" w:cs="Arial"/>
          <w:sz w:val="22"/>
          <w:szCs w:val="22"/>
        </w:rPr>
        <w:t>Consideration of the P22 framework</w:t>
      </w:r>
      <w:bookmarkEnd w:id="383"/>
      <w:bookmarkEnd w:id="384"/>
      <w:bookmarkEnd w:id="385"/>
      <w:bookmarkEnd w:id="386"/>
    </w:p>
    <w:p w14:paraId="182A52A3" w14:textId="7E031E3F" w:rsidR="000D05E5" w:rsidRDefault="000D05E5" w:rsidP="000D05E5">
      <w:pPr>
        <w:tabs>
          <w:tab w:val="left" w:pos="709"/>
        </w:tabs>
        <w:rPr>
          <w:rFonts w:ascii="Arial" w:eastAsia="Arial" w:hAnsi="Arial" w:cs="Arial"/>
          <w:bCs/>
          <w:color w:val="000000"/>
        </w:rPr>
      </w:pPr>
      <w:r>
        <w:rPr>
          <w:rFonts w:ascii="Arial" w:eastAsia="Arial" w:hAnsi="Arial" w:cs="Arial"/>
          <w:bCs/>
          <w:color w:val="000000"/>
        </w:rPr>
        <w:t xml:space="preserve">The </w:t>
      </w:r>
      <w:r w:rsidR="00A27A7D">
        <w:rPr>
          <w:rFonts w:ascii="Arial" w:eastAsia="Arial" w:hAnsi="Arial" w:cs="Arial"/>
          <w:bCs/>
          <w:color w:val="000000"/>
        </w:rPr>
        <w:t>ProCure (</w:t>
      </w:r>
      <w:r>
        <w:rPr>
          <w:rFonts w:ascii="Arial" w:eastAsia="Arial" w:hAnsi="Arial" w:cs="Arial"/>
          <w:bCs/>
          <w:color w:val="000000"/>
        </w:rPr>
        <w:t>P22</w:t>
      </w:r>
      <w:r w:rsidR="00A27A7D">
        <w:rPr>
          <w:rFonts w:ascii="Arial" w:eastAsia="Arial" w:hAnsi="Arial" w:cs="Arial"/>
          <w:bCs/>
          <w:color w:val="000000"/>
        </w:rPr>
        <w:t>)</w:t>
      </w:r>
      <w:r>
        <w:rPr>
          <w:rFonts w:ascii="Arial" w:eastAsia="Arial" w:hAnsi="Arial" w:cs="Arial"/>
          <w:bCs/>
          <w:color w:val="000000"/>
        </w:rPr>
        <w:t xml:space="preserve"> framework is a </w:t>
      </w:r>
      <w:r w:rsidRPr="00003D59">
        <w:rPr>
          <w:rFonts w:ascii="Arial" w:eastAsia="Arial" w:hAnsi="Arial" w:cs="Arial"/>
          <w:bCs/>
          <w:color w:val="000000"/>
        </w:rPr>
        <w:t xml:space="preserve">Construction Procurement Framework administrated by </w:t>
      </w:r>
      <w:r>
        <w:rPr>
          <w:rFonts w:ascii="Arial" w:eastAsia="Arial" w:hAnsi="Arial" w:cs="Arial"/>
          <w:bCs/>
          <w:color w:val="000000"/>
        </w:rPr>
        <w:t xml:space="preserve">DHSC </w:t>
      </w:r>
      <w:r w:rsidRPr="00003D59">
        <w:rPr>
          <w:rFonts w:ascii="Arial" w:eastAsia="Arial" w:hAnsi="Arial" w:cs="Arial"/>
          <w:bCs/>
          <w:color w:val="000000"/>
        </w:rPr>
        <w:t>for the development and delivery of NHS and Social Care capital schemes in England</w:t>
      </w:r>
      <w:r>
        <w:rPr>
          <w:rFonts w:ascii="Arial" w:eastAsia="Arial" w:hAnsi="Arial" w:cs="Arial"/>
          <w:bCs/>
          <w:color w:val="000000"/>
        </w:rPr>
        <w:t>. It is due to be re-procured in 2020 – this successor framework will be called ‘P2020’.</w:t>
      </w:r>
    </w:p>
    <w:p w14:paraId="2AB0F8B4" w14:textId="77777777" w:rsidR="000D05E5" w:rsidRPr="003128F4" w:rsidRDefault="000D05E5" w:rsidP="000D05E5">
      <w:pPr>
        <w:tabs>
          <w:tab w:val="left" w:pos="709"/>
        </w:tabs>
        <w:rPr>
          <w:rFonts w:ascii="Arial" w:eastAsia="Arial" w:hAnsi="Arial" w:cs="Arial"/>
          <w:bCs/>
          <w:color w:val="000000"/>
        </w:rPr>
      </w:pPr>
      <w:r>
        <w:rPr>
          <w:rFonts w:ascii="Arial" w:eastAsia="Arial" w:hAnsi="Arial" w:cs="Arial"/>
          <w:bCs/>
          <w:color w:val="000000"/>
        </w:rPr>
        <w:t xml:space="preserve">Use of the </w:t>
      </w:r>
      <w:r w:rsidR="00A27A7D">
        <w:rPr>
          <w:rFonts w:ascii="Arial" w:eastAsia="Arial" w:hAnsi="Arial" w:cs="Arial"/>
          <w:bCs/>
          <w:color w:val="000000"/>
        </w:rPr>
        <w:t>P22</w:t>
      </w:r>
      <w:r>
        <w:rPr>
          <w:rFonts w:ascii="Arial" w:eastAsia="Arial" w:hAnsi="Arial" w:cs="Arial"/>
          <w:bCs/>
          <w:color w:val="000000"/>
        </w:rPr>
        <w:t xml:space="preserve"> f</w:t>
      </w:r>
      <w:r w:rsidRPr="003128F4">
        <w:rPr>
          <w:rFonts w:ascii="Arial" w:eastAsia="Arial" w:hAnsi="Arial" w:cs="Arial"/>
          <w:bCs/>
          <w:color w:val="000000"/>
        </w:rPr>
        <w:t>ramework was evaluated as part of the option assessment during the procurement workshops.</w:t>
      </w:r>
      <w:r>
        <w:rPr>
          <w:rFonts w:ascii="Arial" w:eastAsia="Arial" w:hAnsi="Arial" w:cs="Arial"/>
          <w:bCs/>
          <w:color w:val="000000"/>
        </w:rPr>
        <w:t xml:space="preserve"> </w:t>
      </w:r>
      <w:r w:rsidRPr="003128F4">
        <w:rPr>
          <w:rFonts w:ascii="Arial" w:eastAsia="Arial" w:hAnsi="Arial" w:cs="Arial"/>
          <w:bCs/>
          <w:color w:val="000000"/>
        </w:rPr>
        <w:t>Although P2</w:t>
      </w:r>
      <w:r>
        <w:rPr>
          <w:rFonts w:ascii="Arial" w:eastAsia="Arial" w:hAnsi="Arial" w:cs="Arial"/>
          <w:bCs/>
          <w:color w:val="000000"/>
        </w:rPr>
        <w:t>0</w:t>
      </w:r>
      <w:r w:rsidRPr="003128F4">
        <w:rPr>
          <w:rFonts w:ascii="Arial" w:eastAsia="Arial" w:hAnsi="Arial" w:cs="Arial"/>
          <w:bCs/>
          <w:color w:val="000000"/>
        </w:rPr>
        <w:t>2</w:t>
      </w:r>
      <w:r>
        <w:rPr>
          <w:rFonts w:ascii="Arial" w:eastAsia="Arial" w:hAnsi="Arial" w:cs="Arial"/>
          <w:bCs/>
          <w:color w:val="000000"/>
        </w:rPr>
        <w:t>0</w:t>
      </w:r>
      <w:r w:rsidRPr="003128F4">
        <w:rPr>
          <w:rFonts w:ascii="Arial" w:eastAsia="Arial" w:hAnsi="Arial" w:cs="Arial"/>
          <w:bCs/>
          <w:color w:val="000000"/>
        </w:rPr>
        <w:t xml:space="preserve"> is based upon a two stage design and build strategy, there are differences </w:t>
      </w:r>
      <w:r>
        <w:rPr>
          <w:rFonts w:ascii="Arial" w:eastAsia="Arial" w:hAnsi="Arial" w:cs="Arial"/>
          <w:bCs/>
          <w:color w:val="000000"/>
        </w:rPr>
        <w:t>between this and the preferred option which have resulted in it being discounted. These include:</w:t>
      </w:r>
    </w:p>
    <w:p w14:paraId="6241E1C9" w14:textId="77777777" w:rsidR="000D05E5" w:rsidRPr="003128F4" w:rsidRDefault="000D05E5" w:rsidP="005E0D57">
      <w:pPr>
        <w:pStyle w:val="ListParagraph"/>
        <w:numPr>
          <w:ilvl w:val="0"/>
          <w:numId w:val="70"/>
        </w:numPr>
        <w:tabs>
          <w:tab w:val="left" w:pos="709"/>
        </w:tabs>
        <w:rPr>
          <w:rFonts w:ascii="Arial" w:eastAsia="Arial" w:hAnsi="Arial" w:cs="Arial"/>
          <w:bCs/>
          <w:color w:val="000000"/>
        </w:rPr>
      </w:pPr>
      <w:r w:rsidRPr="003128F4">
        <w:rPr>
          <w:rFonts w:ascii="Arial" w:eastAsia="Arial" w:hAnsi="Arial" w:cs="Arial"/>
          <w:bCs/>
          <w:color w:val="000000"/>
        </w:rPr>
        <w:t xml:space="preserve">The market is reduced to the </w:t>
      </w:r>
      <w:r>
        <w:rPr>
          <w:rFonts w:ascii="Arial" w:eastAsia="Arial" w:hAnsi="Arial" w:cs="Arial"/>
          <w:bCs/>
          <w:color w:val="000000"/>
        </w:rPr>
        <w:t xml:space="preserve">six </w:t>
      </w:r>
      <w:r w:rsidRPr="003128F4">
        <w:rPr>
          <w:rFonts w:ascii="Arial" w:eastAsia="Arial" w:hAnsi="Arial" w:cs="Arial"/>
          <w:bCs/>
          <w:color w:val="000000"/>
        </w:rPr>
        <w:t>main contractors on the framework</w:t>
      </w:r>
      <w:r>
        <w:rPr>
          <w:rFonts w:ascii="Arial" w:eastAsia="Arial" w:hAnsi="Arial" w:cs="Arial"/>
          <w:bCs/>
          <w:color w:val="000000"/>
        </w:rPr>
        <w:t>.</w:t>
      </w:r>
    </w:p>
    <w:p w14:paraId="147FD867" w14:textId="77777777" w:rsidR="000D05E5" w:rsidRPr="003128F4" w:rsidRDefault="000D05E5" w:rsidP="005E0D57">
      <w:pPr>
        <w:pStyle w:val="ListParagraph"/>
        <w:numPr>
          <w:ilvl w:val="0"/>
          <w:numId w:val="70"/>
        </w:numPr>
        <w:tabs>
          <w:tab w:val="left" w:pos="709"/>
        </w:tabs>
        <w:rPr>
          <w:rFonts w:ascii="Arial" w:eastAsia="Arial" w:hAnsi="Arial" w:cs="Arial"/>
          <w:bCs/>
          <w:color w:val="000000"/>
        </w:rPr>
      </w:pPr>
      <w:r w:rsidRPr="003128F4">
        <w:rPr>
          <w:rFonts w:ascii="Arial" w:eastAsia="Arial" w:hAnsi="Arial" w:cs="Arial"/>
          <w:bCs/>
          <w:color w:val="000000"/>
        </w:rPr>
        <w:t>Oriel is not solely a healthcare building</w:t>
      </w:r>
      <w:r>
        <w:rPr>
          <w:rFonts w:ascii="Arial" w:eastAsia="Arial" w:hAnsi="Arial" w:cs="Arial"/>
          <w:bCs/>
          <w:color w:val="000000"/>
        </w:rPr>
        <w:t xml:space="preserve"> – it is a shared development with UCL.</w:t>
      </w:r>
    </w:p>
    <w:p w14:paraId="079DAEFA" w14:textId="77777777" w:rsidR="000D05E5" w:rsidRPr="003128F4" w:rsidRDefault="000D05E5" w:rsidP="005E0D57">
      <w:pPr>
        <w:pStyle w:val="ListParagraph"/>
        <w:numPr>
          <w:ilvl w:val="0"/>
          <w:numId w:val="70"/>
        </w:numPr>
        <w:tabs>
          <w:tab w:val="left" w:pos="709"/>
        </w:tabs>
        <w:rPr>
          <w:rFonts w:ascii="Arial" w:eastAsia="Arial" w:hAnsi="Arial" w:cs="Arial"/>
          <w:bCs/>
          <w:color w:val="000000"/>
        </w:rPr>
      </w:pPr>
      <w:r>
        <w:rPr>
          <w:rFonts w:ascii="Arial" w:eastAsia="Arial" w:hAnsi="Arial" w:cs="Arial"/>
          <w:bCs/>
          <w:color w:val="000000"/>
        </w:rPr>
        <w:t>There are l</w:t>
      </w:r>
      <w:r w:rsidRPr="003128F4">
        <w:rPr>
          <w:rFonts w:ascii="Arial" w:eastAsia="Arial" w:hAnsi="Arial" w:cs="Arial"/>
          <w:bCs/>
          <w:color w:val="000000"/>
        </w:rPr>
        <w:t xml:space="preserve">imited schemes </w:t>
      </w:r>
      <w:r>
        <w:rPr>
          <w:rFonts w:ascii="Arial" w:eastAsia="Arial" w:hAnsi="Arial" w:cs="Arial"/>
          <w:bCs/>
          <w:color w:val="000000"/>
        </w:rPr>
        <w:t>comparable to Oriel which have been completed through P22 and predecessor frameworks.</w:t>
      </w:r>
    </w:p>
    <w:p w14:paraId="474E7234" w14:textId="59DB8EA4" w:rsidR="000D05E5" w:rsidRPr="00003D59" w:rsidRDefault="000D05E5" w:rsidP="005E0D57">
      <w:pPr>
        <w:pStyle w:val="ListParagraph"/>
        <w:numPr>
          <w:ilvl w:val="0"/>
          <w:numId w:val="70"/>
        </w:numPr>
        <w:tabs>
          <w:tab w:val="left" w:pos="709"/>
        </w:tabs>
        <w:rPr>
          <w:rFonts w:ascii="Arial" w:eastAsia="Arial" w:hAnsi="Arial" w:cs="Arial"/>
          <w:bCs/>
          <w:color w:val="000000"/>
        </w:rPr>
      </w:pPr>
      <w:r w:rsidRPr="00003D59">
        <w:rPr>
          <w:rFonts w:ascii="Arial" w:eastAsia="Arial" w:hAnsi="Arial" w:cs="Arial"/>
          <w:bCs/>
          <w:color w:val="000000"/>
        </w:rPr>
        <w:lastRenderedPageBreak/>
        <w:t xml:space="preserve">A single main contractor is selected during a two stage process for </w:t>
      </w:r>
      <w:r w:rsidR="00A27A7D">
        <w:rPr>
          <w:rFonts w:ascii="Arial" w:eastAsia="Arial" w:hAnsi="Arial" w:cs="Arial"/>
          <w:bCs/>
          <w:color w:val="000000"/>
        </w:rPr>
        <w:t>P22</w:t>
      </w:r>
      <w:r w:rsidRPr="00003D59">
        <w:rPr>
          <w:rFonts w:ascii="Arial" w:eastAsia="Arial" w:hAnsi="Arial" w:cs="Arial"/>
          <w:bCs/>
          <w:color w:val="000000"/>
        </w:rPr>
        <w:t>, rather than two in</w:t>
      </w:r>
      <w:r>
        <w:rPr>
          <w:rFonts w:ascii="Arial" w:eastAsia="Arial" w:hAnsi="Arial" w:cs="Arial"/>
          <w:bCs/>
          <w:color w:val="000000"/>
        </w:rPr>
        <w:t xml:space="preserve"> </w:t>
      </w:r>
      <w:r w:rsidRPr="00003D59">
        <w:rPr>
          <w:rFonts w:ascii="Arial" w:eastAsia="Arial" w:hAnsi="Arial" w:cs="Arial"/>
          <w:bCs/>
          <w:color w:val="000000"/>
        </w:rPr>
        <w:t>competition</w:t>
      </w:r>
      <w:r>
        <w:rPr>
          <w:rFonts w:ascii="Arial" w:eastAsia="Arial" w:hAnsi="Arial" w:cs="Arial"/>
          <w:bCs/>
          <w:color w:val="000000"/>
        </w:rPr>
        <w:t>, resulting in</w:t>
      </w:r>
      <w:r w:rsidRPr="00003D59">
        <w:rPr>
          <w:rFonts w:ascii="Arial" w:eastAsia="Arial" w:hAnsi="Arial" w:cs="Arial"/>
          <w:bCs/>
          <w:color w:val="000000"/>
        </w:rPr>
        <w:t xml:space="preserve"> loss of competition during the second stage</w:t>
      </w:r>
      <w:r>
        <w:rPr>
          <w:rFonts w:ascii="Arial" w:eastAsia="Arial" w:hAnsi="Arial" w:cs="Arial"/>
          <w:bCs/>
          <w:color w:val="000000"/>
        </w:rPr>
        <w:t>.</w:t>
      </w:r>
    </w:p>
    <w:p w14:paraId="27801660" w14:textId="77777777" w:rsidR="000D05E5" w:rsidRDefault="000D05E5" w:rsidP="005E0D57">
      <w:pPr>
        <w:pStyle w:val="ListParagraph"/>
        <w:numPr>
          <w:ilvl w:val="0"/>
          <w:numId w:val="70"/>
        </w:numPr>
        <w:tabs>
          <w:tab w:val="left" w:pos="709"/>
        </w:tabs>
        <w:rPr>
          <w:rFonts w:ascii="Arial" w:eastAsia="Arial" w:hAnsi="Arial" w:cs="Arial"/>
          <w:bCs/>
          <w:color w:val="000000"/>
        </w:rPr>
      </w:pPr>
      <w:r w:rsidRPr="00003D59">
        <w:rPr>
          <w:rFonts w:ascii="Arial" w:eastAsia="Arial" w:hAnsi="Arial" w:cs="Arial"/>
          <w:bCs/>
          <w:color w:val="000000"/>
        </w:rPr>
        <w:t>A Guaranteed Maximum Price (GMP) is presented for FBC rather than a lump</w:t>
      </w:r>
      <w:r>
        <w:rPr>
          <w:rFonts w:ascii="Arial" w:eastAsia="Arial" w:hAnsi="Arial" w:cs="Arial"/>
          <w:bCs/>
          <w:color w:val="000000"/>
        </w:rPr>
        <w:t xml:space="preserve"> </w:t>
      </w:r>
      <w:r w:rsidRPr="00003D59">
        <w:rPr>
          <w:rFonts w:ascii="Arial" w:eastAsia="Arial" w:hAnsi="Arial" w:cs="Arial"/>
          <w:bCs/>
          <w:color w:val="000000"/>
        </w:rPr>
        <w:t>sum.</w:t>
      </w:r>
    </w:p>
    <w:p w14:paraId="77E72069" w14:textId="77777777" w:rsidR="00A27A7D" w:rsidRPr="00A27A7D" w:rsidRDefault="00A27A7D" w:rsidP="005E0D57">
      <w:pPr>
        <w:pStyle w:val="ListParagraph"/>
        <w:numPr>
          <w:ilvl w:val="0"/>
          <w:numId w:val="70"/>
        </w:numPr>
        <w:rPr>
          <w:rFonts w:ascii="Arial" w:eastAsia="Arial" w:hAnsi="Arial" w:cs="Arial"/>
          <w:bCs/>
          <w:color w:val="000000"/>
        </w:rPr>
      </w:pPr>
      <w:r>
        <w:rPr>
          <w:rFonts w:ascii="Arial" w:eastAsia="Arial" w:hAnsi="Arial" w:cs="Arial"/>
          <w:bCs/>
          <w:color w:val="000000"/>
        </w:rPr>
        <w:t>Bene</w:t>
      </w:r>
      <w:r w:rsidR="00FE0F4C">
        <w:rPr>
          <w:rFonts w:ascii="Arial" w:eastAsia="Arial" w:hAnsi="Arial" w:cs="Arial"/>
          <w:bCs/>
          <w:color w:val="000000"/>
        </w:rPr>
        <w:t xml:space="preserve">fits such as </w:t>
      </w:r>
      <w:r w:rsidRPr="00A27A7D">
        <w:rPr>
          <w:rFonts w:ascii="Arial" w:eastAsia="Arial" w:hAnsi="Arial" w:cs="Arial"/>
          <w:bCs/>
          <w:color w:val="000000"/>
        </w:rPr>
        <w:t xml:space="preserve">repeatable room designs for </w:t>
      </w:r>
      <w:r w:rsidR="00FE0F4C">
        <w:rPr>
          <w:rFonts w:ascii="Arial" w:eastAsia="Arial" w:hAnsi="Arial" w:cs="Arial"/>
          <w:bCs/>
          <w:color w:val="000000"/>
        </w:rPr>
        <w:t xml:space="preserve">general acute hospitals have less benefit for a specialist centre which will be </w:t>
      </w:r>
      <w:r w:rsidRPr="00A27A7D">
        <w:rPr>
          <w:rFonts w:ascii="Arial" w:eastAsia="Arial" w:hAnsi="Arial" w:cs="Arial"/>
          <w:bCs/>
          <w:color w:val="000000"/>
        </w:rPr>
        <w:t xml:space="preserve">a unique ‘flagship’ site that must attract and retain the world’s top talent in eye care and research. </w:t>
      </w:r>
      <w:r w:rsidR="00FE0F4C">
        <w:rPr>
          <w:rFonts w:ascii="Arial" w:eastAsia="Arial" w:hAnsi="Arial" w:cs="Arial"/>
          <w:bCs/>
          <w:color w:val="000000"/>
        </w:rPr>
        <w:t>I</w:t>
      </w:r>
      <w:r w:rsidRPr="00A27A7D">
        <w:rPr>
          <w:rFonts w:ascii="Arial" w:eastAsia="Arial" w:hAnsi="Arial" w:cs="Arial"/>
          <w:bCs/>
          <w:color w:val="000000"/>
        </w:rPr>
        <w:t xml:space="preserve">t </w:t>
      </w:r>
      <w:r w:rsidR="00FE0F4C">
        <w:rPr>
          <w:rFonts w:ascii="Arial" w:eastAsia="Arial" w:hAnsi="Arial" w:cs="Arial"/>
          <w:bCs/>
          <w:color w:val="000000"/>
        </w:rPr>
        <w:t xml:space="preserve">is therefore </w:t>
      </w:r>
      <w:r w:rsidRPr="00A27A7D">
        <w:rPr>
          <w:rFonts w:ascii="Arial" w:eastAsia="Arial" w:hAnsi="Arial" w:cs="Arial"/>
          <w:bCs/>
          <w:color w:val="000000"/>
        </w:rPr>
        <w:t>not felt the best fit for this large scale</w:t>
      </w:r>
      <w:r w:rsidR="00FE0F4C">
        <w:rPr>
          <w:rFonts w:ascii="Arial" w:eastAsia="Arial" w:hAnsi="Arial" w:cs="Arial"/>
          <w:bCs/>
          <w:color w:val="000000"/>
        </w:rPr>
        <w:t>,</w:t>
      </w:r>
      <w:r w:rsidRPr="00A27A7D">
        <w:rPr>
          <w:rFonts w:ascii="Arial" w:eastAsia="Arial" w:hAnsi="Arial" w:cs="Arial"/>
          <w:bCs/>
          <w:color w:val="000000"/>
        </w:rPr>
        <w:t xml:space="preserve"> bespoke </w:t>
      </w:r>
      <w:r w:rsidR="00FE0F4C">
        <w:rPr>
          <w:rFonts w:ascii="Arial" w:eastAsia="Arial" w:hAnsi="Arial" w:cs="Arial"/>
          <w:bCs/>
          <w:color w:val="000000"/>
        </w:rPr>
        <w:t xml:space="preserve">and </w:t>
      </w:r>
      <w:r w:rsidRPr="00A27A7D">
        <w:rPr>
          <w:rFonts w:ascii="Arial" w:eastAsia="Arial" w:hAnsi="Arial" w:cs="Arial"/>
          <w:bCs/>
          <w:color w:val="000000"/>
        </w:rPr>
        <w:t xml:space="preserve">highly-specialised project.  </w:t>
      </w:r>
    </w:p>
    <w:p w14:paraId="78D35D8B" w14:textId="77777777" w:rsidR="000D05E5" w:rsidRDefault="000D05E5" w:rsidP="000D05E5">
      <w:pPr>
        <w:tabs>
          <w:tab w:val="left" w:pos="709"/>
        </w:tabs>
        <w:rPr>
          <w:rFonts w:ascii="Arial" w:eastAsia="Arial" w:hAnsi="Arial" w:cs="Arial"/>
          <w:bCs/>
          <w:color w:val="000000"/>
        </w:rPr>
      </w:pPr>
      <w:r w:rsidRPr="00003D59">
        <w:rPr>
          <w:rFonts w:ascii="Arial" w:eastAsia="Arial" w:hAnsi="Arial" w:cs="Arial"/>
          <w:bCs/>
          <w:color w:val="000000"/>
        </w:rPr>
        <w:t xml:space="preserve">The above reasons confirm that the project requirements do not align with a </w:t>
      </w:r>
      <w:r w:rsidR="00A27A7D">
        <w:rPr>
          <w:rFonts w:ascii="Arial" w:eastAsia="Arial" w:hAnsi="Arial" w:cs="Arial"/>
          <w:bCs/>
          <w:color w:val="000000"/>
        </w:rPr>
        <w:t xml:space="preserve">P22 </w:t>
      </w:r>
      <w:r w:rsidRPr="00003D59">
        <w:rPr>
          <w:rFonts w:ascii="Arial" w:eastAsia="Arial" w:hAnsi="Arial" w:cs="Arial"/>
          <w:bCs/>
          <w:color w:val="000000"/>
        </w:rPr>
        <w:t>approach. Where</w:t>
      </w:r>
      <w:r>
        <w:rPr>
          <w:rFonts w:ascii="Arial" w:eastAsia="Arial" w:hAnsi="Arial" w:cs="Arial"/>
          <w:bCs/>
          <w:color w:val="000000"/>
        </w:rPr>
        <w:t xml:space="preserve"> </w:t>
      </w:r>
      <w:r w:rsidRPr="003128F4">
        <w:rPr>
          <w:rFonts w:ascii="Arial" w:eastAsia="Arial" w:hAnsi="Arial" w:cs="Arial"/>
          <w:bCs/>
          <w:color w:val="000000"/>
        </w:rPr>
        <w:t xml:space="preserve">relevant, Oriel will seek to follow the principals of </w:t>
      </w:r>
      <w:r w:rsidR="00A27A7D">
        <w:rPr>
          <w:rFonts w:ascii="Arial" w:eastAsia="Arial" w:hAnsi="Arial" w:cs="Arial"/>
          <w:bCs/>
          <w:color w:val="000000"/>
        </w:rPr>
        <w:t xml:space="preserve">P22 </w:t>
      </w:r>
      <w:r w:rsidRPr="003128F4">
        <w:rPr>
          <w:rFonts w:ascii="Arial" w:eastAsia="Arial" w:hAnsi="Arial" w:cs="Arial"/>
          <w:bCs/>
          <w:color w:val="000000"/>
        </w:rPr>
        <w:t>in securing Value for Money.</w:t>
      </w:r>
    </w:p>
    <w:p w14:paraId="5FB89202" w14:textId="77777777" w:rsidR="000D05E5" w:rsidRPr="000D05E5" w:rsidRDefault="000D05E5" w:rsidP="005E0D57">
      <w:pPr>
        <w:pStyle w:val="Heading2"/>
        <w:numPr>
          <w:ilvl w:val="2"/>
          <w:numId w:val="39"/>
        </w:numPr>
        <w:spacing w:after="240"/>
        <w:rPr>
          <w:rFonts w:ascii="Arial" w:eastAsia="Arial" w:hAnsi="Arial" w:cs="Arial"/>
          <w:sz w:val="22"/>
          <w:szCs w:val="22"/>
        </w:rPr>
      </w:pPr>
      <w:bookmarkStart w:id="387" w:name="_Toc27746730"/>
      <w:bookmarkStart w:id="388" w:name="_Toc30168788"/>
      <w:bookmarkStart w:id="389" w:name="_Toc30670736"/>
      <w:bookmarkStart w:id="390" w:name="_Toc32842755"/>
      <w:r w:rsidRPr="000D05E5">
        <w:rPr>
          <w:rFonts w:ascii="Arial" w:eastAsia="Arial" w:hAnsi="Arial" w:cs="Arial"/>
          <w:sz w:val="22"/>
          <w:szCs w:val="22"/>
        </w:rPr>
        <w:t>Market Engagement</w:t>
      </w:r>
      <w:bookmarkEnd w:id="387"/>
      <w:bookmarkEnd w:id="388"/>
      <w:bookmarkEnd w:id="389"/>
      <w:bookmarkEnd w:id="390"/>
    </w:p>
    <w:p w14:paraId="46C641F3" w14:textId="77777777" w:rsidR="000D05E5" w:rsidRPr="007E046F" w:rsidRDefault="000D05E5" w:rsidP="00F9726C">
      <w:pPr>
        <w:tabs>
          <w:tab w:val="left" w:pos="567"/>
        </w:tabs>
        <w:spacing w:after="0"/>
        <w:rPr>
          <w:rFonts w:ascii="Arial" w:eastAsia="Arial" w:hAnsi="Arial" w:cs="Arial"/>
          <w:b/>
          <w:color w:val="000000"/>
        </w:rPr>
      </w:pPr>
      <w:r>
        <w:rPr>
          <w:rFonts w:ascii="Arial" w:eastAsia="Arial" w:hAnsi="Arial" w:cs="Arial"/>
          <w:b/>
          <w:color w:val="000000"/>
        </w:rPr>
        <w:t>Main contractors</w:t>
      </w:r>
    </w:p>
    <w:p w14:paraId="3A4AB25B" w14:textId="3A616A78" w:rsidR="000D05E5" w:rsidRDefault="00D654D3" w:rsidP="000D05E5">
      <w:pPr>
        <w:tabs>
          <w:tab w:val="left" w:pos="567"/>
        </w:tabs>
        <w:rPr>
          <w:rFonts w:ascii="Arial" w:eastAsia="Arial" w:hAnsi="Arial" w:cs="Arial"/>
          <w:bCs/>
          <w:color w:val="000000"/>
        </w:rPr>
      </w:pPr>
      <w:r>
        <w:rPr>
          <w:rFonts w:ascii="Arial" w:eastAsia="Arial" w:hAnsi="Arial" w:cs="Arial"/>
          <w:bCs/>
          <w:color w:val="000000"/>
        </w:rPr>
        <w:t>In order to inform how the procurement strategy could provide best value for money (including by being attractive to a number of suppliers), a closed group of main contractors were selected to offer market feedback.</w:t>
      </w:r>
      <w:r w:rsidR="00F9726C">
        <w:rPr>
          <w:rFonts w:ascii="Arial" w:eastAsia="Arial" w:hAnsi="Arial" w:cs="Arial"/>
          <w:bCs/>
          <w:color w:val="000000"/>
        </w:rPr>
        <w:t xml:space="preserve"> </w:t>
      </w:r>
      <w:r w:rsidR="000D05E5">
        <w:rPr>
          <w:rFonts w:ascii="Arial" w:eastAsia="Arial" w:hAnsi="Arial" w:cs="Arial"/>
          <w:bCs/>
          <w:color w:val="000000"/>
        </w:rPr>
        <w:t>Responses were reviewed by the project’s cost advisors, G&amp;T, and used to refine key areas of the procurement strategy. The feedback suggested that the proposed strategy is of interest, with the following points to note:</w:t>
      </w:r>
    </w:p>
    <w:p w14:paraId="5EA92579" w14:textId="77777777" w:rsidR="00D654D3" w:rsidRPr="004C7ED9" w:rsidRDefault="00D654D3" w:rsidP="005E0D57">
      <w:pPr>
        <w:pStyle w:val="ListParagraph"/>
        <w:numPr>
          <w:ilvl w:val="0"/>
          <w:numId w:val="23"/>
        </w:numPr>
        <w:tabs>
          <w:tab w:val="left" w:pos="709"/>
        </w:tabs>
        <w:spacing w:after="0"/>
        <w:rPr>
          <w:rFonts w:ascii="Arial" w:eastAsia="Arial" w:hAnsi="Arial" w:cs="Arial"/>
          <w:bCs/>
          <w:color w:val="000000"/>
        </w:rPr>
      </w:pPr>
      <w:r w:rsidRPr="004C7ED9">
        <w:rPr>
          <w:rFonts w:ascii="Arial" w:eastAsia="Arial" w:hAnsi="Arial" w:cs="Arial"/>
          <w:bCs/>
          <w:color w:val="000000"/>
        </w:rPr>
        <w:t xml:space="preserve">Where two contractors are in competition to price Stage 3, </w:t>
      </w:r>
      <w:r w:rsidRPr="00C732BD">
        <w:rPr>
          <w:rFonts w:ascii="Arial" w:eastAsia="Arial" w:hAnsi="Arial" w:cs="Arial"/>
          <w:bCs/>
          <w:color w:val="000000"/>
        </w:rPr>
        <w:t>a payment towards bidding costs would be expected</w:t>
      </w:r>
      <w:r w:rsidRPr="004C7ED9">
        <w:rPr>
          <w:rFonts w:ascii="Arial" w:eastAsia="Arial" w:hAnsi="Arial" w:cs="Arial"/>
          <w:bCs/>
          <w:color w:val="000000"/>
        </w:rPr>
        <w:t>. The value will need to be discussed and agreed</w:t>
      </w:r>
      <w:r>
        <w:rPr>
          <w:rFonts w:ascii="Arial" w:eastAsia="Arial" w:hAnsi="Arial" w:cs="Arial"/>
          <w:bCs/>
          <w:color w:val="000000"/>
        </w:rPr>
        <w:t>.</w:t>
      </w:r>
    </w:p>
    <w:p w14:paraId="1A0F79B0" w14:textId="77777777" w:rsidR="000D05E5" w:rsidRDefault="000D05E5" w:rsidP="005E0D57">
      <w:pPr>
        <w:pStyle w:val="ListParagraph"/>
        <w:numPr>
          <w:ilvl w:val="0"/>
          <w:numId w:val="23"/>
        </w:numPr>
        <w:tabs>
          <w:tab w:val="left" w:pos="709"/>
          <w:tab w:val="left" w:pos="851"/>
        </w:tabs>
        <w:spacing w:after="0"/>
        <w:ind w:left="709" w:hanging="349"/>
        <w:rPr>
          <w:rFonts w:ascii="Arial" w:eastAsia="Arial" w:hAnsi="Arial" w:cs="Arial"/>
          <w:bCs/>
          <w:color w:val="000000"/>
        </w:rPr>
      </w:pPr>
      <w:r>
        <w:rPr>
          <w:rFonts w:ascii="Arial" w:eastAsia="Arial" w:hAnsi="Arial" w:cs="Arial"/>
          <w:bCs/>
          <w:color w:val="000000"/>
        </w:rPr>
        <w:t>The tender period timescales are sufficient. One contractor observed that better value could be obtained by merging the contractor design and contractor pricing periods. This is seen as a positive request and will be considered by the Oriel team.</w:t>
      </w:r>
    </w:p>
    <w:p w14:paraId="5EBC0989" w14:textId="77777777" w:rsidR="000D05E5" w:rsidRDefault="000D05E5" w:rsidP="005E0D57">
      <w:pPr>
        <w:pStyle w:val="ListParagraph"/>
        <w:numPr>
          <w:ilvl w:val="0"/>
          <w:numId w:val="23"/>
        </w:numPr>
        <w:tabs>
          <w:tab w:val="left" w:pos="709"/>
        </w:tabs>
        <w:spacing w:after="0"/>
        <w:ind w:left="709" w:hanging="349"/>
        <w:rPr>
          <w:rFonts w:ascii="Arial" w:eastAsia="Arial" w:hAnsi="Arial" w:cs="Arial"/>
          <w:bCs/>
          <w:color w:val="000000"/>
        </w:rPr>
      </w:pPr>
      <w:r>
        <w:rPr>
          <w:rFonts w:ascii="Arial" w:eastAsia="Arial" w:hAnsi="Arial" w:cs="Arial"/>
          <w:bCs/>
          <w:color w:val="000000"/>
        </w:rPr>
        <w:t>Tendering on RIBA Stage 3 information is favourable and will help balance the risk and opportunities for the contractors.</w:t>
      </w:r>
    </w:p>
    <w:p w14:paraId="6EC6BA3D" w14:textId="77777777" w:rsidR="000D05E5" w:rsidRDefault="000D05E5" w:rsidP="000D05E5">
      <w:pPr>
        <w:tabs>
          <w:tab w:val="left" w:pos="709"/>
        </w:tabs>
        <w:spacing w:after="0"/>
        <w:rPr>
          <w:rFonts w:ascii="Arial" w:eastAsia="Arial" w:hAnsi="Arial" w:cs="Arial"/>
          <w:bCs/>
          <w:color w:val="000000"/>
        </w:rPr>
      </w:pPr>
    </w:p>
    <w:p w14:paraId="2F42E8B7" w14:textId="2477979E" w:rsidR="000D05E5" w:rsidRPr="00F9726C" w:rsidRDefault="000D05E5" w:rsidP="000D05E5">
      <w:pPr>
        <w:tabs>
          <w:tab w:val="left" w:pos="709"/>
        </w:tabs>
        <w:spacing w:after="0"/>
        <w:rPr>
          <w:rFonts w:ascii="Arial" w:eastAsia="Arial" w:hAnsi="Arial" w:cs="Arial"/>
          <w:b/>
          <w:color w:val="000000"/>
        </w:rPr>
      </w:pPr>
      <w:r w:rsidRPr="007E046F">
        <w:rPr>
          <w:rFonts w:ascii="Arial" w:eastAsia="Arial" w:hAnsi="Arial" w:cs="Arial"/>
          <w:b/>
          <w:color w:val="000000"/>
        </w:rPr>
        <w:t xml:space="preserve">Mechanical and Electrical (M&amp;E) </w:t>
      </w:r>
      <w:r>
        <w:rPr>
          <w:rFonts w:ascii="Arial" w:eastAsia="Arial" w:hAnsi="Arial" w:cs="Arial"/>
          <w:b/>
          <w:color w:val="000000"/>
        </w:rPr>
        <w:t>contractors</w:t>
      </w:r>
    </w:p>
    <w:p w14:paraId="07A782BD" w14:textId="198EF9A7" w:rsidR="000D05E5" w:rsidRDefault="000D05E5" w:rsidP="000D05E5">
      <w:pPr>
        <w:tabs>
          <w:tab w:val="left" w:pos="567"/>
        </w:tabs>
        <w:rPr>
          <w:rFonts w:ascii="Arial" w:eastAsia="Arial" w:hAnsi="Arial" w:cs="Arial"/>
          <w:bCs/>
          <w:color w:val="000000"/>
        </w:rPr>
      </w:pPr>
      <w:r>
        <w:rPr>
          <w:rFonts w:ascii="Arial" w:eastAsia="Arial" w:hAnsi="Arial" w:cs="Arial"/>
          <w:bCs/>
          <w:color w:val="000000"/>
        </w:rPr>
        <w:t>Due to the large proportion of M&amp;E elements of the building arising from the clinical and research space, feedback from selected M&amp;E contractors was also sought.</w:t>
      </w:r>
      <w:r w:rsidR="00F9726C">
        <w:rPr>
          <w:rFonts w:ascii="Arial" w:eastAsia="Arial" w:hAnsi="Arial" w:cs="Arial"/>
          <w:bCs/>
          <w:color w:val="000000"/>
        </w:rPr>
        <w:t xml:space="preserve"> </w:t>
      </w:r>
      <w:r w:rsidRPr="007E046F">
        <w:rPr>
          <w:rFonts w:ascii="Arial" w:eastAsia="Arial" w:hAnsi="Arial" w:cs="Arial"/>
          <w:bCs/>
          <w:color w:val="000000"/>
        </w:rPr>
        <w:t>The responses further supported the procurement proposals,</w:t>
      </w:r>
      <w:r>
        <w:rPr>
          <w:rFonts w:ascii="Arial" w:eastAsia="Arial" w:hAnsi="Arial" w:cs="Arial"/>
          <w:bCs/>
          <w:color w:val="000000"/>
        </w:rPr>
        <w:t xml:space="preserve"> </w:t>
      </w:r>
      <w:r w:rsidRPr="007E046F">
        <w:rPr>
          <w:rFonts w:ascii="Arial" w:eastAsia="Arial" w:hAnsi="Arial" w:cs="Arial"/>
          <w:bCs/>
          <w:color w:val="000000"/>
        </w:rPr>
        <w:t xml:space="preserve">particularly for earlier support with RIBA Stage 4 detail design. </w:t>
      </w:r>
      <w:r>
        <w:rPr>
          <w:rFonts w:ascii="Arial" w:eastAsia="Arial" w:hAnsi="Arial" w:cs="Arial"/>
          <w:bCs/>
          <w:color w:val="000000"/>
        </w:rPr>
        <w:t>It was felt that involvement at Stage 4:</w:t>
      </w:r>
    </w:p>
    <w:p w14:paraId="404F3CEA" w14:textId="77777777" w:rsidR="000D05E5" w:rsidRPr="007E046F" w:rsidRDefault="000D05E5" w:rsidP="005E0D57">
      <w:pPr>
        <w:pStyle w:val="ListParagraph"/>
        <w:numPr>
          <w:ilvl w:val="0"/>
          <w:numId w:val="72"/>
        </w:numPr>
        <w:tabs>
          <w:tab w:val="left" w:pos="709"/>
        </w:tabs>
        <w:spacing w:after="0"/>
        <w:rPr>
          <w:rFonts w:ascii="Arial" w:eastAsia="Arial" w:hAnsi="Arial" w:cs="Arial"/>
          <w:bCs/>
          <w:color w:val="000000"/>
        </w:rPr>
      </w:pPr>
      <w:r>
        <w:rPr>
          <w:rFonts w:ascii="Arial" w:eastAsia="Arial" w:hAnsi="Arial" w:cs="Arial"/>
          <w:bCs/>
          <w:color w:val="000000"/>
        </w:rPr>
        <w:t>A</w:t>
      </w:r>
      <w:r w:rsidRPr="007E046F">
        <w:rPr>
          <w:rFonts w:ascii="Arial" w:eastAsia="Arial" w:hAnsi="Arial" w:cs="Arial"/>
          <w:bCs/>
          <w:color w:val="000000"/>
        </w:rPr>
        <w:t>voids potentially costly reverse engineering, converting completed detail designs into pre</w:t>
      </w:r>
      <w:r>
        <w:rPr>
          <w:rFonts w:ascii="Arial" w:eastAsia="Arial" w:hAnsi="Arial" w:cs="Arial"/>
          <w:bCs/>
          <w:color w:val="000000"/>
        </w:rPr>
        <w:t xml:space="preserve"> </w:t>
      </w:r>
      <w:r w:rsidRPr="007E046F">
        <w:rPr>
          <w:rFonts w:ascii="Arial" w:eastAsia="Arial" w:hAnsi="Arial" w:cs="Arial"/>
          <w:bCs/>
          <w:color w:val="000000"/>
        </w:rPr>
        <w:t>fabrication / factory designs</w:t>
      </w:r>
      <w:r>
        <w:rPr>
          <w:rFonts w:ascii="Arial" w:eastAsia="Arial" w:hAnsi="Arial" w:cs="Arial"/>
          <w:bCs/>
          <w:color w:val="000000"/>
        </w:rPr>
        <w:t>.</w:t>
      </w:r>
    </w:p>
    <w:p w14:paraId="3AE0B5F3" w14:textId="77777777" w:rsidR="000D05E5" w:rsidRDefault="00D654D3" w:rsidP="005E0D57">
      <w:pPr>
        <w:pStyle w:val="ListParagraph"/>
        <w:numPr>
          <w:ilvl w:val="0"/>
          <w:numId w:val="72"/>
        </w:numPr>
        <w:tabs>
          <w:tab w:val="left" w:pos="709"/>
        </w:tabs>
        <w:spacing w:after="0"/>
        <w:rPr>
          <w:rFonts w:ascii="Arial" w:eastAsia="Arial" w:hAnsi="Arial" w:cs="Arial"/>
          <w:bCs/>
          <w:color w:val="000000"/>
        </w:rPr>
      </w:pPr>
      <w:r>
        <w:rPr>
          <w:rFonts w:ascii="Arial" w:eastAsia="Arial" w:hAnsi="Arial" w:cs="Arial"/>
          <w:bCs/>
          <w:color w:val="000000"/>
        </w:rPr>
        <w:t xml:space="preserve">Supports completion of </w:t>
      </w:r>
      <w:r w:rsidR="00FE0F4C" w:rsidRPr="00FE0F4C">
        <w:rPr>
          <w:rFonts w:ascii="Arial" w:eastAsia="Arial" w:hAnsi="Arial" w:cs="Arial"/>
          <w:bCs/>
          <w:color w:val="000000"/>
        </w:rPr>
        <w:t xml:space="preserve">Building Information Modelling (BIM) </w:t>
      </w:r>
      <w:r w:rsidR="000D05E5" w:rsidRPr="007E046F">
        <w:rPr>
          <w:rFonts w:ascii="Arial" w:eastAsia="Arial" w:hAnsi="Arial" w:cs="Arial"/>
          <w:bCs/>
          <w:color w:val="000000"/>
        </w:rPr>
        <w:t>Level 2</w:t>
      </w:r>
      <w:r w:rsidR="000D05E5">
        <w:rPr>
          <w:rFonts w:ascii="Arial" w:eastAsia="Arial" w:hAnsi="Arial" w:cs="Arial"/>
          <w:bCs/>
          <w:color w:val="000000"/>
        </w:rPr>
        <w:t>.</w:t>
      </w:r>
    </w:p>
    <w:p w14:paraId="59B0F60E" w14:textId="77777777" w:rsidR="00FE0F4C" w:rsidRPr="00FE0F4C" w:rsidRDefault="00FE0F4C" w:rsidP="005E0D57">
      <w:pPr>
        <w:pStyle w:val="ListParagraph"/>
        <w:numPr>
          <w:ilvl w:val="0"/>
          <w:numId w:val="72"/>
        </w:numPr>
        <w:tabs>
          <w:tab w:val="left" w:pos="709"/>
        </w:tabs>
        <w:spacing w:after="0"/>
        <w:rPr>
          <w:rFonts w:ascii="Arial" w:eastAsia="Arial" w:hAnsi="Arial" w:cs="Arial"/>
          <w:bCs/>
          <w:color w:val="000000"/>
        </w:rPr>
      </w:pPr>
      <w:r w:rsidRPr="00FE0F4C">
        <w:rPr>
          <w:rFonts w:ascii="Arial" w:eastAsia="Arial" w:hAnsi="Arial" w:cs="Arial"/>
          <w:bCs/>
          <w:color w:val="000000"/>
        </w:rPr>
        <w:t xml:space="preserve">A controls approach is planned for the new site that will be at the forefront of BIM approaches </w:t>
      </w:r>
      <w:r>
        <w:rPr>
          <w:rFonts w:ascii="Arial" w:eastAsia="Arial" w:hAnsi="Arial" w:cs="Arial"/>
          <w:bCs/>
          <w:color w:val="000000"/>
        </w:rPr>
        <w:t xml:space="preserve">– </w:t>
      </w:r>
      <w:r w:rsidRPr="00FE0F4C">
        <w:rPr>
          <w:rFonts w:ascii="Arial" w:eastAsia="Arial" w:hAnsi="Arial" w:cs="Arial"/>
          <w:bCs/>
          <w:color w:val="000000"/>
        </w:rPr>
        <w:t xml:space="preserve">early involvement of M&amp;E contractors will </w:t>
      </w:r>
      <w:r>
        <w:rPr>
          <w:rFonts w:ascii="Arial" w:eastAsia="Arial" w:hAnsi="Arial" w:cs="Arial"/>
          <w:bCs/>
          <w:color w:val="000000"/>
        </w:rPr>
        <w:t xml:space="preserve">facilitate </w:t>
      </w:r>
      <w:r w:rsidRPr="00FE0F4C">
        <w:rPr>
          <w:rFonts w:ascii="Arial" w:eastAsia="Arial" w:hAnsi="Arial" w:cs="Arial"/>
          <w:bCs/>
          <w:color w:val="000000"/>
        </w:rPr>
        <w:t>this approach</w:t>
      </w:r>
      <w:r>
        <w:rPr>
          <w:rFonts w:ascii="Arial" w:eastAsia="Arial" w:hAnsi="Arial" w:cs="Arial"/>
          <w:bCs/>
          <w:color w:val="000000"/>
        </w:rPr>
        <w:t>.</w:t>
      </w:r>
    </w:p>
    <w:p w14:paraId="74DC5B90" w14:textId="77777777" w:rsidR="000D05E5" w:rsidRPr="007E046F" w:rsidRDefault="000D05E5" w:rsidP="005E0D57">
      <w:pPr>
        <w:pStyle w:val="ListParagraph"/>
        <w:numPr>
          <w:ilvl w:val="0"/>
          <w:numId w:val="72"/>
        </w:numPr>
        <w:tabs>
          <w:tab w:val="left" w:pos="709"/>
        </w:tabs>
        <w:spacing w:after="0"/>
        <w:rPr>
          <w:rFonts w:ascii="Arial" w:eastAsia="Arial" w:hAnsi="Arial" w:cs="Arial"/>
          <w:bCs/>
          <w:color w:val="000000"/>
        </w:rPr>
      </w:pPr>
      <w:r>
        <w:rPr>
          <w:rFonts w:ascii="Arial" w:eastAsia="Arial" w:hAnsi="Arial" w:cs="Arial"/>
          <w:bCs/>
          <w:color w:val="000000"/>
        </w:rPr>
        <w:t xml:space="preserve">Reduces project costs and programme as </w:t>
      </w:r>
      <w:r w:rsidRPr="007E046F">
        <w:rPr>
          <w:rFonts w:ascii="Arial" w:eastAsia="Arial" w:hAnsi="Arial" w:cs="Arial"/>
          <w:bCs/>
          <w:color w:val="000000"/>
        </w:rPr>
        <w:t>retrospective design responsibility</w:t>
      </w:r>
      <w:r>
        <w:rPr>
          <w:rFonts w:ascii="Arial" w:eastAsia="Arial" w:hAnsi="Arial" w:cs="Arial"/>
          <w:bCs/>
          <w:color w:val="000000"/>
        </w:rPr>
        <w:t xml:space="preserve"> and </w:t>
      </w:r>
      <w:r w:rsidRPr="007E046F">
        <w:rPr>
          <w:rFonts w:ascii="Arial" w:eastAsia="Arial" w:hAnsi="Arial" w:cs="Arial"/>
          <w:bCs/>
          <w:color w:val="000000"/>
        </w:rPr>
        <w:t xml:space="preserve">validation work </w:t>
      </w:r>
      <w:r>
        <w:rPr>
          <w:rFonts w:ascii="Arial" w:eastAsia="Arial" w:hAnsi="Arial" w:cs="Arial"/>
          <w:bCs/>
          <w:color w:val="000000"/>
        </w:rPr>
        <w:t>is minimised.</w:t>
      </w:r>
    </w:p>
    <w:p w14:paraId="44B19368" w14:textId="77777777" w:rsidR="000D05E5" w:rsidRDefault="000D05E5" w:rsidP="000D05E5">
      <w:pPr>
        <w:tabs>
          <w:tab w:val="left" w:pos="709"/>
        </w:tabs>
        <w:spacing w:after="0"/>
        <w:rPr>
          <w:rFonts w:ascii="Arial" w:eastAsia="Arial" w:hAnsi="Arial" w:cs="Arial"/>
          <w:bCs/>
          <w:color w:val="000000"/>
        </w:rPr>
      </w:pPr>
    </w:p>
    <w:p w14:paraId="6B70CC6D" w14:textId="77777777" w:rsidR="000D05E5" w:rsidRDefault="000D05E5" w:rsidP="000D05E5">
      <w:pPr>
        <w:tabs>
          <w:tab w:val="left" w:pos="709"/>
        </w:tabs>
        <w:spacing w:after="0"/>
        <w:rPr>
          <w:rFonts w:ascii="Arial" w:eastAsia="Arial" w:hAnsi="Arial" w:cs="Arial"/>
          <w:b/>
          <w:color w:val="000000"/>
        </w:rPr>
      </w:pPr>
      <w:r w:rsidRPr="007E046F">
        <w:rPr>
          <w:rFonts w:ascii="Arial" w:eastAsia="Arial" w:hAnsi="Arial" w:cs="Arial"/>
          <w:b/>
          <w:color w:val="000000"/>
        </w:rPr>
        <w:t>Other Subcontractors / Specialist Trade Contractors</w:t>
      </w:r>
    </w:p>
    <w:p w14:paraId="2F95C8DF" w14:textId="0E829817" w:rsidR="000D05E5" w:rsidRDefault="00D654D3" w:rsidP="009537BA">
      <w:pPr>
        <w:tabs>
          <w:tab w:val="left" w:pos="567"/>
        </w:tabs>
        <w:rPr>
          <w:rFonts w:ascii="Arial" w:eastAsia="Arial" w:hAnsi="Arial" w:cs="Arial"/>
          <w:bCs/>
          <w:color w:val="000000"/>
        </w:rPr>
      </w:pPr>
      <w:r>
        <w:rPr>
          <w:rFonts w:ascii="Arial" w:eastAsia="Arial" w:hAnsi="Arial" w:cs="Arial"/>
          <w:bCs/>
          <w:color w:val="000000"/>
        </w:rPr>
        <w:t xml:space="preserve">A number of specialist contractors were also approached, who provided support for </w:t>
      </w:r>
      <w:r w:rsidRPr="0006669A">
        <w:rPr>
          <w:rFonts w:ascii="Arial" w:eastAsia="Arial" w:hAnsi="Arial" w:cs="Arial"/>
          <w:bCs/>
          <w:color w:val="000000"/>
        </w:rPr>
        <w:t>design, programme and cost direction</w:t>
      </w:r>
      <w:r>
        <w:rPr>
          <w:rFonts w:ascii="Arial" w:eastAsia="Arial" w:hAnsi="Arial" w:cs="Arial"/>
          <w:bCs/>
          <w:color w:val="000000"/>
        </w:rPr>
        <w:t xml:space="preserve">. Full details of all market engagement can be found in Appendix </w:t>
      </w:r>
      <w:r w:rsidR="004424A6">
        <w:rPr>
          <w:rFonts w:ascii="Arial" w:eastAsia="Arial" w:hAnsi="Arial" w:cs="Arial"/>
          <w:bCs/>
          <w:color w:val="000000"/>
        </w:rPr>
        <w:t>7A</w:t>
      </w:r>
      <w:r>
        <w:rPr>
          <w:rFonts w:ascii="Arial" w:eastAsia="Arial" w:hAnsi="Arial" w:cs="Arial"/>
          <w:bCs/>
          <w:color w:val="000000"/>
        </w:rPr>
        <w:t>.</w:t>
      </w:r>
    </w:p>
    <w:p w14:paraId="2047E91B" w14:textId="77777777" w:rsidR="000D05E5" w:rsidRPr="000D05E5" w:rsidRDefault="000D05E5" w:rsidP="005E0D57">
      <w:pPr>
        <w:pStyle w:val="Heading2"/>
        <w:numPr>
          <w:ilvl w:val="2"/>
          <w:numId w:val="39"/>
        </w:numPr>
        <w:spacing w:after="240"/>
        <w:rPr>
          <w:rFonts w:ascii="Arial" w:eastAsia="Arial" w:hAnsi="Arial" w:cs="Arial"/>
          <w:sz w:val="22"/>
          <w:szCs w:val="22"/>
        </w:rPr>
      </w:pPr>
      <w:bookmarkStart w:id="391" w:name="_Toc27746731"/>
      <w:bookmarkStart w:id="392" w:name="_Toc30168789"/>
      <w:bookmarkStart w:id="393" w:name="_Toc30670737"/>
      <w:bookmarkStart w:id="394" w:name="_Toc32842756"/>
      <w:r w:rsidRPr="000D05E5">
        <w:rPr>
          <w:rFonts w:ascii="Arial" w:eastAsia="Arial" w:hAnsi="Arial" w:cs="Arial"/>
          <w:sz w:val="22"/>
          <w:szCs w:val="22"/>
        </w:rPr>
        <w:lastRenderedPageBreak/>
        <w:t>Legal and technical advice</w:t>
      </w:r>
      <w:bookmarkEnd w:id="391"/>
      <w:bookmarkEnd w:id="392"/>
      <w:bookmarkEnd w:id="393"/>
      <w:bookmarkEnd w:id="394"/>
    </w:p>
    <w:p w14:paraId="01C67F56" w14:textId="59060E64" w:rsidR="000D05E5" w:rsidRPr="00FA373A" w:rsidRDefault="000D05E5" w:rsidP="000D05E5">
      <w:pPr>
        <w:tabs>
          <w:tab w:val="left" w:pos="567"/>
        </w:tabs>
        <w:rPr>
          <w:rFonts w:ascii="Arial" w:eastAsia="Arial" w:hAnsi="Arial" w:cs="Arial"/>
          <w:bCs/>
          <w:color w:val="000000"/>
        </w:rPr>
      </w:pPr>
      <w:r>
        <w:rPr>
          <w:rFonts w:ascii="Arial" w:eastAsia="Arial" w:hAnsi="Arial" w:cs="Arial"/>
          <w:bCs/>
          <w:color w:val="000000"/>
        </w:rPr>
        <w:t xml:space="preserve">As previously stated, the partners have sought technical advice on the procurement options available from its cost </w:t>
      </w:r>
      <w:r w:rsidR="0021652C">
        <w:rPr>
          <w:rFonts w:ascii="Arial" w:eastAsia="Arial" w:hAnsi="Arial" w:cs="Arial"/>
          <w:bCs/>
          <w:color w:val="000000"/>
        </w:rPr>
        <w:t>consultants</w:t>
      </w:r>
      <w:r>
        <w:rPr>
          <w:rFonts w:ascii="Arial" w:eastAsia="Arial" w:hAnsi="Arial" w:cs="Arial"/>
          <w:bCs/>
          <w:color w:val="000000"/>
        </w:rPr>
        <w:t xml:space="preserve">, G&amp;T. In addition, legal advice has been obtained from DAC Beechcroft </w:t>
      </w:r>
      <w:r w:rsidRPr="00FA373A">
        <w:rPr>
          <w:rFonts w:ascii="Arial" w:eastAsia="Arial" w:hAnsi="Arial" w:cs="Arial"/>
          <w:bCs/>
          <w:color w:val="000000"/>
        </w:rPr>
        <w:t>for the following:</w:t>
      </w:r>
    </w:p>
    <w:p w14:paraId="370FC781" w14:textId="77777777" w:rsidR="000D05E5" w:rsidRPr="00FA373A" w:rsidRDefault="000D05E5" w:rsidP="005E0D57">
      <w:pPr>
        <w:pStyle w:val="ListParagraph"/>
        <w:numPr>
          <w:ilvl w:val="0"/>
          <w:numId w:val="23"/>
        </w:numPr>
        <w:tabs>
          <w:tab w:val="left" w:pos="709"/>
          <w:tab w:val="left" w:pos="851"/>
        </w:tabs>
        <w:spacing w:after="0"/>
        <w:ind w:left="709" w:hanging="349"/>
        <w:rPr>
          <w:rFonts w:ascii="Arial" w:eastAsia="Arial" w:hAnsi="Arial" w:cs="Arial"/>
          <w:bCs/>
          <w:color w:val="000000"/>
        </w:rPr>
      </w:pPr>
      <w:r w:rsidRPr="00FA373A">
        <w:rPr>
          <w:rFonts w:ascii="Arial" w:eastAsia="Arial" w:hAnsi="Arial" w:cs="Arial"/>
          <w:bCs/>
          <w:color w:val="000000"/>
        </w:rPr>
        <w:t>Compliance that the procurement strategy aligns with EU procurement law and procurement</w:t>
      </w:r>
      <w:r>
        <w:rPr>
          <w:rFonts w:ascii="Arial" w:eastAsia="Arial" w:hAnsi="Arial" w:cs="Arial"/>
          <w:bCs/>
          <w:color w:val="000000"/>
        </w:rPr>
        <w:t xml:space="preserve"> </w:t>
      </w:r>
      <w:r w:rsidRPr="00FA373A">
        <w:rPr>
          <w:rFonts w:ascii="Arial" w:eastAsia="Arial" w:hAnsi="Arial" w:cs="Arial"/>
          <w:bCs/>
          <w:color w:val="000000"/>
        </w:rPr>
        <w:t>legislation</w:t>
      </w:r>
      <w:r>
        <w:rPr>
          <w:rFonts w:ascii="Arial" w:eastAsia="Arial" w:hAnsi="Arial" w:cs="Arial"/>
          <w:bCs/>
          <w:color w:val="000000"/>
        </w:rPr>
        <w:t>.</w:t>
      </w:r>
    </w:p>
    <w:p w14:paraId="736581B8" w14:textId="77777777" w:rsidR="000D05E5" w:rsidRPr="00FA373A" w:rsidRDefault="000D05E5" w:rsidP="005E0D57">
      <w:pPr>
        <w:pStyle w:val="ListParagraph"/>
        <w:numPr>
          <w:ilvl w:val="0"/>
          <w:numId w:val="23"/>
        </w:numPr>
        <w:tabs>
          <w:tab w:val="left" w:pos="709"/>
          <w:tab w:val="left" w:pos="851"/>
        </w:tabs>
        <w:spacing w:after="0"/>
        <w:ind w:left="709" w:hanging="349"/>
        <w:rPr>
          <w:rFonts w:ascii="Arial" w:eastAsia="Arial" w:hAnsi="Arial" w:cs="Arial"/>
          <w:bCs/>
          <w:color w:val="000000"/>
        </w:rPr>
      </w:pPr>
      <w:r w:rsidRPr="00FA373A">
        <w:rPr>
          <w:rFonts w:ascii="Arial" w:eastAsia="Arial" w:hAnsi="Arial" w:cs="Arial"/>
          <w:bCs/>
          <w:color w:val="000000"/>
        </w:rPr>
        <w:t>Ability to formally seek early market feedback on the procurement strategy from (a closed</w:t>
      </w:r>
      <w:r>
        <w:rPr>
          <w:rFonts w:ascii="Arial" w:eastAsia="Arial" w:hAnsi="Arial" w:cs="Arial"/>
          <w:bCs/>
          <w:color w:val="000000"/>
        </w:rPr>
        <w:t xml:space="preserve"> </w:t>
      </w:r>
      <w:r w:rsidRPr="00FA373A">
        <w:rPr>
          <w:rFonts w:ascii="Arial" w:eastAsia="Arial" w:hAnsi="Arial" w:cs="Arial"/>
          <w:bCs/>
          <w:color w:val="000000"/>
        </w:rPr>
        <w:t>group of) main contractors.</w:t>
      </w:r>
    </w:p>
    <w:p w14:paraId="182E693B" w14:textId="77777777" w:rsidR="000D05E5" w:rsidRDefault="000D05E5" w:rsidP="000D05E5">
      <w:pPr>
        <w:tabs>
          <w:tab w:val="left" w:pos="567"/>
        </w:tabs>
        <w:spacing w:after="0"/>
        <w:rPr>
          <w:rFonts w:ascii="Arial" w:eastAsia="Arial" w:hAnsi="Arial" w:cs="Arial"/>
          <w:bCs/>
          <w:color w:val="000000"/>
        </w:rPr>
      </w:pPr>
    </w:p>
    <w:p w14:paraId="4787B9CD" w14:textId="77777777" w:rsidR="000D05E5" w:rsidRPr="00FA373A" w:rsidRDefault="000D05E5" w:rsidP="000D05E5">
      <w:pPr>
        <w:tabs>
          <w:tab w:val="left" w:pos="567"/>
        </w:tabs>
        <w:rPr>
          <w:rFonts w:ascii="Arial" w:eastAsia="Arial" w:hAnsi="Arial" w:cs="Arial"/>
          <w:bCs/>
          <w:color w:val="000000"/>
        </w:rPr>
      </w:pPr>
      <w:r w:rsidRPr="00FA373A">
        <w:rPr>
          <w:rFonts w:ascii="Arial" w:eastAsia="Arial" w:hAnsi="Arial" w:cs="Arial"/>
          <w:bCs/>
          <w:color w:val="000000"/>
        </w:rPr>
        <w:t>DAC Beachcroft confirmed the following:</w:t>
      </w:r>
    </w:p>
    <w:p w14:paraId="3CEFBE3F" w14:textId="12CF31FB" w:rsidR="000D05E5" w:rsidRPr="0021652C" w:rsidRDefault="0021652C" w:rsidP="000D05E5">
      <w:pPr>
        <w:tabs>
          <w:tab w:val="left" w:pos="567"/>
        </w:tabs>
        <w:ind w:left="426"/>
        <w:rPr>
          <w:rFonts w:ascii="Arial" w:eastAsia="Arial" w:hAnsi="Arial" w:cs="Arial"/>
          <w:bCs/>
          <w:color w:val="000000"/>
        </w:rPr>
      </w:pPr>
      <w:r>
        <w:rPr>
          <w:rFonts w:ascii="Arial" w:eastAsia="Arial" w:hAnsi="Arial" w:cs="Arial"/>
          <w:bCs/>
          <w:color w:val="000000"/>
        </w:rPr>
        <w:t>“</w:t>
      </w:r>
      <w:r w:rsidR="000D05E5" w:rsidRPr="0021652C">
        <w:rPr>
          <w:rFonts w:ascii="Arial" w:eastAsia="Arial" w:hAnsi="Arial" w:cs="Arial"/>
          <w:bCs/>
          <w:color w:val="000000"/>
        </w:rPr>
        <w:t>We have considered the compliance of the proposed procurement route and soft market testing with the Public Contracts Regulations 2015 (“the Regulations”). We consider that in principle the proposed procurement route and soft market testing are compliant with the Regulations.</w:t>
      </w:r>
      <w:r>
        <w:rPr>
          <w:rFonts w:ascii="Arial" w:eastAsia="Arial" w:hAnsi="Arial" w:cs="Arial"/>
          <w:bCs/>
          <w:color w:val="000000"/>
        </w:rPr>
        <w:t>”</w:t>
      </w:r>
    </w:p>
    <w:p w14:paraId="54624962" w14:textId="287EFD8C" w:rsidR="000D05E5" w:rsidRDefault="000D05E5" w:rsidP="00691888">
      <w:pPr>
        <w:tabs>
          <w:tab w:val="left" w:pos="567"/>
        </w:tabs>
        <w:rPr>
          <w:rFonts w:ascii="Arial" w:eastAsia="Arial" w:hAnsi="Arial" w:cs="Arial"/>
          <w:bCs/>
          <w:color w:val="000000"/>
          <w:highlight w:val="yellow"/>
        </w:rPr>
      </w:pPr>
      <w:r>
        <w:rPr>
          <w:rFonts w:ascii="Arial" w:eastAsia="Arial" w:hAnsi="Arial" w:cs="Arial"/>
          <w:bCs/>
          <w:color w:val="000000"/>
        </w:rPr>
        <w:t xml:space="preserve">DAC Beachcroft’s legal report on the procurement strategy, including two </w:t>
      </w:r>
      <w:r w:rsidRPr="00FA373A">
        <w:rPr>
          <w:rFonts w:ascii="Arial" w:eastAsia="Arial" w:hAnsi="Arial" w:cs="Arial"/>
          <w:bCs/>
          <w:color w:val="000000"/>
        </w:rPr>
        <w:t>‘safeguards’ with reference to the approach to the procurement</w:t>
      </w:r>
      <w:r>
        <w:rPr>
          <w:rFonts w:ascii="Arial" w:eastAsia="Arial" w:hAnsi="Arial" w:cs="Arial"/>
          <w:bCs/>
          <w:color w:val="000000"/>
        </w:rPr>
        <w:t xml:space="preserve"> </w:t>
      </w:r>
      <w:r w:rsidRPr="00FA373A">
        <w:rPr>
          <w:rFonts w:ascii="Arial" w:eastAsia="Arial" w:hAnsi="Arial" w:cs="Arial"/>
          <w:bCs/>
          <w:color w:val="000000"/>
        </w:rPr>
        <w:t>strategy and main contractor soft market testing</w:t>
      </w:r>
      <w:r>
        <w:rPr>
          <w:rFonts w:ascii="Arial" w:eastAsia="Arial" w:hAnsi="Arial" w:cs="Arial"/>
          <w:bCs/>
          <w:color w:val="000000"/>
        </w:rPr>
        <w:t xml:space="preserve">, is included in the procurement strategy at Appendix </w:t>
      </w:r>
      <w:r w:rsidR="004424A6">
        <w:rPr>
          <w:rFonts w:ascii="Arial" w:eastAsia="Arial" w:hAnsi="Arial" w:cs="Arial"/>
          <w:bCs/>
          <w:color w:val="000000"/>
        </w:rPr>
        <w:t>7A</w:t>
      </w:r>
      <w:r w:rsidRPr="00FA373A">
        <w:rPr>
          <w:rFonts w:ascii="Arial" w:eastAsia="Arial" w:hAnsi="Arial" w:cs="Arial"/>
          <w:bCs/>
          <w:color w:val="000000"/>
        </w:rPr>
        <w:t>.</w:t>
      </w:r>
    </w:p>
    <w:p w14:paraId="59A60DEA" w14:textId="77777777" w:rsidR="000D05E5" w:rsidRDefault="000D05E5" w:rsidP="000D05E5">
      <w:pPr>
        <w:tabs>
          <w:tab w:val="left" w:pos="567"/>
        </w:tabs>
        <w:spacing w:after="0"/>
        <w:rPr>
          <w:rFonts w:ascii="Arial" w:eastAsia="Arial" w:hAnsi="Arial" w:cs="Arial"/>
          <w:bCs/>
          <w:color w:val="000000"/>
          <w:highlight w:val="yellow"/>
        </w:rPr>
      </w:pPr>
    </w:p>
    <w:p w14:paraId="5270B7A1" w14:textId="77777777" w:rsidR="000D05E5" w:rsidRDefault="000D05E5" w:rsidP="005E0D57">
      <w:pPr>
        <w:pStyle w:val="Heading2"/>
        <w:numPr>
          <w:ilvl w:val="1"/>
          <w:numId w:val="39"/>
        </w:numPr>
        <w:rPr>
          <w:rFonts w:ascii="Arial" w:eastAsia="Arial" w:hAnsi="Arial" w:cs="Arial"/>
        </w:rPr>
      </w:pPr>
      <w:bookmarkStart w:id="395" w:name="_Hlk17466641"/>
      <w:bookmarkStart w:id="396" w:name="_Hlk25160847"/>
      <w:bookmarkStart w:id="397" w:name="_Toc26430012"/>
      <w:bookmarkStart w:id="398" w:name="_Toc32842757"/>
      <w:r>
        <w:rPr>
          <w:rFonts w:ascii="Arial" w:eastAsia="Arial" w:hAnsi="Arial" w:cs="Arial"/>
        </w:rPr>
        <w:t>Delivery vehicle – Enabling a Partnership Approach</w:t>
      </w:r>
      <w:bookmarkEnd w:id="395"/>
      <w:bookmarkEnd w:id="396"/>
      <w:bookmarkEnd w:id="397"/>
      <w:bookmarkEnd w:id="398"/>
    </w:p>
    <w:p w14:paraId="49416B5D" w14:textId="77777777" w:rsidR="000D05E5" w:rsidRPr="003128BF" w:rsidRDefault="000D05E5" w:rsidP="000D05E5">
      <w:pPr>
        <w:spacing w:after="0"/>
      </w:pPr>
    </w:p>
    <w:p w14:paraId="1BEA61AD" w14:textId="7DB2BF30" w:rsidR="00AB76DC" w:rsidRPr="00C12209" w:rsidRDefault="00AB76DC" w:rsidP="00AB76DC">
      <w:pPr>
        <w:tabs>
          <w:tab w:val="left" w:pos="567"/>
        </w:tabs>
        <w:spacing w:after="0"/>
        <w:rPr>
          <w:rFonts w:ascii="Arial" w:eastAsia="Arial" w:hAnsi="Arial" w:cs="Arial"/>
          <w:bCs/>
          <w:color w:val="000000"/>
        </w:rPr>
      </w:pPr>
      <w:r>
        <w:rPr>
          <w:rFonts w:ascii="Arial" w:eastAsia="Arial" w:hAnsi="Arial" w:cs="Arial"/>
          <w:bCs/>
          <w:color w:val="000000"/>
        </w:rPr>
        <w:t xml:space="preserve">The partners propose to deliver the facility through the use of a </w:t>
      </w:r>
      <w:r w:rsidRPr="00AB76DC">
        <w:rPr>
          <w:rFonts w:ascii="Arial" w:eastAsia="Arial" w:hAnsi="Arial" w:cs="Arial"/>
          <w:b/>
          <w:color w:val="000000"/>
        </w:rPr>
        <w:t>Joint Delivery Vehicle (JDV).</w:t>
      </w:r>
      <w:r>
        <w:rPr>
          <w:rFonts w:ascii="Arial" w:eastAsia="Arial" w:hAnsi="Arial" w:cs="Arial"/>
          <w:bCs/>
          <w:color w:val="000000"/>
        </w:rPr>
        <w:t xml:space="preserve"> The following section sets out the rationale for the proposal to establish a </w:t>
      </w:r>
      <w:r>
        <w:rPr>
          <w:rFonts w:ascii="Arial" w:hAnsi="Arial" w:cs="Arial"/>
        </w:rPr>
        <w:t>JDV to deliver Oriel. T</w:t>
      </w:r>
      <w:r>
        <w:rPr>
          <w:rFonts w:ascii="Arial" w:eastAsia="Arial" w:hAnsi="Arial" w:cs="Arial"/>
          <w:bCs/>
          <w:color w:val="000000"/>
        </w:rPr>
        <w:t xml:space="preserve">he </w:t>
      </w:r>
      <w:r w:rsidRPr="004536CF">
        <w:rPr>
          <w:rFonts w:ascii="Arial" w:eastAsia="Arial" w:hAnsi="Arial" w:cs="Arial"/>
          <w:bCs/>
          <w:color w:val="000000"/>
        </w:rPr>
        <w:t>detail</w:t>
      </w:r>
      <w:r>
        <w:rPr>
          <w:rFonts w:ascii="Arial" w:eastAsia="Arial" w:hAnsi="Arial" w:cs="Arial"/>
          <w:bCs/>
          <w:color w:val="000000"/>
        </w:rPr>
        <w:t xml:space="preserve"> of this proposal, including the options considered for </w:t>
      </w:r>
      <w:r w:rsidRPr="00C12209">
        <w:rPr>
          <w:rFonts w:ascii="Arial" w:eastAsia="Arial" w:hAnsi="Arial" w:cs="Arial"/>
          <w:bCs/>
          <w:color w:val="000000"/>
        </w:rPr>
        <w:t>delivery of the scheme</w:t>
      </w:r>
      <w:r>
        <w:rPr>
          <w:rFonts w:ascii="Arial" w:eastAsia="Arial" w:hAnsi="Arial" w:cs="Arial"/>
          <w:bCs/>
          <w:color w:val="000000"/>
        </w:rPr>
        <w:t xml:space="preserve">, </w:t>
      </w:r>
      <w:r w:rsidRPr="00C12209">
        <w:rPr>
          <w:rFonts w:ascii="Arial" w:eastAsia="Arial" w:hAnsi="Arial" w:cs="Arial"/>
          <w:bCs/>
          <w:color w:val="000000"/>
        </w:rPr>
        <w:t xml:space="preserve">the planned next steps, accountancy treatment and personnel implications, are set out in Appendix </w:t>
      </w:r>
      <w:r w:rsidR="004424A6">
        <w:rPr>
          <w:rFonts w:ascii="Arial" w:eastAsia="Arial" w:hAnsi="Arial" w:cs="Arial"/>
          <w:bCs/>
          <w:color w:val="000000"/>
        </w:rPr>
        <w:t>7E</w:t>
      </w:r>
      <w:r w:rsidRPr="00C12209">
        <w:rPr>
          <w:rFonts w:ascii="Arial" w:eastAsia="Arial" w:hAnsi="Arial" w:cs="Arial"/>
          <w:bCs/>
          <w:color w:val="000000"/>
        </w:rPr>
        <w:t>.</w:t>
      </w:r>
      <w:r>
        <w:rPr>
          <w:rFonts w:ascii="Arial" w:eastAsia="Arial" w:hAnsi="Arial" w:cs="Arial"/>
          <w:bCs/>
          <w:color w:val="000000"/>
        </w:rPr>
        <w:t xml:space="preserve"> The trust and UCL recognise that the truly integrated nature of this joint centre is best crystallised by the use of a JDV.</w:t>
      </w:r>
    </w:p>
    <w:p w14:paraId="09B1DB01" w14:textId="77777777" w:rsidR="00AB76DC" w:rsidRPr="00575258" w:rsidRDefault="00AB76DC" w:rsidP="00AB76DC">
      <w:pPr>
        <w:tabs>
          <w:tab w:val="left" w:pos="567"/>
        </w:tabs>
        <w:spacing w:after="0"/>
        <w:rPr>
          <w:rFonts w:ascii="Arial" w:hAnsi="Arial" w:cs="Arial"/>
        </w:rPr>
      </w:pPr>
    </w:p>
    <w:p w14:paraId="072B6ED6" w14:textId="44CB3212" w:rsidR="00AB76DC" w:rsidRPr="00C12209" w:rsidRDefault="00AB76DC" w:rsidP="00AB76DC">
      <w:pPr>
        <w:tabs>
          <w:tab w:val="left" w:pos="567"/>
        </w:tabs>
        <w:spacing w:after="0"/>
        <w:rPr>
          <w:rFonts w:ascii="Arial" w:eastAsia="Arial" w:hAnsi="Arial" w:cs="Arial"/>
          <w:bCs/>
          <w:color w:val="000000"/>
        </w:rPr>
      </w:pPr>
      <w:r w:rsidRPr="00575258">
        <w:rPr>
          <w:rFonts w:ascii="Arial" w:hAnsi="Arial" w:cs="Arial"/>
        </w:rPr>
        <w:t xml:space="preserve">The trust notes </w:t>
      </w:r>
      <w:r>
        <w:rPr>
          <w:rFonts w:ascii="Arial" w:hAnsi="Arial" w:cs="Arial"/>
        </w:rPr>
        <w:t>the specific guidance relating to forming the JDV in</w:t>
      </w:r>
      <w:r w:rsidRPr="00575258">
        <w:rPr>
          <w:rFonts w:ascii="Arial" w:hAnsi="Arial" w:cs="Arial"/>
        </w:rPr>
        <w:t xml:space="preserve"> NHS Improvement’s (NHSI) </w:t>
      </w:r>
      <w:r w:rsidRPr="00575258">
        <w:rPr>
          <w:rFonts w:ascii="Arial" w:hAnsi="Arial" w:cs="Arial"/>
          <w:i/>
          <w:iCs/>
        </w:rPr>
        <w:t>Addendum to the transactions guidance – for trusts undertaking transactions, including mergers and acquisitions</w:t>
      </w:r>
      <w:r>
        <w:rPr>
          <w:rFonts w:ascii="Arial" w:hAnsi="Arial" w:cs="Arial"/>
        </w:rPr>
        <w:t>. A business case on the JDV will be submitted to NHSE/I in 2020.</w:t>
      </w:r>
    </w:p>
    <w:p w14:paraId="53E231EC" w14:textId="77777777" w:rsidR="009537BA" w:rsidRDefault="009537BA" w:rsidP="009537BA">
      <w:pPr>
        <w:spacing w:after="0"/>
      </w:pPr>
    </w:p>
    <w:p w14:paraId="27A21C2D" w14:textId="77777777" w:rsidR="009537BA" w:rsidRPr="0004656C" w:rsidRDefault="009537BA" w:rsidP="005E0D57">
      <w:pPr>
        <w:pStyle w:val="Heading2"/>
        <w:numPr>
          <w:ilvl w:val="2"/>
          <w:numId w:val="39"/>
        </w:numPr>
        <w:spacing w:after="240"/>
        <w:rPr>
          <w:rFonts w:ascii="Arial" w:eastAsia="Arial" w:hAnsi="Arial" w:cs="Arial"/>
          <w:sz w:val="22"/>
          <w:szCs w:val="22"/>
        </w:rPr>
      </w:pPr>
      <w:bookmarkStart w:id="399" w:name="_Toc26430013"/>
      <w:bookmarkStart w:id="400" w:name="_Toc27746733"/>
      <w:bookmarkStart w:id="401" w:name="_Toc30168791"/>
      <w:bookmarkStart w:id="402" w:name="_Toc30670739"/>
      <w:bookmarkStart w:id="403" w:name="_Toc32842758"/>
      <w:r w:rsidRPr="0004656C">
        <w:rPr>
          <w:rFonts w:ascii="Arial" w:eastAsia="Arial" w:hAnsi="Arial" w:cs="Arial"/>
          <w:sz w:val="22"/>
          <w:szCs w:val="22"/>
        </w:rPr>
        <w:t>Context</w:t>
      </w:r>
      <w:bookmarkEnd w:id="399"/>
      <w:bookmarkEnd w:id="400"/>
      <w:bookmarkEnd w:id="401"/>
      <w:bookmarkEnd w:id="402"/>
      <w:bookmarkEnd w:id="403"/>
    </w:p>
    <w:p w14:paraId="111FC457" w14:textId="77777777" w:rsidR="009537BA" w:rsidRDefault="009537BA" w:rsidP="009537BA">
      <w:pPr>
        <w:rPr>
          <w:rFonts w:ascii="Arial" w:eastAsia="Arial" w:hAnsi="Arial" w:cs="Arial"/>
        </w:rPr>
      </w:pPr>
      <w:r>
        <w:rPr>
          <w:rFonts w:ascii="Arial" w:hAnsi="Arial" w:cs="Arial"/>
        </w:rPr>
        <w:t xml:space="preserve">Oriel has, from its inception, been consistently described as a joint initiative between Moorfields and UCL IoO, building on current operational alliances. It is recognised that the partners are in a unique position to deliver a new facility configured to deliver and translate academic research through to the patient from the laboratory. </w:t>
      </w:r>
      <w:r>
        <w:rPr>
          <w:rFonts w:ascii="Arial" w:eastAsia="Arial" w:hAnsi="Arial" w:cs="Arial"/>
        </w:rPr>
        <w:t>The partners have therefore examined ways in which Oriel can be delivered which shares the risks and potential upsides of delivery, and creates a truly integrated facility, which cuts across organisational boundaries.</w:t>
      </w:r>
    </w:p>
    <w:p w14:paraId="0ABBF6DB" w14:textId="77777777" w:rsidR="009537BA" w:rsidRDefault="009537BA" w:rsidP="009537BA">
      <w:pPr>
        <w:rPr>
          <w:rFonts w:ascii="Arial" w:eastAsia="Arial" w:hAnsi="Arial" w:cs="Arial"/>
        </w:rPr>
      </w:pPr>
      <w:r>
        <w:rPr>
          <w:rFonts w:ascii="Arial" w:eastAsia="Arial" w:hAnsi="Arial" w:cs="Arial"/>
        </w:rPr>
        <w:lastRenderedPageBreak/>
        <w:t>While overall management oversight should always remain with the remit of each body’s governance structure, ring fencing Oriel in a separate delivery vehicle will allow the project team, objectives, risk and funding to be separately managed whilst at the same time, still allowing both parties to crystallise the positive aspect of current synergies of joint working.</w:t>
      </w:r>
    </w:p>
    <w:p w14:paraId="67F9DA57" w14:textId="77777777" w:rsidR="009537BA" w:rsidRDefault="009537BA" w:rsidP="009537BA">
      <w:pPr>
        <w:rPr>
          <w:rFonts w:ascii="Arial" w:hAnsi="Arial" w:cs="Arial"/>
        </w:rPr>
      </w:pPr>
      <w:r>
        <w:rPr>
          <w:rFonts w:ascii="Arial" w:hAnsi="Arial" w:cs="Arial"/>
        </w:rPr>
        <w:t xml:space="preserve">In order to best support this collaborative approach, the proposal is to create a JDV, akin to a </w:t>
      </w:r>
      <w:r>
        <w:rPr>
          <w:rFonts w:ascii="Arial" w:hAnsi="Arial" w:cs="Arial"/>
          <w:bCs/>
        </w:rPr>
        <w:t>special-purpose vehicle,</w:t>
      </w:r>
      <w:r>
        <w:rPr>
          <w:rFonts w:ascii="Arial" w:hAnsi="Arial" w:cs="Arial"/>
          <w:b/>
          <w:bCs/>
        </w:rPr>
        <w:t xml:space="preserve"> </w:t>
      </w:r>
      <w:r>
        <w:rPr>
          <w:rFonts w:ascii="Arial" w:hAnsi="Arial" w:cs="Arial"/>
          <w:bCs/>
        </w:rPr>
        <w:t>which</w:t>
      </w:r>
      <w:r>
        <w:rPr>
          <w:rFonts w:ascii="Arial" w:hAnsi="Arial" w:cs="Arial"/>
          <w:b/>
          <w:bCs/>
        </w:rPr>
        <w:t xml:space="preserve"> </w:t>
      </w:r>
      <w:r>
        <w:rPr>
          <w:rFonts w:ascii="Arial" w:hAnsi="Arial" w:cs="Arial"/>
        </w:rPr>
        <w:t>will be established as a separate legal entity to meet the project objectives.</w:t>
      </w:r>
    </w:p>
    <w:p w14:paraId="773A30F1" w14:textId="77777777" w:rsidR="009537BA" w:rsidRDefault="009537BA" w:rsidP="009537BA">
      <w:pPr>
        <w:rPr>
          <w:rFonts w:ascii="Arial" w:eastAsia="Arial" w:hAnsi="Arial" w:cs="Arial"/>
        </w:rPr>
      </w:pPr>
      <w:r>
        <w:rPr>
          <w:rFonts w:ascii="Arial" w:eastAsia="Arial" w:hAnsi="Arial" w:cs="Arial"/>
        </w:rPr>
        <w:t>JDVs have been considered due to the recognition that, while in theory the project could be delivered within current governance and operational structures, this will be challenging when organisations are also delivering ‘business as usual’ in different regulatory environments. Experience from successful capital projects delivered by both by the NHS and commercial organisations is that substantial projects of this size are best controlled and managed if they have very clearly defined and separated boundaries enabling the delivery team to progress the project unencumbered from operational demands.</w:t>
      </w:r>
    </w:p>
    <w:p w14:paraId="0E7478A0" w14:textId="77777777" w:rsidR="009537BA" w:rsidRDefault="009537BA" w:rsidP="009537BA">
      <w:pPr>
        <w:rPr>
          <w:rFonts w:ascii="Arial" w:eastAsia="Arial" w:hAnsi="Arial" w:cs="Arial"/>
        </w:rPr>
      </w:pPr>
      <w:r>
        <w:rPr>
          <w:rFonts w:ascii="Arial" w:eastAsia="Arial" w:hAnsi="Arial" w:cs="Arial"/>
        </w:rPr>
        <w:t>When considering how best to achieve the aims of the partnership, Moorfields and UCL have appointed an independent expert (Chase Reeves &amp; Co Ltd) to examine the delivery structures available. This appraisal has considered lessons learnt from other NHS trusts, as well as the Francis Crick Institute which opened in 2016, and is the biggest single biomedical laboratory in Europe.</w:t>
      </w:r>
    </w:p>
    <w:p w14:paraId="25445B55" w14:textId="77777777" w:rsidR="009537BA" w:rsidRDefault="009537BA" w:rsidP="009537BA">
      <w:pPr>
        <w:rPr>
          <w:rFonts w:ascii="Arial" w:eastAsia="Arial" w:hAnsi="Arial" w:cs="Arial"/>
        </w:rPr>
      </w:pPr>
      <w:r>
        <w:rPr>
          <w:rFonts w:ascii="Arial" w:eastAsia="Arial" w:hAnsi="Arial" w:cs="Arial"/>
        </w:rPr>
        <w:t>The parties currently split the costs associated with the Oriel project on a 70/30 ratio, on the basis of an agreed Memorandum of Understanding.</w:t>
      </w:r>
    </w:p>
    <w:p w14:paraId="4A70911D" w14:textId="77777777" w:rsidR="009537BA" w:rsidRDefault="009537BA" w:rsidP="009537BA">
      <w:pPr>
        <w:spacing w:after="0"/>
      </w:pPr>
    </w:p>
    <w:p w14:paraId="5B7BD914" w14:textId="77777777" w:rsidR="009537BA" w:rsidRPr="0004656C" w:rsidRDefault="009537BA" w:rsidP="005E0D57">
      <w:pPr>
        <w:pStyle w:val="Heading2"/>
        <w:numPr>
          <w:ilvl w:val="2"/>
          <w:numId w:val="39"/>
        </w:numPr>
        <w:spacing w:after="240"/>
        <w:rPr>
          <w:rFonts w:ascii="Arial" w:eastAsia="Arial" w:hAnsi="Arial" w:cs="Arial"/>
          <w:sz w:val="22"/>
          <w:szCs w:val="22"/>
        </w:rPr>
      </w:pPr>
      <w:bookmarkStart w:id="404" w:name="_Toc26430016"/>
      <w:bookmarkStart w:id="405" w:name="_Toc27746736"/>
      <w:bookmarkStart w:id="406" w:name="_Toc30168792"/>
      <w:bookmarkStart w:id="407" w:name="_Toc30670740"/>
      <w:bookmarkStart w:id="408" w:name="_Toc32842759"/>
      <w:r w:rsidRPr="0004656C">
        <w:rPr>
          <w:rFonts w:ascii="Arial" w:eastAsia="Arial" w:hAnsi="Arial" w:cs="Arial"/>
          <w:sz w:val="22"/>
          <w:szCs w:val="22"/>
        </w:rPr>
        <w:t xml:space="preserve">Benefits of </w:t>
      </w:r>
      <w:bookmarkEnd w:id="404"/>
      <w:bookmarkEnd w:id="405"/>
      <w:r>
        <w:rPr>
          <w:rFonts w:ascii="Arial" w:eastAsia="Arial" w:hAnsi="Arial" w:cs="Arial"/>
          <w:sz w:val="22"/>
          <w:szCs w:val="22"/>
        </w:rPr>
        <w:t>a Joint Development Vehicle for Oriel</w:t>
      </w:r>
      <w:bookmarkEnd w:id="406"/>
      <w:bookmarkEnd w:id="407"/>
      <w:bookmarkEnd w:id="408"/>
    </w:p>
    <w:p w14:paraId="63EEFA88" w14:textId="3B961EB4" w:rsidR="002C5245" w:rsidRDefault="002C5245" w:rsidP="009537BA">
      <w:pPr>
        <w:tabs>
          <w:tab w:val="left" w:pos="567"/>
        </w:tabs>
        <w:spacing w:after="0"/>
        <w:rPr>
          <w:rFonts w:ascii="Arial" w:eastAsia="Arial" w:hAnsi="Arial" w:cs="Arial"/>
          <w:bCs/>
          <w:color w:val="000000"/>
        </w:rPr>
      </w:pPr>
      <w:r>
        <w:rPr>
          <w:rFonts w:ascii="Arial" w:eastAsia="Arial" w:hAnsi="Arial" w:cs="Arial"/>
          <w:bCs/>
          <w:color w:val="000000"/>
        </w:rPr>
        <w:t>A JDV will enable Moorfields and UCL to take a true partnership approach to delivering and operating within the building. While there will be areas of the building used primarily by UCL or Moorfields, shared space will enable collaboration and integration between research, education and clinical services. As well as enabling the partners to work to best effect in the building, a JDV will provide a single FM and building maintenance service for shared areas.</w:t>
      </w:r>
    </w:p>
    <w:p w14:paraId="54F303F3" w14:textId="77777777" w:rsidR="002C5245" w:rsidRDefault="002C5245" w:rsidP="009537BA">
      <w:pPr>
        <w:tabs>
          <w:tab w:val="left" w:pos="567"/>
        </w:tabs>
        <w:spacing w:after="0"/>
        <w:rPr>
          <w:rFonts w:ascii="Arial" w:eastAsia="Arial" w:hAnsi="Arial" w:cs="Arial"/>
          <w:bCs/>
          <w:color w:val="000000"/>
        </w:rPr>
      </w:pPr>
    </w:p>
    <w:p w14:paraId="3943C269" w14:textId="5491AF02" w:rsidR="009537BA" w:rsidRDefault="009537BA" w:rsidP="009537BA">
      <w:pPr>
        <w:tabs>
          <w:tab w:val="left" w:pos="567"/>
        </w:tabs>
        <w:spacing w:after="0"/>
        <w:rPr>
          <w:rFonts w:ascii="Arial" w:eastAsia="Arial" w:hAnsi="Arial" w:cs="Arial"/>
          <w:bCs/>
          <w:color w:val="000000"/>
        </w:rPr>
      </w:pPr>
      <w:r w:rsidRPr="00640A0E">
        <w:rPr>
          <w:rFonts w:ascii="Arial" w:eastAsia="Arial" w:hAnsi="Arial" w:cs="Arial"/>
          <w:bCs/>
          <w:color w:val="000000"/>
        </w:rPr>
        <w:t xml:space="preserve">The following table summarises some of the key areas of benefit that </w:t>
      </w:r>
      <w:r w:rsidR="002C5245">
        <w:rPr>
          <w:rFonts w:ascii="Arial" w:eastAsia="Arial" w:hAnsi="Arial" w:cs="Arial"/>
          <w:bCs/>
          <w:color w:val="000000"/>
        </w:rPr>
        <w:t>will</w:t>
      </w:r>
      <w:r w:rsidRPr="00640A0E">
        <w:rPr>
          <w:rFonts w:ascii="Arial" w:eastAsia="Arial" w:hAnsi="Arial" w:cs="Arial"/>
          <w:bCs/>
          <w:color w:val="000000"/>
        </w:rPr>
        <w:t xml:space="preserve"> be achieved through </w:t>
      </w:r>
      <w:r>
        <w:rPr>
          <w:rFonts w:ascii="Arial" w:eastAsia="Arial" w:hAnsi="Arial" w:cs="Arial"/>
          <w:bCs/>
          <w:color w:val="000000"/>
        </w:rPr>
        <w:t xml:space="preserve">establishing </w:t>
      </w:r>
      <w:r w:rsidRPr="00640A0E">
        <w:rPr>
          <w:rFonts w:ascii="Arial" w:eastAsia="Arial" w:hAnsi="Arial" w:cs="Arial"/>
          <w:bCs/>
          <w:color w:val="000000"/>
        </w:rPr>
        <w:t>a JDV</w:t>
      </w:r>
      <w:r>
        <w:rPr>
          <w:rFonts w:ascii="Arial" w:eastAsia="Arial" w:hAnsi="Arial" w:cs="Arial"/>
          <w:bCs/>
          <w:color w:val="000000"/>
        </w:rPr>
        <w:t xml:space="preserve"> (as opposed to delivering the project directly</w:t>
      </w:r>
      <w:r w:rsidR="002C5245">
        <w:rPr>
          <w:rFonts w:ascii="Arial" w:eastAsia="Arial" w:hAnsi="Arial" w:cs="Arial"/>
          <w:bCs/>
          <w:color w:val="000000"/>
        </w:rPr>
        <w:t>)</w:t>
      </w:r>
      <w:r w:rsidRPr="00640A0E">
        <w:rPr>
          <w:rFonts w:ascii="Arial" w:eastAsia="Arial" w:hAnsi="Arial" w:cs="Arial"/>
          <w:bCs/>
          <w:color w:val="000000"/>
        </w:rPr>
        <w:t>:</w:t>
      </w:r>
    </w:p>
    <w:p w14:paraId="7786106E" w14:textId="3903898B" w:rsidR="009537BA" w:rsidRDefault="009537BA" w:rsidP="009537BA">
      <w:pPr>
        <w:pStyle w:val="Caption"/>
      </w:pPr>
      <w:r>
        <w:t xml:space="preserve">Table </w:t>
      </w:r>
      <w:r>
        <w:fldChar w:fldCharType="begin"/>
      </w:r>
      <w:r>
        <w:instrText xml:space="preserve"> SEQ Table \* ARABIC </w:instrText>
      </w:r>
      <w:r>
        <w:fldChar w:fldCharType="separate"/>
      </w:r>
      <w:r w:rsidR="00A936CD">
        <w:rPr>
          <w:noProof/>
        </w:rPr>
        <w:t>39</w:t>
      </w:r>
      <w:r>
        <w:fldChar w:fldCharType="end"/>
      </w:r>
      <w:r>
        <w:t xml:space="preserve">: </w:t>
      </w:r>
      <w:r w:rsidRPr="006F6816">
        <w:rPr>
          <w:b w:val="0"/>
          <w:bCs w:val="0"/>
        </w:rPr>
        <w:t>Anticipated benefits of the JDV</w:t>
      </w:r>
    </w:p>
    <w:tbl>
      <w:tblPr>
        <w:tblStyle w:val="TableGrid"/>
        <w:tblW w:w="9493" w:type="dxa"/>
        <w:tblLayout w:type="fixed"/>
        <w:tblLook w:val="04A0" w:firstRow="1" w:lastRow="0" w:firstColumn="1" w:lastColumn="0" w:noHBand="0" w:noVBand="1"/>
      </w:tblPr>
      <w:tblGrid>
        <w:gridCol w:w="2518"/>
        <w:gridCol w:w="6975"/>
      </w:tblGrid>
      <w:tr w:rsidR="0025490F" w:rsidRPr="0025490F" w14:paraId="78C64CCF" w14:textId="77777777" w:rsidTr="0025490F">
        <w:tc>
          <w:tcPr>
            <w:tcW w:w="2518" w:type="dxa"/>
            <w:shd w:val="clear" w:color="auto" w:fill="4F81BD"/>
            <w:vAlign w:val="center"/>
          </w:tcPr>
          <w:p w14:paraId="6D314771" w14:textId="77777777" w:rsidR="009537BA" w:rsidRPr="0025490F" w:rsidRDefault="009537BA" w:rsidP="00BF5253">
            <w:pPr>
              <w:autoSpaceDE w:val="0"/>
              <w:autoSpaceDN w:val="0"/>
              <w:adjustRightInd w:val="0"/>
              <w:spacing w:before="80" w:after="80" w:line="360" w:lineRule="auto"/>
              <w:rPr>
                <w:rFonts w:ascii="Arial" w:hAnsi="Arial" w:cs="Arial"/>
                <w:b/>
                <w:bCs/>
                <w:iCs/>
                <w:color w:val="FFFFFF" w:themeColor="background1"/>
              </w:rPr>
            </w:pPr>
            <w:r w:rsidRPr="0025490F">
              <w:rPr>
                <w:rFonts w:ascii="Arial" w:hAnsi="Arial" w:cs="Arial"/>
                <w:b/>
                <w:bCs/>
                <w:iCs/>
                <w:color w:val="FFFFFF" w:themeColor="background1"/>
              </w:rPr>
              <w:t>Area considered</w:t>
            </w:r>
          </w:p>
        </w:tc>
        <w:tc>
          <w:tcPr>
            <w:tcW w:w="6975" w:type="dxa"/>
            <w:shd w:val="clear" w:color="auto" w:fill="4F81BD"/>
            <w:vAlign w:val="center"/>
          </w:tcPr>
          <w:p w14:paraId="168EA114" w14:textId="77777777" w:rsidR="009537BA" w:rsidRPr="0025490F" w:rsidRDefault="009537BA" w:rsidP="00BF5253">
            <w:pPr>
              <w:autoSpaceDE w:val="0"/>
              <w:autoSpaceDN w:val="0"/>
              <w:adjustRightInd w:val="0"/>
              <w:spacing w:before="80" w:after="80" w:line="360" w:lineRule="auto"/>
              <w:rPr>
                <w:rFonts w:ascii="Arial" w:hAnsi="Arial" w:cs="Arial"/>
                <w:b/>
                <w:color w:val="FFFFFF" w:themeColor="background1"/>
              </w:rPr>
            </w:pPr>
            <w:r w:rsidRPr="0025490F">
              <w:rPr>
                <w:rFonts w:ascii="Arial" w:hAnsi="Arial" w:cs="Arial"/>
                <w:b/>
                <w:color w:val="FFFFFF" w:themeColor="background1"/>
              </w:rPr>
              <w:t>Benefit</w:t>
            </w:r>
          </w:p>
        </w:tc>
      </w:tr>
      <w:tr w:rsidR="009537BA" w:rsidRPr="004C3423" w14:paraId="48A1E8BA" w14:textId="77777777" w:rsidTr="00BF5253">
        <w:tc>
          <w:tcPr>
            <w:tcW w:w="2518" w:type="dxa"/>
          </w:tcPr>
          <w:p w14:paraId="6A7DAB84" w14:textId="77777777" w:rsidR="009537BA" w:rsidRPr="004C3423" w:rsidRDefault="009537BA" w:rsidP="00BF5253">
            <w:pPr>
              <w:autoSpaceDE w:val="0"/>
              <w:autoSpaceDN w:val="0"/>
              <w:adjustRightInd w:val="0"/>
              <w:spacing w:before="60" w:after="60"/>
              <w:rPr>
                <w:rFonts w:ascii="Arial" w:hAnsi="Arial" w:cs="Arial"/>
              </w:rPr>
            </w:pPr>
            <w:r w:rsidRPr="004C3423">
              <w:rPr>
                <w:rFonts w:ascii="Arial" w:hAnsi="Arial" w:cs="Arial"/>
              </w:rPr>
              <w:t>Functional competency</w:t>
            </w:r>
          </w:p>
        </w:tc>
        <w:tc>
          <w:tcPr>
            <w:tcW w:w="6975" w:type="dxa"/>
          </w:tcPr>
          <w:p w14:paraId="7229CCC7" w14:textId="43BDEC1C" w:rsidR="009537BA" w:rsidRPr="004C3423" w:rsidRDefault="009537BA" w:rsidP="00BF5253">
            <w:pPr>
              <w:autoSpaceDE w:val="0"/>
              <w:autoSpaceDN w:val="0"/>
              <w:adjustRightInd w:val="0"/>
              <w:spacing w:before="60" w:after="60"/>
              <w:rPr>
                <w:rFonts w:ascii="Arial" w:hAnsi="Arial" w:cs="Arial"/>
              </w:rPr>
            </w:pPr>
            <w:r w:rsidRPr="004C3423">
              <w:rPr>
                <w:rFonts w:ascii="Arial" w:hAnsi="Arial" w:cs="Arial"/>
              </w:rPr>
              <w:t xml:space="preserve">Clinical and estates functions within the </w:t>
            </w:r>
            <w:r>
              <w:rPr>
                <w:rFonts w:ascii="Arial" w:hAnsi="Arial" w:cs="Arial"/>
              </w:rPr>
              <w:t xml:space="preserve">partners </w:t>
            </w:r>
            <w:r w:rsidRPr="004C3423">
              <w:rPr>
                <w:rFonts w:ascii="Arial" w:hAnsi="Arial" w:cs="Arial"/>
              </w:rPr>
              <w:t>can focus on what they are best placed to manage</w:t>
            </w:r>
            <w:r w:rsidR="000614A5">
              <w:rPr>
                <w:rFonts w:ascii="Arial" w:hAnsi="Arial" w:cs="Arial"/>
              </w:rPr>
              <w:t>.</w:t>
            </w:r>
          </w:p>
        </w:tc>
      </w:tr>
      <w:tr w:rsidR="009537BA" w:rsidRPr="004C3423" w14:paraId="28EFD040" w14:textId="77777777" w:rsidTr="00BF5253">
        <w:tc>
          <w:tcPr>
            <w:tcW w:w="2518" w:type="dxa"/>
          </w:tcPr>
          <w:p w14:paraId="0669F9EC" w14:textId="77777777" w:rsidR="009537BA" w:rsidRPr="004C3423" w:rsidRDefault="009537BA" w:rsidP="00BF5253">
            <w:pPr>
              <w:autoSpaceDE w:val="0"/>
              <w:autoSpaceDN w:val="0"/>
              <w:adjustRightInd w:val="0"/>
              <w:spacing w:before="60" w:after="60"/>
              <w:rPr>
                <w:rFonts w:ascii="Arial" w:hAnsi="Arial" w:cs="Arial"/>
              </w:rPr>
            </w:pPr>
            <w:r w:rsidRPr="004C3423">
              <w:rPr>
                <w:rFonts w:ascii="Arial" w:hAnsi="Arial" w:cs="Arial"/>
              </w:rPr>
              <w:t>Operational efficiency</w:t>
            </w:r>
          </w:p>
        </w:tc>
        <w:tc>
          <w:tcPr>
            <w:tcW w:w="6975" w:type="dxa"/>
          </w:tcPr>
          <w:p w14:paraId="2AA577C0" w14:textId="6817B44D" w:rsidR="009537BA" w:rsidRPr="004C3423" w:rsidRDefault="009537BA" w:rsidP="00BF5253">
            <w:pPr>
              <w:autoSpaceDE w:val="0"/>
              <w:autoSpaceDN w:val="0"/>
              <w:adjustRightInd w:val="0"/>
              <w:spacing w:before="60" w:after="60"/>
              <w:rPr>
                <w:rFonts w:ascii="Arial" w:hAnsi="Arial" w:cs="Arial"/>
              </w:rPr>
            </w:pPr>
            <w:r w:rsidRPr="004C3423">
              <w:rPr>
                <w:rFonts w:ascii="Arial" w:hAnsi="Arial" w:cs="Arial"/>
              </w:rPr>
              <w:t>Unlocking organisational efficiency that accelerates delivery of maintenance, refurbishment and new capital projects</w:t>
            </w:r>
            <w:r w:rsidR="000614A5">
              <w:rPr>
                <w:rFonts w:ascii="Arial" w:hAnsi="Arial" w:cs="Arial"/>
              </w:rPr>
              <w:t>.</w:t>
            </w:r>
          </w:p>
        </w:tc>
      </w:tr>
      <w:tr w:rsidR="009537BA" w:rsidRPr="004C3423" w14:paraId="7CF43C90" w14:textId="77777777" w:rsidTr="00BF5253">
        <w:tc>
          <w:tcPr>
            <w:tcW w:w="2518" w:type="dxa"/>
          </w:tcPr>
          <w:p w14:paraId="1314F661" w14:textId="77777777" w:rsidR="009537BA" w:rsidRPr="004C3423" w:rsidRDefault="009537BA" w:rsidP="00BF5253">
            <w:pPr>
              <w:autoSpaceDE w:val="0"/>
              <w:autoSpaceDN w:val="0"/>
              <w:adjustRightInd w:val="0"/>
              <w:spacing w:before="60" w:after="60"/>
              <w:rPr>
                <w:rFonts w:ascii="Arial" w:hAnsi="Arial" w:cs="Arial"/>
              </w:rPr>
            </w:pPr>
            <w:r w:rsidRPr="004C3423">
              <w:rPr>
                <w:rFonts w:ascii="Arial" w:hAnsi="Arial" w:cs="Arial"/>
              </w:rPr>
              <w:t>Coherent strategy</w:t>
            </w:r>
          </w:p>
        </w:tc>
        <w:tc>
          <w:tcPr>
            <w:tcW w:w="6975" w:type="dxa"/>
          </w:tcPr>
          <w:p w14:paraId="263C9386" w14:textId="77777777" w:rsidR="009537BA" w:rsidRPr="004C3423" w:rsidRDefault="009537BA" w:rsidP="00BF5253">
            <w:pPr>
              <w:autoSpaceDE w:val="0"/>
              <w:autoSpaceDN w:val="0"/>
              <w:adjustRightInd w:val="0"/>
              <w:spacing w:before="60" w:after="60"/>
              <w:rPr>
                <w:rFonts w:ascii="Arial" w:hAnsi="Arial" w:cs="Arial"/>
              </w:rPr>
            </w:pPr>
            <w:r>
              <w:rPr>
                <w:rFonts w:ascii="Arial" w:hAnsi="Arial" w:cs="Arial"/>
              </w:rPr>
              <w:t>Delivering single strategy for Oriel which is applied across the new centre, breaking down organisational boundaries.</w:t>
            </w:r>
          </w:p>
        </w:tc>
      </w:tr>
      <w:tr w:rsidR="009537BA" w:rsidRPr="004C3423" w14:paraId="18205B8D" w14:textId="77777777" w:rsidTr="00BF5253">
        <w:tc>
          <w:tcPr>
            <w:tcW w:w="2518" w:type="dxa"/>
          </w:tcPr>
          <w:p w14:paraId="40C46C0E" w14:textId="77777777" w:rsidR="009537BA" w:rsidRPr="004C3423" w:rsidRDefault="009537BA" w:rsidP="00BF5253">
            <w:pPr>
              <w:autoSpaceDE w:val="0"/>
              <w:autoSpaceDN w:val="0"/>
              <w:adjustRightInd w:val="0"/>
              <w:spacing w:before="60" w:after="60"/>
              <w:rPr>
                <w:rFonts w:ascii="Arial" w:hAnsi="Arial" w:cs="Arial"/>
              </w:rPr>
            </w:pPr>
            <w:r w:rsidRPr="004C3423">
              <w:rPr>
                <w:rFonts w:ascii="Arial" w:hAnsi="Arial" w:cs="Arial"/>
              </w:rPr>
              <w:lastRenderedPageBreak/>
              <w:t>Best practice</w:t>
            </w:r>
          </w:p>
        </w:tc>
        <w:tc>
          <w:tcPr>
            <w:tcW w:w="6975" w:type="dxa"/>
          </w:tcPr>
          <w:p w14:paraId="4A7225C9" w14:textId="706CEEC6" w:rsidR="009537BA" w:rsidRPr="004C3423" w:rsidRDefault="009537BA" w:rsidP="00BF5253">
            <w:pPr>
              <w:autoSpaceDE w:val="0"/>
              <w:autoSpaceDN w:val="0"/>
              <w:adjustRightInd w:val="0"/>
              <w:spacing w:before="60" w:after="60"/>
              <w:rPr>
                <w:rFonts w:ascii="Arial" w:hAnsi="Arial" w:cs="Arial"/>
              </w:rPr>
            </w:pPr>
            <w:r>
              <w:rPr>
                <w:rFonts w:ascii="Arial" w:hAnsi="Arial" w:cs="Arial"/>
              </w:rPr>
              <w:t xml:space="preserve">Separation of project delivery from ‘business as usual’ activities will enable delivery teams to focus on delivering </w:t>
            </w:r>
            <w:r w:rsidRPr="004C3423">
              <w:rPr>
                <w:rFonts w:ascii="Arial" w:hAnsi="Arial" w:cs="Arial"/>
              </w:rPr>
              <w:t>best practice</w:t>
            </w:r>
            <w:r w:rsidR="000614A5">
              <w:rPr>
                <w:rFonts w:ascii="Arial" w:hAnsi="Arial" w:cs="Arial"/>
              </w:rPr>
              <w:t>.</w:t>
            </w:r>
          </w:p>
        </w:tc>
      </w:tr>
      <w:tr w:rsidR="009537BA" w:rsidRPr="004C3423" w14:paraId="3BE7562B" w14:textId="77777777" w:rsidTr="00BF5253">
        <w:tc>
          <w:tcPr>
            <w:tcW w:w="2518" w:type="dxa"/>
          </w:tcPr>
          <w:p w14:paraId="2C64E74C" w14:textId="77777777" w:rsidR="009537BA" w:rsidRPr="004C3423" w:rsidRDefault="009537BA" w:rsidP="00BF5253">
            <w:pPr>
              <w:autoSpaceDE w:val="0"/>
              <w:autoSpaceDN w:val="0"/>
              <w:adjustRightInd w:val="0"/>
              <w:spacing w:before="60" w:after="60"/>
              <w:rPr>
                <w:rFonts w:ascii="Arial" w:hAnsi="Arial" w:cs="Arial"/>
              </w:rPr>
            </w:pPr>
            <w:r w:rsidRPr="004C3423">
              <w:rPr>
                <w:rFonts w:ascii="Arial" w:hAnsi="Arial" w:cs="Arial"/>
              </w:rPr>
              <w:t>Performance monitoring</w:t>
            </w:r>
          </w:p>
        </w:tc>
        <w:tc>
          <w:tcPr>
            <w:tcW w:w="6975" w:type="dxa"/>
          </w:tcPr>
          <w:p w14:paraId="360A157E" w14:textId="1E1104FD" w:rsidR="009537BA" w:rsidRPr="004C3423" w:rsidRDefault="009537BA" w:rsidP="00BF5253">
            <w:pPr>
              <w:autoSpaceDE w:val="0"/>
              <w:autoSpaceDN w:val="0"/>
              <w:adjustRightInd w:val="0"/>
              <w:spacing w:before="60" w:after="60"/>
              <w:rPr>
                <w:rFonts w:ascii="Arial" w:hAnsi="Arial" w:cs="Arial"/>
              </w:rPr>
            </w:pPr>
            <w:r w:rsidRPr="004C3423">
              <w:rPr>
                <w:rFonts w:ascii="Arial" w:hAnsi="Arial" w:cs="Arial"/>
              </w:rPr>
              <w:t xml:space="preserve">Providing a degree of separation that allows the </w:t>
            </w:r>
            <w:r>
              <w:rPr>
                <w:rFonts w:ascii="Arial" w:hAnsi="Arial" w:cs="Arial"/>
              </w:rPr>
              <w:t xml:space="preserve">partners </w:t>
            </w:r>
            <w:r w:rsidRPr="004C3423">
              <w:rPr>
                <w:rFonts w:ascii="Arial" w:hAnsi="Arial" w:cs="Arial"/>
              </w:rPr>
              <w:t>to monitor its estate performance objectively against specified KPIs</w:t>
            </w:r>
            <w:r w:rsidR="000614A5">
              <w:rPr>
                <w:rFonts w:ascii="Arial" w:hAnsi="Arial" w:cs="Arial"/>
              </w:rPr>
              <w:t>.</w:t>
            </w:r>
          </w:p>
        </w:tc>
      </w:tr>
      <w:tr w:rsidR="009537BA" w:rsidRPr="004C3423" w14:paraId="57D0C13A" w14:textId="77777777" w:rsidTr="00BF5253">
        <w:tc>
          <w:tcPr>
            <w:tcW w:w="2518" w:type="dxa"/>
          </w:tcPr>
          <w:p w14:paraId="34E18FD4" w14:textId="77777777" w:rsidR="009537BA" w:rsidRPr="004C3423" w:rsidRDefault="009537BA" w:rsidP="00BF5253">
            <w:pPr>
              <w:autoSpaceDE w:val="0"/>
              <w:autoSpaceDN w:val="0"/>
              <w:adjustRightInd w:val="0"/>
              <w:spacing w:before="60" w:after="60"/>
              <w:rPr>
                <w:rFonts w:ascii="Arial" w:hAnsi="Arial" w:cs="Arial"/>
              </w:rPr>
            </w:pPr>
            <w:r w:rsidRPr="004C3423">
              <w:rPr>
                <w:rFonts w:ascii="Arial" w:hAnsi="Arial" w:cs="Arial"/>
              </w:rPr>
              <w:t>Workforce</w:t>
            </w:r>
          </w:p>
        </w:tc>
        <w:tc>
          <w:tcPr>
            <w:tcW w:w="6975" w:type="dxa"/>
          </w:tcPr>
          <w:p w14:paraId="4C579A8C" w14:textId="4C8C920F" w:rsidR="009537BA" w:rsidRPr="004C3423" w:rsidRDefault="009537BA" w:rsidP="00BF5253">
            <w:pPr>
              <w:autoSpaceDE w:val="0"/>
              <w:autoSpaceDN w:val="0"/>
              <w:adjustRightInd w:val="0"/>
              <w:spacing w:before="60" w:after="60"/>
              <w:rPr>
                <w:rFonts w:ascii="Arial" w:hAnsi="Arial" w:cs="Arial"/>
              </w:rPr>
            </w:pPr>
            <w:r>
              <w:rPr>
                <w:rFonts w:ascii="Arial" w:hAnsi="Arial" w:cs="Arial"/>
              </w:rPr>
              <w:t>Creation of a new, and truly integrated facility in which clinical services, research and education work together effectively, will i</w:t>
            </w:r>
            <w:r w:rsidRPr="004C3423">
              <w:rPr>
                <w:rFonts w:ascii="Arial" w:hAnsi="Arial" w:cs="Arial"/>
              </w:rPr>
              <w:t>mprove recruitment, retention and flexibility of workforce</w:t>
            </w:r>
            <w:r w:rsidR="000614A5">
              <w:rPr>
                <w:rFonts w:ascii="Arial" w:hAnsi="Arial" w:cs="Arial"/>
              </w:rPr>
              <w:t>.</w:t>
            </w:r>
          </w:p>
        </w:tc>
      </w:tr>
      <w:tr w:rsidR="009537BA" w:rsidRPr="004C3423" w14:paraId="6143164B" w14:textId="77777777" w:rsidTr="00BF5253">
        <w:tc>
          <w:tcPr>
            <w:tcW w:w="2518" w:type="dxa"/>
          </w:tcPr>
          <w:p w14:paraId="7E91BC23" w14:textId="77777777" w:rsidR="009537BA" w:rsidRPr="004C3423" w:rsidRDefault="009537BA" w:rsidP="00BF5253">
            <w:pPr>
              <w:autoSpaceDE w:val="0"/>
              <w:autoSpaceDN w:val="0"/>
              <w:adjustRightInd w:val="0"/>
              <w:spacing w:before="60" w:after="60"/>
              <w:rPr>
                <w:rFonts w:ascii="Arial" w:hAnsi="Arial" w:cs="Arial"/>
              </w:rPr>
            </w:pPr>
            <w:r w:rsidRPr="004C3423">
              <w:rPr>
                <w:rFonts w:ascii="Arial" w:hAnsi="Arial" w:cs="Arial"/>
              </w:rPr>
              <w:t>Commercial independence</w:t>
            </w:r>
          </w:p>
        </w:tc>
        <w:tc>
          <w:tcPr>
            <w:tcW w:w="6975" w:type="dxa"/>
          </w:tcPr>
          <w:p w14:paraId="37EB8466" w14:textId="27E04BD8" w:rsidR="009537BA" w:rsidRPr="004C3423" w:rsidRDefault="009537BA" w:rsidP="00BF5253">
            <w:pPr>
              <w:autoSpaceDE w:val="0"/>
              <w:autoSpaceDN w:val="0"/>
              <w:adjustRightInd w:val="0"/>
              <w:spacing w:before="60" w:after="60"/>
              <w:rPr>
                <w:rFonts w:ascii="Arial" w:hAnsi="Arial" w:cs="Arial"/>
              </w:rPr>
            </w:pPr>
            <w:r w:rsidRPr="004C3423">
              <w:rPr>
                <w:rFonts w:ascii="Arial" w:hAnsi="Arial" w:cs="Arial"/>
              </w:rPr>
              <w:t xml:space="preserve">Enabling the </w:t>
            </w:r>
            <w:r>
              <w:rPr>
                <w:rFonts w:ascii="Arial" w:hAnsi="Arial" w:cs="Arial"/>
              </w:rPr>
              <w:t>JD</w:t>
            </w:r>
            <w:r w:rsidRPr="004C3423">
              <w:rPr>
                <w:rFonts w:ascii="Arial" w:hAnsi="Arial" w:cs="Arial"/>
              </w:rPr>
              <w:t>V to operate commercially and pursue opportunities with a wider range of participants in the market</w:t>
            </w:r>
            <w:r w:rsidR="000614A5">
              <w:rPr>
                <w:rFonts w:ascii="Arial" w:hAnsi="Arial" w:cs="Arial"/>
              </w:rPr>
              <w:t>.</w:t>
            </w:r>
          </w:p>
        </w:tc>
      </w:tr>
    </w:tbl>
    <w:p w14:paraId="65BB21E5" w14:textId="0BBB98E2" w:rsidR="009537BA" w:rsidRDefault="009537BA" w:rsidP="009537BA">
      <w:pPr>
        <w:tabs>
          <w:tab w:val="left" w:pos="567"/>
        </w:tabs>
        <w:spacing w:after="0"/>
        <w:rPr>
          <w:rFonts w:ascii="Arial" w:eastAsia="Arial" w:hAnsi="Arial" w:cs="Arial"/>
          <w:bCs/>
          <w:color w:val="000000"/>
        </w:rPr>
      </w:pPr>
    </w:p>
    <w:p w14:paraId="36E4C78E" w14:textId="54B7409F" w:rsidR="00AB76DC" w:rsidRDefault="00AB76DC" w:rsidP="009537BA">
      <w:pPr>
        <w:tabs>
          <w:tab w:val="left" w:pos="567"/>
        </w:tabs>
        <w:spacing w:after="0"/>
        <w:rPr>
          <w:rFonts w:ascii="Arial" w:eastAsia="Arial" w:hAnsi="Arial" w:cs="Arial"/>
          <w:bCs/>
          <w:color w:val="000000"/>
        </w:rPr>
      </w:pPr>
    </w:p>
    <w:p w14:paraId="767CC7AB" w14:textId="77777777" w:rsidR="00AB76DC" w:rsidRPr="00D56783" w:rsidRDefault="00AB76DC" w:rsidP="005E0D57">
      <w:pPr>
        <w:pStyle w:val="Heading2"/>
        <w:numPr>
          <w:ilvl w:val="2"/>
          <w:numId w:val="39"/>
        </w:numPr>
        <w:spacing w:after="240"/>
        <w:rPr>
          <w:rFonts w:ascii="Arial" w:eastAsia="Arial" w:hAnsi="Arial" w:cs="Arial"/>
          <w:sz w:val="22"/>
          <w:szCs w:val="22"/>
        </w:rPr>
      </w:pPr>
      <w:bookmarkStart w:id="409" w:name="_Toc30670741"/>
      <w:bookmarkStart w:id="410" w:name="_Toc32842760"/>
      <w:r w:rsidRPr="00D56783">
        <w:rPr>
          <w:rFonts w:ascii="Arial" w:eastAsia="Arial" w:hAnsi="Arial" w:cs="Arial"/>
          <w:sz w:val="22"/>
          <w:szCs w:val="22"/>
        </w:rPr>
        <w:t>Overview of the configuration of the JDV</w:t>
      </w:r>
      <w:bookmarkEnd w:id="409"/>
      <w:bookmarkEnd w:id="410"/>
    </w:p>
    <w:p w14:paraId="2C04D871" w14:textId="3AEF7235" w:rsidR="00AB76DC" w:rsidRDefault="00AB76DC" w:rsidP="00AB76DC">
      <w:pPr>
        <w:tabs>
          <w:tab w:val="left" w:pos="567"/>
        </w:tabs>
        <w:spacing w:after="0"/>
        <w:rPr>
          <w:rFonts w:ascii="Arial" w:hAnsi="Arial" w:cs="Arial"/>
        </w:rPr>
      </w:pPr>
      <w:r>
        <w:rPr>
          <w:rFonts w:ascii="Arial" w:eastAsia="Arial" w:hAnsi="Arial" w:cs="Arial"/>
          <w:bCs/>
          <w:color w:val="000000"/>
        </w:rPr>
        <w:t xml:space="preserve">The key principle of the JDV is that it will be configured to afford it sufficient independence to make key decisions, whilst at the same time ensuring each partner retains a level of control to assure their board (Moorfields) or council (UCL) that they can strategically manage their ownership, benefits and risks. </w:t>
      </w:r>
      <w:r>
        <w:rPr>
          <w:rFonts w:ascii="Arial" w:hAnsi="Arial" w:cs="Arial"/>
        </w:rPr>
        <w:t>Once the JDV is formally constituted (subsequent to approval of a separate JDV business case), the deliverables for the entity can be summarised across 8 high-level steps as demonstrated in the diagram below:</w:t>
      </w:r>
    </w:p>
    <w:p w14:paraId="0EFD4167" w14:textId="77777777" w:rsidR="000905EB" w:rsidRDefault="000905EB" w:rsidP="00AB76DC">
      <w:pPr>
        <w:tabs>
          <w:tab w:val="left" w:pos="567"/>
        </w:tabs>
        <w:spacing w:after="0"/>
        <w:rPr>
          <w:rFonts w:ascii="Arial" w:hAnsi="Arial" w:cs="Arial"/>
        </w:rPr>
      </w:pPr>
    </w:p>
    <w:p w14:paraId="6F032511" w14:textId="431A0963" w:rsidR="001017B9" w:rsidRDefault="001017B9" w:rsidP="001017B9">
      <w:pPr>
        <w:pStyle w:val="Caption"/>
      </w:pPr>
      <w:r>
        <w:t xml:space="preserve">Figure </w:t>
      </w:r>
      <w:r>
        <w:fldChar w:fldCharType="begin"/>
      </w:r>
      <w:r>
        <w:instrText xml:space="preserve"> SEQ Figure \* ARABIC </w:instrText>
      </w:r>
      <w:r>
        <w:fldChar w:fldCharType="separate"/>
      </w:r>
      <w:r w:rsidR="00A936CD">
        <w:rPr>
          <w:noProof/>
        </w:rPr>
        <w:t>18</w:t>
      </w:r>
      <w:r>
        <w:fldChar w:fldCharType="end"/>
      </w:r>
      <w:r>
        <w:t xml:space="preserve">: </w:t>
      </w:r>
      <w:r>
        <w:rPr>
          <w:b w:val="0"/>
          <w:bCs w:val="0"/>
        </w:rPr>
        <w:t>JDV deliverables and commercial arrangements</w:t>
      </w:r>
    </w:p>
    <w:p w14:paraId="1536E85C" w14:textId="205E0176" w:rsidR="00AB76DC" w:rsidRDefault="00790AE3" w:rsidP="009537BA">
      <w:pPr>
        <w:tabs>
          <w:tab w:val="left" w:pos="567"/>
        </w:tabs>
        <w:spacing w:after="0"/>
        <w:rPr>
          <w:rFonts w:ascii="Arial" w:eastAsia="Arial" w:hAnsi="Arial" w:cs="Arial"/>
          <w:bCs/>
          <w:color w:val="000000"/>
          <w:highlight w:val="yellow"/>
        </w:rPr>
      </w:pPr>
      <w:bookmarkStart w:id="411" w:name="_Hlk33020793"/>
      <w:r>
        <w:rPr>
          <w:noProof/>
        </w:rPr>
        <w:drawing>
          <wp:inline distT="0" distB="0" distL="0" distR="0" wp14:anchorId="516AD166" wp14:editId="0A17F5FD">
            <wp:extent cx="5029200" cy="3556546"/>
            <wp:effectExtent l="0" t="0" r="0" b="6350"/>
            <wp:docPr id="1483731210" name="Picture 148373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6989" cy="3569126"/>
                    </a:xfrm>
                    <a:prstGeom prst="rect">
                      <a:avLst/>
                    </a:prstGeom>
                  </pic:spPr>
                </pic:pic>
              </a:graphicData>
            </a:graphic>
          </wp:inline>
        </w:drawing>
      </w:r>
    </w:p>
    <w:p w14:paraId="68875CD2" w14:textId="2C00C6F9" w:rsidR="002C5245" w:rsidRDefault="002C5245" w:rsidP="009537BA">
      <w:pPr>
        <w:tabs>
          <w:tab w:val="left" w:pos="567"/>
        </w:tabs>
        <w:spacing w:after="0"/>
        <w:rPr>
          <w:rFonts w:ascii="Arial" w:eastAsia="Arial" w:hAnsi="Arial" w:cs="Arial"/>
          <w:bCs/>
          <w:color w:val="000000"/>
          <w:highlight w:val="yellow"/>
        </w:rPr>
      </w:pPr>
    </w:p>
    <w:tbl>
      <w:tblPr>
        <w:tblStyle w:val="TableGrid"/>
        <w:tblW w:w="3687" w:type="pct"/>
        <w:tblLook w:val="04A0" w:firstRow="1" w:lastRow="0" w:firstColumn="1" w:lastColumn="0" w:noHBand="0" w:noVBand="1"/>
      </w:tblPr>
      <w:tblGrid>
        <w:gridCol w:w="439"/>
        <w:gridCol w:w="6209"/>
      </w:tblGrid>
      <w:tr w:rsidR="00B90A2B" w:rsidRPr="00B90A2B" w14:paraId="013D8BAB" w14:textId="77777777" w:rsidTr="00790AE3">
        <w:trPr>
          <w:trHeight w:val="77"/>
        </w:trPr>
        <w:tc>
          <w:tcPr>
            <w:tcW w:w="5000" w:type="pct"/>
            <w:gridSpan w:val="2"/>
            <w:shd w:val="clear" w:color="auto" w:fill="4F81BD" w:themeFill="accent1"/>
          </w:tcPr>
          <w:p w14:paraId="30F9FBCC" w14:textId="2A4110DD" w:rsidR="00B90A2B" w:rsidRPr="00B90A2B" w:rsidRDefault="00790AE3" w:rsidP="00790AE3">
            <w:pPr>
              <w:rPr>
                <w:rFonts w:ascii="Arial" w:hAnsi="Arial" w:cs="Arial"/>
                <w:b/>
                <w:bCs/>
                <w:color w:val="FFFFFF" w:themeColor="background1"/>
              </w:rPr>
            </w:pPr>
            <w:r>
              <w:rPr>
                <w:rFonts w:ascii="Arial" w:hAnsi="Arial" w:cs="Arial"/>
                <w:b/>
                <w:bCs/>
                <w:color w:val="FFFFFF" w:themeColor="background1"/>
              </w:rPr>
              <w:t>Key</w:t>
            </w:r>
          </w:p>
        </w:tc>
      </w:tr>
      <w:tr w:rsidR="00790AE3" w:rsidRPr="00B90A2B" w14:paraId="3DA8B8B3" w14:textId="77777777" w:rsidTr="00C70484">
        <w:tc>
          <w:tcPr>
            <w:tcW w:w="330" w:type="pct"/>
            <w:hideMark/>
          </w:tcPr>
          <w:p w14:paraId="5C7202A2" w14:textId="77777777" w:rsidR="00790AE3" w:rsidRPr="00B90A2B" w:rsidRDefault="00790AE3" w:rsidP="00790AE3">
            <w:pPr>
              <w:rPr>
                <w:rFonts w:ascii="Arial" w:hAnsi="Arial" w:cs="Arial"/>
              </w:rPr>
            </w:pPr>
            <w:r w:rsidRPr="00B90A2B">
              <w:rPr>
                <w:rFonts w:ascii="Arial" w:hAnsi="Arial" w:cs="Arial"/>
              </w:rPr>
              <w:t>1</w:t>
            </w:r>
          </w:p>
        </w:tc>
        <w:tc>
          <w:tcPr>
            <w:tcW w:w="4670" w:type="pct"/>
            <w:hideMark/>
          </w:tcPr>
          <w:p w14:paraId="1CDBF73E" w14:textId="36DB749D" w:rsidR="00790AE3" w:rsidRPr="00790AE3" w:rsidRDefault="00790AE3" w:rsidP="00790AE3">
            <w:pPr>
              <w:rPr>
                <w:rFonts w:ascii="Arial" w:hAnsi="Arial" w:cs="Arial"/>
              </w:rPr>
            </w:pPr>
            <w:r w:rsidRPr="00790AE3">
              <w:rPr>
                <w:rFonts w:ascii="Arial" w:hAnsi="Arial" w:cs="Arial"/>
                <w:kern w:val="24"/>
              </w:rPr>
              <w:t>Moorfields purchases the site</w:t>
            </w:r>
          </w:p>
        </w:tc>
      </w:tr>
      <w:tr w:rsidR="00790AE3" w:rsidRPr="00B90A2B" w14:paraId="1DF725EC" w14:textId="77777777" w:rsidTr="00B90A2B">
        <w:tc>
          <w:tcPr>
            <w:tcW w:w="330" w:type="pct"/>
            <w:hideMark/>
          </w:tcPr>
          <w:p w14:paraId="48FF404F" w14:textId="5BD45212" w:rsidR="00790AE3" w:rsidRPr="00B90A2B" w:rsidRDefault="00790AE3" w:rsidP="00790AE3">
            <w:pPr>
              <w:rPr>
                <w:rFonts w:ascii="Arial" w:hAnsi="Arial" w:cs="Arial"/>
              </w:rPr>
            </w:pPr>
            <w:r>
              <w:rPr>
                <w:rFonts w:ascii="Arial" w:hAnsi="Arial" w:cs="Arial"/>
              </w:rPr>
              <w:t>2</w:t>
            </w:r>
          </w:p>
        </w:tc>
        <w:tc>
          <w:tcPr>
            <w:tcW w:w="4670" w:type="pct"/>
            <w:hideMark/>
          </w:tcPr>
          <w:p w14:paraId="0352E3BB" w14:textId="7E07F488" w:rsidR="00790AE3" w:rsidRPr="00790AE3" w:rsidRDefault="00790AE3" w:rsidP="00790AE3">
            <w:pPr>
              <w:rPr>
                <w:rFonts w:ascii="Arial" w:hAnsi="Arial" w:cs="Arial"/>
              </w:rPr>
            </w:pPr>
            <w:r w:rsidRPr="00790AE3">
              <w:rPr>
                <w:rFonts w:ascii="Arial" w:hAnsi="Arial" w:cs="Arial"/>
                <w:kern w:val="24"/>
              </w:rPr>
              <w:t>Moorfields enters into agreement to grant a lease to UCL</w:t>
            </w:r>
          </w:p>
        </w:tc>
      </w:tr>
      <w:tr w:rsidR="00790AE3" w:rsidRPr="00B90A2B" w14:paraId="1214D190" w14:textId="77777777" w:rsidTr="00B90A2B">
        <w:tc>
          <w:tcPr>
            <w:tcW w:w="330" w:type="pct"/>
            <w:hideMark/>
          </w:tcPr>
          <w:p w14:paraId="2D768FED" w14:textId="4B6AC380" w:rsidR="00790AE3" w:rsidRPr="00B90A2B" w:rsidRDefault="00790AE3" w:rsidP="00790AE3">
            <w:pPr>
              <w:rPr>
                <w:rFonts w:ascii="Arial" w:hAnsi="Arial" w:cs="Arial"/>
              </w:rPr>
            </w:pPr>
            <w:r>
              <w:rPr>
                <w:rFonts w:ascii="Arial" w:hAnsi="Arial" w:cs="Arial"/>
              </w:rPr>
              <w:t>3</w:t>
            </w:r>
          </w:p>
        </w:tc>
        <w:tc>
          <w:tcPr>
            <w:tcW w:w="4670" w:type="pct"/>
            <w:hideMark/>
          </w:tcPr>
          <w:p w14:paraId="387C42A0" w14:textId="471065D2" w:rsidR="00790AE3" w:rsidRPr="00790AE3" w:rsidRDefault="00790AE3" w:rsidP="00790AE3">
            <w:pPr>
              <w:rPr>
                <w:rFonts w:ascii="Arial" w:hAnsi="Arial" w:cs="Arial"/>
              </w:rPr>
            </w:pPr>
            <w:r w:rsidRPr="00790AE3">
              <w:rPr>
                <w:rFonts w:ascii="Arial" w:hAnsi="Arial" w:cs="Arial"/>
                <w:kern w:val="24"/>
              </w:rPr>
              <w:t>Moorfields grants a licence to occupy to JDV</w:t>
            </w:r>
          </w:p>
        </w:tc>
      </w:tr>
      <w:tr w:rsidR="00790AE3" w:rsidRPr="00B90A2B" w14:paraId="66624328" w14:textId="77777777" w:rsidTr="00B90A2B">
        <w:tc>
          <w:tcPr>
            <w:tcW w:w="330" w:type="pct"/>
            <w:hideMark/>
          </w:tcPr>
          <w:p w14:paraId="43B84832" w14:textId="326245A7" w:rsidR="00790AE3" w:rsidRPr="00B90A2B" w:rsidRDefault="00790AE3" w:rsidP="00790AE3">
            <w:pPr>
              <w:rPr>
                <w:rFonts w:ascii="Arial" w:hAnsi="Arial" w:cs="Arial"/>
              </w:rPr>
            </w:pPr>
            <w:r w:rsidRPr="00B90A2B">
              <w:rPr>
                <w:rFonts w:ascii="Arial" w:hAnsi="Arial" w:cs="Arial"/>
              </w:rPr>
              <w:lastRenderedPageBreak/>
              <w:t>4</w:t>
            </w:r>
          </w:p>
        </w:tc>
        <w:tc>
          <w:tcPr>
            <w:tcW w:w="4670" w:type="pct"/>
            <w:hideMark/>
          </w:tcPr>
          <w:p w14:paraId="0FB67990" w14:textId="4E4F4B9A" w:rsidR="00790AE3" w:rsidRPr="00790AE3" w:rsidRDefault="00790AE3" w:rsidP="00790AE3">
            <w:pPr>
              <w:rPr>
                <w:rFonts w:ascii="Arial" w:hAnsi="Arial" w:cs="Arial"/>
              </w:rPr>
            </w:pPr>
            <w:r w:rsidRPr="00790AE3">
              <w:rPr>
                <w:rFonts w:ascii="Arial" w:hAnsi="Arial" w:cs="Arial"/>
                <w:kern w:val="24"/>
              </w:rPr>
              <w:t>JDV constructs the new facility</w:t>
            </w:r>
          </w:p>
        </w:tc>
      </w:tr>
      <w:tr w:rsidR="00790AE3" w:rsidRPr="00B90A2B" w14:paraId="406ADCC8" w14:textId="77777777" w:rsidTr="00B90A2B">
        <w:tc>
          <w:tcPr>
            <w:tcW w:w="330" w:type="pct"/>
          </w:tcPr>
          <w:p w14:paraId="62B7380F" w14:textId="7F16E66A" w:rsidR="00790AE3" w:rsidRPr="00B90A2B" w:rsidRDefault="00790AE3" w:rsidP="00790AE3">
            <w:pPr>
              <w:rPr>
                <w:rFonts w:ascii="Arial" w:hAnsi="Arial" w:cs="Arial"/>
              </w:rPr>
            </w:pPr>
            <w:r w:rsidRPr="00B90A2B">
              <w:rPr>
                <w:rFonts w:ascii="Arial" w:hAnsi="Arial" w:cs="Arial"/>
              </w:rPr>
              <w:t>5</w:t>
            </w:r>
          </w:p>
        </w:tc>
        <w:tc>
          <w:tcPr>
            <w:tcW w:w="4670" w:type="pct"/>
            <w:hideMark/>
          </w:tcPr>
          <w:p w14:paraId="29EE922F" w14:textId="486008AF" w:rsidR="00790AE3" w:rsidRPr="00790AE3" w:rsidRDefault="00790AE3" w:rsidP="00790AE3">
            <w:pPr>
              <w:rPr>
                <w:rFonts w:ascii="Arial" w:hAnsi="Arial" w:cs="Arial"/>
              </w:rPr>
            </w:pPr>
            <w:r w:rsidRPr="00790AE3">
              <w:rPr>
                <w:rFonts w:ascii="Arial" w:hAnsi="Arial" w:cs="Arial"/>
                <w:kern w:val="24"/>
              </w:rPr>
              <w:t>JDV provides a managed healthcare facility to Moorfields</w:t>
            </w:r>
          </w:p>
        </w:tc>
      </w:tr>
      <w:tr w:rsidR="00790AE3" w:rsidRPr="00B90A2B" w14:paraId="67A4E519" w14:textId="77777777" w:rsidTr="00B90A2B">
        <w:tc>
          <w:tcPr>
            <w:tcW w:w="330" w:type="pct"/>
          </w:tcPr>
          <w:p w14:paraId="5EA4B7FA" w14:textId="2C926D0A" w:rsidR="00790AE3" w:rsidRPr="00B90A2B" w:rsidRDefault="00790AE3" w:rsidP="00790AE3">
            <w:pPr>
              <w:rPr>
                <w:rFonts w:ascii="Arial" w:hAnsi="Arial" w:cs="Arial"/>
              </w:rPr>
            </w:pPr>
            <w:r w:rsidRPr="00B90A2B">
              <w:rPr>
                <w:rFonts w:ascii="Arial" w:hAnsi="Arial" w:cs="Arial"/>
              </w:rPr>
              <w:t>6</w:t>
            </w:r>
          </w:p>
        </w:tc>
        <w:tc>
          <w:tcPr>
            <w:tcW w:w="4670" w:type="pct"/>
            <w:hideMark/>
          </w:tcPr>
          <w:p w14:paraId="7032CB0F" w14:textId="7477D9CF" w:rsidR="00790AE3" w:rsidRPr="00790AE3" w:rsidRDefault="00790AE3" w:rsidP="00790AE3">
            <w:pPr>
              <w:rPr>
                <w:rFonts w:ascii="Arial" w:hAnsi="Arial" w:cs="Arial"/>
              </w:rPr>
            </w:pPr>
            <w:r w:rsidRPr="00790AE3">
              <w:rPr>
                <w:rFonts w:ascii="Arial" w:hAnsi="Arial" w:cs="Arial"/>
                <w:kern w:val="24"/>
              </w:rPr>
              <w:t>JDV provides managed facility to UCL (details to be confirmed)</w:t>
            </w:r>
          </w:p>
        </w:tc>
      </w:tr>
      <w:tr w:rsidR="00790AE3" w:rsidRPr="00B90A2B" w14:paraId="72E3AB7F" w14:textId="77777777" w:rsidTr="00B90A2B">
        <w:tc>
          <w:tcPr>
            <w:tcW w:w="330" w:type="pct"/>
          </w:tcPr>
          <w:p w14:paraId="3BF5EA97" w14:textId="086DEE48" w:rsidR="00790AE3" w:rsidRPr="00B90A2B" w:rsidRDefault="00790AE3" w:rsidP="00790AE3">
            <w:pPr>
              <w:rPr>
                <w:rFonts w:ascii="Arial" w:hAnsi="Arial" w:cs="Arial"/>
              </w:rPr>
            </w:pPr>
            <w:r w:rsidRPr="00B90A2B">
              <w:rPr>
                <w:rFonts w:ascii="Arial" w:hAnsi="Arial" w:cs="Arial"/>
              </w:rPr>
              <w:t>7</w:t>
            </w:r>
          </w:p>
        </w:tc>
        <w:tc>
          <w:tcPr>
            <w:tcW w:w="4670" w:type="pct"/>
            <w:hideMark/>
          </w:tcPr>
          <w:p w14:paraId="64357C05" w14:textId="55ED2156" w:rsidR="00790AE3" w:rsidRPr="00790AE3" w:rsidRDefault="00790AE3" w:rsidP="00790AE3">
            <w:pPr>
              <w:rPr>
                <w:rFonts w:ascii="Arial" w:hAnsi="Arial" w:cs="Arial"/>
              </w:rPr>
            </w:pPr>
            <w:r w:rsidRPr="00790AE3">
              <w:rPr>
                <w:rFonts w:ascii="Arial" w:hAnsi="Arial" w:cs="Arial"/>
                <w:kern w:val="24"/>
              </w:rPr>
              <w:t>Moorfields grants lease to UCL</w:t>
            </w:r>
          </w:p>
        </w:tc>
      </w:tr>
      <w:tr w:rsidR="00790AE3" w:rsidRPr="00B90A2B" w14:paraId="58C327B2" w14:textId="77777777" w:rsidTr="00B90A2B">
        <w:tc>
          <w:tcPr>
            <w:tcW w:w="330" w:type="pct"/>
          </w:tcPr>
          <w:p w14:paraId="2337259E" w14:textId="7C5AE4DE" w:rsidR="00790AE3" w:rsidRPr="00B90A2B" w:rsidRDefault="00790AE3" w:rsidP="00790AE3">
            <w:pPr>
              <w:rPr>
                <w:rFonts w:ascii="Arial" w:hAnsi="Arial" w:cs="Arial"/>
              </w:rPr>
            </w:pPr>
            <w:r w:rsidRPr="00B90A2B">
              <w:rPr>
                <w:rFonts w:ascii="Arial" w:hAnsi="Arial" w:cs="Arial"/>
              </w:rPr>
              <w:t>8</w:t>
            </w:r>
          </w:p>
        </w:tc>
        <w:tc>
          <w:tcPr>
            <w:tcW w:w="4670" w:type="pct"/>
            <w:hideMark/>
          </w:tcPr>
          <w:p w14:paraId="15AAE941" w14:textId="6D5CA54A" w:rsidR="00790AE3" w:rsidRPr="00790AE3" w:rsidRDefault="00790AE3" w:rsidP="00790AE3">
            <w:pPr>
              <w:rPr>
                <w:rFonts w:ascii="Arial" w:hAnsi="Arial" w:cs="Arial"/>
              </w:rPr>
            </w:pPr>
            <w:r w:rsidRPr="00790AE3">
              <w:rPr>
                <w:rFonts w:ascii="Arial" w:hAnsi="Arial" w:cs="Arial"/>
                <w:kern w:val="24"/>
              </w:rPr>
              <w:t>Moorfields grants a non-exclusive license for mixed use area and charges a service charge to UCL</w:t>
            </w:r>
          </w:p>
        </w:tc>
      </w:tr>
      <w:bookmarkEnd w:id="411"/>
    </w:tbl>
    <w:p w14:paraId="34DDFA67" w14:textId="77777777" w:rsidR="002C5245" w:rsidRPr="00AB76DC" w:rsidRDefault="002C5245" w:rsidP="009537BA">
      <w:pPr>
        <w:tabs>
          <w:tab w:val="left" w:pos="567"/>
        </w:tabs>
        <w:spacing w:after="0"/>
        <w:rPr>
          <w:rFonts w:ascii="Arial" w:eastAsia="Arial" w:hAnsi="Arial" w:cs="Arial"/>
          <w:bCs/>
          <w:color w:val="000000"/>
          <w:highlight w:val="yellow"/>
        </w:rPr>
      </w:pPr>
    </w:p>
    <w:p w14:paraId="50E82E3D" w14:textId="77777777" w:rsidR="00AB76DC" w:rsidRDefault="00AB76DC" w:rsidP="009537BA">
      <w:pPr>
        <w:tabs>
          <w:tab w:val="left" w:pos="567"/>
        </w:tabs>
        <w:spacing w:after="0"/>
        <w:rPr>
          <w:rFonts w:ascii="Arial" w:eastAsia="Arial" w:hAnsi="Arial" w:cs="Arial"/>
          <w:bCs/>
          <w:color w:val="000000"/>
        </w:rPr>
      </w:pPr>
    </w:p>
    <w:p w14:paraId="26BC1474" w14:textId="77777777" w:rsidR="009537BA" w:rsidRPr="0004656C" w:rsidRDefault="009537BA" w:rsidP="005E0D57">
      <w:pPr>
        <w:pStyle w:val="Heading2"/>
        <w:numPr>
          <w:ilvl w:val="2"/>
          <w:numId w:val="39"/>
        </w:numPr>
        <w:spacing w:after="240"/>
        <w:rPr>
          <w:rFonts w:ascii="Arial" w:eastAsia="Arial" w:hAnsi="Arial" w:cs="Arial"/>
          <w:sz w:val="22"/>
          <w:szCs w:val="22"/>
        </w:rPr>
      </w:pPr>
      <w:bookmarkStart w:id="412" w:name="_Toc30168793"/>
      <w:bookmarkStart w:id="413" w:name="_Toc30670742"/>
      <w:bookmarkStart w:id="414" w:name="_Toc32842761"/>
      <w:r>
        <w:rPr>
          <w:rFonts w:ascii="Arial" w:eastAsia="Arial" w:hAnsi="Arial" w:cs="Arial"/>
          <w:sz w:val="22"/>
          <w:szCs w:val="22"/>
        </w:rPr>
        <w:t>Independent advice and approval</w:t>
      </w:r>
      <w:bookmarkEnd w:id="412"/>
      <w:bookmarkEnd w:id="413"/>
      <w:bookmarkEnd w:id="414"/>
    </w:p>
    <w:p w14:paraId="186967B5" w14:textId="77777777" w:rsidR="009537BA" w:rsidRPr="002A30E9" w:rsidRDefault="009537BA" w:rsidP="009537BA">
      <w:pPr>
        <w:spacing w:after="0"/>
        <w:rPr>
          <w:rFonts w:ascii="Arial" w:hAnsi="Arial" w:cs="Arial"/>
          <w:b/>
          <w:bCs/>
          <w:color w:val="212121"/>
        </w:rPr>
      </w:pPr>
      <w:r>
        <w:rPr>
          <w:rFonts w:ascii="Arial" w:hAnsi="Arial" w:cs="Arial"/>
          <w:b/>
          <w:bCs/>
          <w:color w:val="212121"/>
        </w:rPr>
        <w:t xml:space="preserve">Commercial JDV </w:t>
      </w:r>
      <w:r w:rsidRPr="002A30E9">
        <w:rPr>
          <w:rFonts w:ascii="Arial" w:hAnsi="Arial" w:cs="Arial"/>
          <w:b/>
          <w:bCs/>
          <w:color w:val="212121"/>
        </w:rPr>
        <w:t>advice</w:t>
      </w:r>
    </w:p>
    <w:p w14:paraId="1EBC3BC2" w14:textId="6AB21C13" w:rsidR="009537BA" w:rsidRDefault="009537BA" w:rsidP="009537BA">
      <w:pPr>
        <w:tabs>
          <w:tab w:val="left" w:pos="567"/>
        </w:tabs>
        <w:spacing w:after="0"/>
        <w:rPr>
          <w:rFonts w:ascii="Arial" w:eastAsia="Arial" w:hAnsi="Arial" w:cs="Arial"/>
          <w:bCs/>
          <w:color w:val="000000"/>
        </w:rPr>
      </w:pPr>
      <w:r>
        <w:rPr>
          <w:rFonts w:ascii="Arial" w:eastAsia="Arial" w:hAnsi="Arial" w:cs="Arial"/>
          <w:bCs/>
          <w:color w:val="000000"/>
        </w:rPr>
        <w:t xml:space="preserve">The trust have </w:t>
      </w:r>
      <w:r w:rsidRPr="00FF03B7">
        <w:rPr>
          <w:rFonts w:ascii="Arial" w:eastAsia="Arial" w:hAnsi="Arial" w:cs="Arial"/>
          <w:bCs/>
          <w:color w:val="000000"/>
        </w:rPr>
        <w:t xml:space="preserve">engaged </w:t>
      </w:r>
      <w:r>
        <w:rPr>
          <w:rFonts w:ascii="Arial" w:eastAsia="Arial" w:hAnsi="Arial" w:cs="Arial"/>
        </w:rPr>
        <w:t xml:space="preserve">independent experts (Chase Reeves &amp; Co Ltd) </w:t>
      </w:r>
      <w:r>
        <w:rPr>
          <w:rFonts w:ascii="Arial" w:eastAsia="Arial" w:hAnsi="Arial" w:cs="Arial"/>
          <w:bCs/>
          <w:color w:val="000000"/>
        </w:rPr>
        <w:t>with experience of establishing SPVs for other NHS trusts including UCL</w:t>
      </w:r>
      <w:r w:rsidRPr="00FF03B7">
        <w:rPr>
          <w:rFonts w:ascii="Arial" w:eastAsia="Arial" w:hAnsi="Arial" w:cs="Arial"/>
          <w:bCs/>
          <w:color w:val="000000"/>
        </w:rPr>
        <w:t>, Imperial College Healthcare NHS Trust and Royal Free London NHS Foundation Trust.</w:t>
      </w:r>
      <w:r>
        <w:rPr>
          <w:rFonts w:ascii="Arial" w:eastAsia="Arial" w:hAnsi="Arial" w:cs="Arial"/>
          <w:bCs/>
          <w:color w:val="000000"/>
        </w:rPr>
        <w:t xml:space="preserve"> These advisors have worked with the trust to undertake the options appraisal (set out in Appendix </w:t>
      </w:r>
      <w:r w:rsidR="004424A6">
        <w:rPr>
          <w:rFonts w:ascii="Arial" w:eastAsia="Arial" w:hAnsi="Arial" w:cs="Arial"/>
          <w:bCs/>
          <w:color w:val="000000"/>
        </w:rPr>
        <w:t>7E</w:t>
      </w:r>
      <w:r>
        <w:rPr>
          <w:rFonts w:ascii="Arial" w:eastAsia="Arial" w:hAnsi="Arial" w:cs="Arial"/>
          <w:bCs/>
          <w:color w:val="000000"/>
        </w:rPr>
        <w:t>) and detail the proposed JDV structure.</w:t>
      </w:r>
    </w:p>
    <w:p w14:paraId="364D5360" w14:textId="77777777" w:rsidR="009537BA" w:rsidRDefault="009537BA" w:rsidP="009537BA">
      <w:pPr>
        <w:tabs>
          <w:tab w:val="left" w:pos="567"/>
        </w:tabs>
        <w:spacing w:after="0"/>
        <w:rPr>
          <w:rFonts w:ascii="Arial" w:hAnsi="Arial" w:cs="Arial"/>
          <w:b/>
          <w:bCs/>
          <w:color w:val="212121"/>
        </w:rPr>
      </w:pPr>
    </w:p>
    <w:p w14:paraId="4F8451CE" w14:textId="77777777" w:rsidR="009537BA" w:rsidRPr="002A30E9" w:rsidRDefault="009537BA" w:rsidP="009537BA">
      <w:pPr>
        <w:spacing w:after="0"/>
        <w:rPr>
          <w:rFonts w:ascii="Arial" w:hAnsi="Arial" w:cs="Arial"/>
          <w:b/>
          <w:bCs/>
          <w:color w:val="212121"/>
        </w:rPr>
      </w:pPr>
      <w:r>
        <w:rPr>
          <w:rFonts w:ascii="Arial" w:hAnsi="Arial" w:cs="Arial"/>
          <w:b/>
          <w:bCs/>
          <w:color w:val="212121"/>
        </w:rPr>
        <w:t>L</w:t>
      </w:r>
      <w:r w:rsidRPr="002A30E9">
        <w:rPr>
          <w:rFonts w:ascii="Arial" w:hAnsi="Arial" w:cs="Arial"/>
          <w:b/>
          <w:bCs/>
          <w:color w:val="212121"/>
        </w:rPr>
        <w:t>egal advice</w:t>
      </w:r>
    </w:p>
    <w:p w14:paraId="22433410" w14:textId="77777777" w:rsidR="009537BA" w:rsidRPr="00FF03B7" w:rsidRDefault="009537BA" w:rsidP="009537BA">
      <w:pPr>
        <w:tabs>
          <w:tab w:val="left" w:pos="567"/>
        </w:tabs>
        <w:spacing w:after="0"/>
        <w:rPr>
          <w:rFonts w:ascii="Arial" w:eastAsia="Arial" w:hAnsi="Arial" w:cs="Arial"/>
          <w:bCs/>
          <w:color w:val="000000"/>
        </w:rPr>
      </w:pPr>
      <w:r w:rsidRPr="00FF03B7">
        <w:rPr>
          <w:rFonts w:ascii="Arial" w:eastAsia="Arial" w:hAnsi="Arial" w:cs="Arial"/>
          <w:bCs/>
          <w:color w:val="000000"/>
        </w:rPr>
        <w:t xml:space="preserve">At this OBC stage, </w:t>
      </w:r>
      <w:r>
        <w:rPr>
          <w:rFonts w:ascii="Arial" w:eastAsia="Arial" w:hAnsi="Arial" w:cs="Arial"/>
          <w:bCs/>
          <w:color w:val="000000"/>
        </w:rPr>
        <w:t>Moorfields</w:t>
      </w:r>
      <w:r w:rsidRPr="00FF03B7">
        <w:rPr>
          <w:rFonts w:ascii="Arial" w:eastAsia="Arial" w:hAnsi="Arial" w:cs="Arial"/>
          <w:bCs/>
          <w:color w:val="000000"/>
        </w:rPr>
        <w:t xml:space="preserve"> has not formally engaged legal advice regarding the establishment of the JDV. Subsequent to the approval of the OBC, </w:t>
      </w:r>
      <w:r>
        <w:rPr>
          <w:rFonts w:ascii="Arial" w:eastAsia="Arial" w:hAnsi="Arial" w:cs="Arial"/>
          <w:bCs/>
          <w:color w:val="000000"/>
        </w:rPr>
        <w:t>Moorfields</w:t>
      </w:r>
      <w:r w:rsidRPr="00FF03B7">
        <w:rPr>
          <w:rFonts w:ascii="Arial" w:eastAsia="Arial" w:hAnsi="Arial" w:cs="Arial"/>
          <w:bCs/>
          <w:color w:val="000000"/>
        </w:rPr>
        <w:t xml:space="preserve"> and UCL will appoint joint legal advisors to support the development of JDV supporting documentation </w:t>
      </w:r>
      <w:r>
        <w:rPr>
          <w:rFonts w:ascii="Arial" w:eastAsia="Arial" w:hAnsi="Arial" w:cs="Arial"/>
          <w:bCs/>
          <w:color w:val="000000"/>
        </w:rPr>
        <w:t>listed above</w:t>
      </w:r>
      <w:r w:rsidRPr="00FF03B7">
        <w:rPr>
          <w:rFonts w:ascii="Arial" w:eastAsia="Arial" w:hAnsi="Arial" w:cs="Arial"/>
          <w:bCs/>
          <w:color w:val="000000"/>
        </w:rPr>
        <w:t>.</w:t>
      </w:r>
    </w:p>
    <w:p w14:paraId="073116B1" w14:textId="77777777" w:rsidR="009537BA" w:rsidRPr="00FF03B7" w:rsidRDefault="009537BA" w:rsidP="009537BA">
      <w:pPr>
        <w:tabs>
          <w:tab w:val="left" w:pos="567"/>
        </w:tabs>
        <w:spacing w:after="0"/>
        <w:rPr>
          <w:rFonts w:ascii="Arial" w:eastAsia="Arial" w:hAnsi="Arial" w:cs="Arial"/>
          <w:bCs/>
          <w:color w:val="000000"/>
        </w:rPr>
      </w:pPr>
    </w:p>
    <w:p w14:paraId="014045B8" w14:textId="77777777" w:rsidR="009537BA" w:rsidRPr="002A30E9" w:rsidRDefault="009537BA" w:rsidP="009537BA">
      <w:pPr>
        <w:spacing w:after="0"/>
        <w:rPr>
          <w:rFonts w:ascii="Arial" w:hAnsi="Arial" w:cs="Arial"/>
          <w:b/>
          <w:bCs/>
          <w:color w:val="212121"/>
        </w:rPr>
      </w:pPr>
      <w:r w:rsidRPr="002A30E9">
        <w:rPr>
          <w:rFonts w:ascii="Arial" w:hAnsi="Arial" w:cs="Arial"/>
          <w:b/>
          <w:bCs/>
          <w:color w:val="212121"/>
        </w:rPr>
        <w:t xml:space="preserve">Financial </w:t>
      </w:r>
      <w:r>
        <w:rPr>
          <w:rFonts w:ascii="Arial" w:hAnsi="Arial" w:cs="Arial"/>
          <w:b/>
          <w:bCs/>
          <w:color w:val="212121"/>
        </w:rPr>
        <w:t>advice</w:t>
      </w:r>
    </w:p>
    <w:p w14:paraId="3A791BB4" w14:textId="133B4FB9" w:rsidR="009537BA" w:rsidRDefault="009537BA" w:rsidP="009537BA">
      <w:pPr>
        <w:tabs>
          <w:tab w:val="left" w:pos="567"/>
        </w:tabs>
        <w:spacing w:after="0"/>
        <w:rPr>
          <w:rFonts w:ascii="Arial" w:eastAsia="Arial" w:hAnsi="Arial" w:cs="Arial"/>
          <w:bCs/>
          <w:color w:val="000000"/>
        </w:rPr>
      </w:pPr>
      <w:r>
        <w:rPr>
          <w:rFonts w:ascii="Arial" w:eastAsia="Arial" w:hAnsi="Arial" w:cs="Arial"/>
          <w:bCs/>
          <w:color w:val="000000"/>
        </w:rPr>
        <w:t xml:space="preserve">Formal sign-off </w:t>
      </w:r>
      <w:r w:rsidR="004424A6">
        <w:rPr>
          <w:rFonts w:ascii="Arial" w:eastAsia="Arial" w:hAnsi="Arial" w:cs="Arial"/>
          <w:bCs/>
          <w:color w:val="000000"/>
        </w:rPr>
        <w:t xml:space="preserve">of the proposed accounting treatment will be sought </w:t>
      </w:r>
      <w:r>
        <w:rPr>
          <w:rFonts w:ascii="Arial" w:eastAsia="Arial" w:hAnsi="Arial" w:cs="Arial"/>
          <w:bCs/>
          <w:color w:val="000000"/>
        </w:rPr>
        <w:t>from the trust’s external auditors once the detail of the Joint Venture Agreement has been agreed.</w:t>
      </w:r>
      <w:r w:rsidR="004424A6">
        <w:rPr>
          <w:rFonts w:ascii="Arial" w:eastAsia="Arial" w:hAnsi="Arial" w:cs="Arial"/>
          <w:bCs/>
          <w:color w:val="000000"/>
        </w:rPr>
        <w:t xml:space="preserve"> This will be detailed in the JDV business case.</w:t>
      </w:r>
    </w:p>
    <w:p w14:paraId="53289FE8" w14:textId="77777777" w:rsidR="009537BA" w:rsidRDefault="009537BA" w:rsidP="009537BA">
      <w:pPr>
        <w:tabs>
          <w:tab w:val="left" w:pos="567"/>
        </w:tabs>
        <w:spacing w:after="0"/>
        <w:rPr>
          <w:rFonts w:ascii="Arial" w:eastAsia="Arial" w:hAnsi="Arial" w:cs="Arial"/>
          <w:bCs/>
          <w:color w:val="000000"/>
        </w:rPr>
      </w:pPr>
    </w:p>
    <w:p w14:paraId="588B671D" w14:textId="77777777" w:rsidR="009537BA" w:rsidRPr="00731B82" w:rsidRDefault="009537BA" w:rsidP="009537BA">
      <w:pPr>
        <w:spacing w:after="0"/>
        <w:jc w:val="both"/>
        <w:rPr>
          <w:rFonts w:ascii="Arial" w:hAnsi="Arial" w:cs="Arial"/>
          <w:b/>
          <w:bCs/>
          <w:color w:val="333333"/>
        </w:rPr>
      </w:pPr>
      <w:r w:rsidRPr="00731B82">
        <w:rPr>
          <w:rFonts w:ascii="Arial" w:hAnsi="Arial" w:cs="Arial"/>
          <w:b/>
          <w:bCs/>
          <w:color w:val="333333"/>
        </w:rPr>
        <w:t>External approval</w:t>
      </w:r>
    </w:p>
    <w:p w14:paraId="76FFA996" w14:textId="77777777" w:rsidR="009537BA" w:rsidRPr="00A35E1E" w:rsidRDefault="009537BA" w:rsidP="009537BA">
      <w:pPr>
        <w:tabs>
          <w:tab w:val="left" w:pos="567"/>
        </w:tabs>
        <w:spacing w:after="0"/>
        <w:rPr>
          <w:rFonts w:ascii="Arial" w:eastAsia="Arial" w:hAnsi="Arial" w:cs="Arial"/>
          <w:bCs/>
          <w:color w:val="000000"/>
        </w:rPr>
      </w:pPr>
      <w:r>
        <w:rPr>
          <w:rFonts w:ascii="Arial" w:eastAsia="Arial" w:hAnsi="Arial" w:cs="Arial"/>
          <w:bCs/>
          <w:color w:val="000000"/>
        </w:rPr>
        <w:t>T</w:t>
      </w:r>
      <w:r w:rsidRPr="00A35E1E">
        <w:rPr>
          <w:rFonts w:ascii="Arial" w:eastAsia="Arial" w:hAnsi="Arial" w:cs="Arial"/>
          <w:bCs/>
          <w:color w:val="000000"/>
        </w:rPr>
        <w:t>he NHS</w:t>
      </w:r>
      <w:r>
        <w:rPr>
          <w:rFonts w:ascii="Arial" w:eastAsia="Arial" w:hAnsi="Arial" w:cs="Arial"/>
          <w:bCs/>
          <w:color w:val="000000"/>
        </w:rPr>
        <w:t xml:space="preserve">I </w:t>
      </w:r>
      <w:r w:rsidRPr="00A35E1E">
        <w:rPr>
          <w:rFonts w:ascii="Arial" w:eastAsia="Arial" w:hAnsi="Arial" w:cs="Arial"/>
          <w:bCs/>
          <w:color w:val="000000"/>
        </w:rPr>
        <w:t xml:space="preserve">guidance for </w:t>
      </w:r>
      <w:r>
        <w:rPr>
          <w:rFonts w:ascii="Arial" w:eastAsia="Arial" w:hAnsi="Arial" w:cs="Arial"/>
          <w:bCs/>
          <w:color w:val="000000"/>
        </w:rPr>
        <w:t>t</w:t>
      </w:r>
      <w:r w:rsidRPr="00A35E1E">
        <w:rPr>
          <w:rFonts w:ascii="Arial" w:eastAsia="Arial" w:hAnsi="Arial" w:cs="Arial"/>
          <w:bCs/>
          <w:color w:val="000000"/>
        </w:rPr>
        <w:t>rusts undertaking transactions including mergers and acquisitions</w:t>
      </w:r>
      <w:r>
        <w:rPr>
          <w:rFonts w:ascii="Arial" w:eastAsia="Arial" w:hAnsi="Arial" w:cs="Arial"/>
          <w:bCs/>
          <w:color w:val="000000"/>
        </w:rPr>
        <w:t xml:space="preserve">, states that all </w:t>
      </w:r>
      <w:r w:rsidRPr="00A35E1E">
        <w:rPr>
          <w:rFonts w:ascii="Arial" w:eastAsia="Arial" w:hAnsi="Arial" w:cs="Arial"/>
          <w:bCs/>
          <w:color w:val="000000"/>
        </w:rPr>
        <w:t xml:space="preserve">subsidiary transactions require a </w:t>
      </w:r>
      <w:r>
        <w:rPr>
          <w:rFonts w:ascii="Arial" w:eastAsia="Arial" w:hAnsi="Arial" w:cs="Arial"/>
          <w:bCs/>
          <w:color w:val="000000"/>
        </w:rPr>
        <w:t>t</w:t>
      </w:r>
      <w:r w:rsidRPr="00A35E1E">
        <w:rPr>
          <w:rFonts w:ascii="Arial" w:eastAsia="Arial" w:hAnsi="Arial" w:cs="Arial"/>
          <w:bCs/>
          <w:color w:val="000000"/>
        </w:rPr>
        <w:t>rust-approved business case detailing the nature of the proposals</w:t>
      </w:r>
      <w:r>
        <w:rPr>
          <w:rFonts w:ascii="Arial" w:eastAsia="Arial" w:hAnsi="Arial" w:cs="Arial"/>
          <w:bCs/>
          <w:color w:val="000000"/>
        </w:rPr>
        <w:t>. The separate proposal should be submitted to NHSI to allow them to understand and assess the inherent risk of the proposed transaction.</w:t>
      </w:r>
    </w:p>
    <w:p w14:paraId="4919C877" w14:textId="77777777" w:rsidR="009537BA" w:rsidRPr="00A35E1E" w:rsidRDefault="009537BA" w:rsidP="009537BA">
      <w:pPr>
        <w:tabs>
          <w:tab w:val="left" w:pos="567"/>
        </w:tabs>
        <w:spacing w:after="0"/>
        <w:rPr>
          <w:rFonts w:ascii="Arial" w:eastAsia="Arial" w:hAnsi="Arial" w:cs="Arial"/>
          <w:bCs/>
          <w:color w:val="000000"/>
        </w:rPr>
      </w:pPr>
    </w:p>
    <w:p w14:paraId="7D2C6980" w14:textId="77777777" w:rsidR="009537BA" w:rsidRDefault="009537BA" w:rsidP="009537BA">
      <w:pPr>
        <w:tabs>
          <w:tab w:val="left" w:pos="567"/>
        </w:tabs>
        <w:spacing w:after="0"/>
        <w:rPr>
          <w:rFonts w:ascii="Arial" w:eastAsia="Arial" w:hAnsi="Arial" w:cs="Arial"/>
          <w:bCs/>
          <w:color w:val="000000"/>
        </w:rPr>
      </w:pPr>
      <w:r>
        <w:rPr>
          <w:rFonts w:ascii="Arial" w:eastAsia="Arial" w:hAnsi="Arial" w:cs="Arial"/>
          <w:bCs/>
          <w:color w:val="000000"/>
        </w:rPr>
        <w:t xml:space="preserve">In accordance with the NHSI guidance </w:t>
      </w:r>
      <w:r w:rsidRPr="00CC4B96">
        <w:rPr>
          <w:rFonts w:ascii="Arial" w:eastAsia="Arial" w:hAnsi="Arial" w:cs="Arial"/>
          <w:bCs/>
          <w:i/>
          <w:iCs/>
          <w:color w:val="000000"/>
        </w:rPr>
        <w:t>Addendum to the transactions guidance – for trusts forming or changing a subsidiary</w:t>
      </w:r>
      <w:r>
        <w:rPr>
          <w:rFonts w:ascii="Arial" w:eastAsia="Arial" w:hAnsi="Arial" w:cs="Arial"/>
          <w:bCs/>
          <w:i/>
          <w:iCs/>
          <w:color w:val="000000"/>
        </w:rPr>
        <w:t xml:space="preserve"> (November 2018),</w:t>
      </w:r>
      <w:r w:rsidRPr="000D0764">
        <w:rPr>
          <w:rFonts w:ascii="Arial" w:eastAsia="Arial" w:hAnsi="Arial" w:cs="Arial"/>
          <w:bCs/>
          <w:color w:val="000000"/>
        </w:rPr>
        <w:t xml:space="preserve"> </w:t>
      </w:r>
      <w:r>
        <w:rPr>
          <w:rFonts w:ascii="Arial" w:eastAsia="Arial" w:hAnsi="Arial" w:cs="Arial"/>
          <w:bCs/>
          <w:color w:val="000000"/>
        </w:rPr>
        <w:t>i</w:t>
      </w:r>
      <w:r w:rsidRPr="00A35E1E">
        <w:rPr>
          <w:rFonts w:ascii="Arial" w:eastAsia="Arial" w:hAnsi="Arial" w:cs="Arial"/>
          <w:bCs/>
          <w:color w:val="000000"/>
        </w:rPr>
        <w:t xml:space="preserve">t is </w:t>
      </w:r>
      <w:r>
        <w:rPr>
          <w:rFonts w:ascii="Arial" w:eastAsia="Arial" w:hAnsi="Arial" w:cs="Arial"/>
          <w:bCs/>
          <w:color w:val="000000"/>
        </w:rPr>
        <w:t xml:space="preserve">anticipated </w:t>
      </w:r>
      <w:r w:rsidRPr="00A35E1E">
        <w:rPr>
          <w:rFonts w:ascii="Arial" w:eastAsia="Arial" w:hAnsi="Arial" w:cs="Arial"/>
          <w:bCs/>
          <w:color w:val="000000"/>
        </w:rPr>
        <w:t xml:space="preserve">that the proposal to establish a JDV to deliver Oriel </w:t>
      </w:r>
      <w:r>
        <w:rPr>
          <w:rFonts w:ascii="Arial" w:eastAsia="Arial" w:hAnsi="Arial" w:cs="Arial"/>
          <w:bCs/>
          <w:color w:val="000000"/>
        </w:rPr>
        <w:t xml:space="preserve">will </w:t>
      </w:r>
      <w:r w:rsidRPr="00A35E1E">
        <w:rPr>
          <w:rFonts w:ascii="Arial" w:eastAsia="Arial" w:hAnsi="Arial" w:cs="Arial"/>
          <w:bCs/>
          <w:color w:val="000000"/>
        </w:rPr>
        <w:t>represent a significant transaction</w:t>
      </w:r>
      <w:r>
        <w:rPr>
          <w:rFonts w:ascii="Arial" w:eastAsia="Arial" w:hAnsi="Arial" w:cs="Arial"/>
          <w:bCs/>
          <w:color w:val="000000"/>
        </w:rPr>
        <w:t>,</w:t>
      </w:r>
      <w:r w:rsidRPr="00A35E1E">
        <w:rPr>
          <w:rFonts w:ascii="Arial" w:eastAsia="Arial" w:hAnsi="Arial" w:cs="Arial"/>
          <w:bCs/>
          <w:color w:val="000000"/>
        </w:rPr>
        <w:t xml:space="preserve"> and as such </w:t>
      </w:r>
      <w:r>
        <w:rPr>
          <w:rFonts w:ascii="Arial" w:eastAsia="Arial" w:hAnsi="Arial" w:cs="Arial"/>
          <w:bCs/>
          <w:color w:val="000000"/>
        </w:rPr>
        <w:t xml:space="preserve">will </w:t>
      </w:r>
      <w:r w:rsidRPr="00A35E1E">
        <w:rPr>
          <w:rFonts w:ascii="Arial" w:eastAsia="Arial" w:hAnsi="Arial" w:cs="Arial"/>
          <w:bCs/>
          <w:color w:val="000000"/>
        </w:rPr>
        <w:t xml:space="preserve">require </w:t>
      </w:r>
      <w:r>
        <w:rPr>
          <w:rFonts w:ascii="Arial" w:eastAsia="Arial" w:hAnsi="Arial" w:cs="Arial"/>
          <w:bCs/>
          <w:color w:val="000000"/>
        </w:rPr>
        <w:t>NHSI approval</w:t>
      </w:r>
      <w:r w:rsidRPr="00A35E1E">
        <w:rPr>
          <w:rFonts w:ascii="Arial" w:eastAsia="Arial" w:hAnsi="Arial" w:cs="Arial"/>
          <w:bCs/>
          <w:color w:val="000000"/>
        </w:rPr>
        <w:t>.</w:t>
      </w:r>
      <w:r>
        <w:rPr>
          <w:rFonts w:ascii="Arial" w:eastAsia="Arial" w:hAnsi="Arial" w:cs="Arial"/>
          <w:bCs/>
          <w:color w:val="000000"/>
        </w:rPr>
        <w:t xml:space="preserve"> T</w:t>
      </w:r>
      <w:r w:rsidRPr="00A35E1E">
        <w:rPr>
          <w:rFonts w:ascii="Arial" w:eastAsia="Arial" w:hAnsi="Arial" w:cs="Arial"/>
          <w:bCs/>
          <w:color w:val="000000"/>
        </w:rPr>
        <w:t>he current programme includes sufficient time for the development and approval of the business case to support establishing the JDV</w:t>
      </w:r>
      <w:r>
        <w:rPr>
          <w:rFonts w:ascii="Arial" w:eastAsia="Arial" w:hAnsi="Arial" w:cs="Arial"/>
          <w:bCs/>
          <w:color w:val="000000"/>
        </w:rPr>
        <w:t>, between OBC approval and FBC submission.</w:t>
      </w:r>
    </w:p>
    <w:p w14:paraId="0697C9C0" w14:textId="77777777" w:rsidR="009537BA" w:rsidRDefault="009537BA" w:rsidP="000D05E5">
      <w:pPr>
        <w:tabs>
          <w:tab w:val="left" w:pos="567"/>
        </w:tabs>
        <w:spacing w:after="0"/>
        <w:rPr>
          <w:rFonts w:ascii="Arial" w:eastAsia="Arial" w:hAnsi="Arial" w:cs="Arial"/>
          <w:bCs/>
          <w:color w:val="000000"/>
          <w:highlight w:val="yellow"/>
        </w:rPr>
      </w:pPr>
    </w:p>
    <w:p w14:paraId="283B8D54" w14:textId="77777777" w:rsidR="000D05E5" w:rsidRDefault="000D05E5" w:rsidP="005E0D57">
      <w:pPr>
        <w:pStyle w:val="Heading2"/>
        <w:numPr>
          <w:ilvl w:val="1"/>
          <w:numId w:val="39"/>
        </w:numPr>
        <w:rPr>
          <w:rFonts w:ascii="Arial" w:eastAsia="Arial" w:hAnsi="Arial" w:cs="Arial"/>
        </w:rPr>
      </w:pPr>
      <w:bookmarkStart w:id="415" w:name="_Toc409771230"/>
      <w:bookmarkStart w:id="416" w:name="_Toc413331362"/>
      <w:bookmarkStart w:id="417" w:name="_Ref26369261"/>
      <w:bookmarkStart w:id="418" w:name="_Toc26430018"/>
      <w:bookmarkStart w:id="419" w:name="_Ref26431163"/>
      <w:bookmarkStart w:id="420" w:name="_Toc32842762"/>
      <w:r>
        <w:rPr>
          <w:rFonts w:ascii="Arial" w:eastAsia="Arial" w:hAnsi="Arial" w:cs="Arial"/>
        </w:rPr>
        <w:t>FM Services</w:t>
      </w:r>
      <w:bookmarkEnd w:id="415"/>
      <w:bookmarkEnd w:id="416"/>
      <w:bookmarkEnd w:id="417"/>
      <w:bookmarkEnd w:id="418"/>
      <w:bookmarkEnd w:id="419"/>
      <w:bookmarkEnd w:id="420"/>
    </w:p>
    <w:p w14:paraId="0FA992A8" w14:textId="77777777" w:rsidR="000D05E5" w:rsidRDefault="000D05E5" w:rsidP="000D05E5">
      <w:pPr>
        <w:tabs>
          <w:tab w:val="left" w:pos="567"/>
        </w:tabs>
        <w:spacing w:after="0"/>
        <w:rPr>
          <w:rFonts w:ascii="Arial" w:eastAsia="Arial" w:hAnsi="Arial" w:cs="Arial"/>
          <w:bCs/>
          <w:color w:val="000000"/>
          <w:highlight w:val="yellow"/>
        </w:rPr>
      </w:pPr>
    </w:p>
    <w:p w14:paraId="776BE0EA" w14:textId="77777777" w:rsidR="000D05E5" w:rsidRDefault="000D05E5" w:rsidP="000D05E5">
      <w:pPr>
        <w:tabs>
          <w:tab w:val="left" w:pos="567"/>
        </w:tabs>
        <w:spacing w:after="0"/>
        <w:rPr>
          <w:rFonts w:ascii="Arial" w:eastAsia="Arial" w:hAnsi="Arial" w:cs="Arial"/>
          <w:bCs/>
          <w:color w:val="000000"/>
        </w:rPr>
      </w:pPr>
      <w:r w:rsidRPr="00BA014A">
        <w:rPr>
          <w:rFonts w:ascii="Arial" w:eastAsia="Arial" w:hAnsi="Arial" w:cs="Arial"/>
          <w:bCs/>
          <w:color w:val="000000"/>
        </w:rPr>
        <w:t>Moorfiel</w:t>
      </w:r>
      <w:r>
        <w:rPr>
          <w:rFonts w:ascii="Arial" w:eastAsia="Arial" w:hAnsi="Arial" w:cs="Arial"/>
          <w:bCs/>
          <w:color w:val="000000"/>
        </w:rPr>
        <w:t>ds currently outsource some FM services (including cleaning and catering) and have in-house teams for the remainder (including portering and maintenance). Similarly, the UCL IoO utilise a range of outsourcing and in-house solutions for their FM services.</w:t>
      </w:r>
    </w:p>
    <w:p w14:paraId="00A05F75" w14:textId="77777777" w:rsidR="000D05E5" w:rsidRDefault="000D05E5" w:rsidP="000D05E5">
      <w:pPr>
        <w:tabs>
          <w:tab w:val="left" w:pos="567"/>
        </w:tabs>
        <w:spacing w:after="0"/>
        <w:rPr>
          <w:rFonts w:ascii="Arial" w:eastAsia="Arial" w:hAnsi="Arial" w:cs="Arial"/>
          <w:bCs/>
          <w:color w:val="000000"/>
        </w:rPr>
      </w:pPr>
    </w:p>
    <w:p w14:paraId="237AB517" w14:textId="77777777" w:rsidR="000D05E5" w:rsidRDefault="000D05E5" w:rsidP="000D05E5">
      <w:pPr>
        <w:tabs>
          <w:tab w:val="left" w:pos="567"/>
        </w:tabs>
        <w:spacing w:after="0"/>
        <w:rPr>
          <w:rFonts w:ascii="Arial" w:eastAsia="Arial" w:hAnsi="Arial" w:cs="Arial"/>
          <w:bCs/>
          <w:color w:val="000000"/>
        </w:rPr>
      </w:pPr>
      <w:r>
        <w:rPr>
          <w:rFonts w:ascii="Arial" w:eastAsia="Arial" w:hAnsi="Arial" w:cs="Arial"/>
          <w:bCs/>
          <w:color w:val="000000"/>
        </w:rPr>
        <w:t>Oriel will require Hard and Soft FM solutions which cover the whole building. These will be procured and managed by the JDV, and costs will be shared between Moorfields and UCL on a pro-rata basis (yet to be agreed). It is likely that the majority of FM services will be outsourced, with an internal helpdesk which uses the Building Management System (BMS) to plan work schedules ahead of time.</w:t>
      </w:r>
    </w:p>
    <w:p w14:paraId="358205EE" w14:textId="77777777" w:rsidR="000D05E5" w:rsidRDefault="000D05E5" w:rsidP="000D05E5">
      <w:pPr>
        <w:tabs>
          <w:tab w:val="left" w:pos="567"/>
        </w:tabs>
        <w:spacing w:after="0"/>
        <w:rPr>
          <w:rFonts w:ascii="Arial" w:eastAsia="Arial" w:hAnsi="Arial" w:cs="Arial"/>
          <w:bCs/>
          <w:color w:val="000000"/>
        </w:rPr>
      </w:pPr>
    </w:p>
    <w:p w14:paraId="582A40E1" w14:textId="77777777" w:rsidR="000D05E5" w:rsidRPr="00BA014A" w:rsidRDefault="000D05E5" w:rsidP="000D05E5">
      <w:pPr>
        <w:tabs>
          <w:tab w:val="left" w:pos="567"/>
        </w:tabs>
        <w:spacing w:after="0"/>
        <w:rPr>
          <w:rFonts w:ascii="Arial" w:eastAsia="Arial" w:hAnsi="Arial" w:cs="Arial"/>
          <w:bCs/>
          <w:color w:val="000000"/>
        </w:rPr>
      </w:pPr>
      <w:r>
        <w:rPr>
          <w:rFonts w:ascii="Arial" w:eastAsia="Arial" w:hAnsi="Arial" w:cs="Arial"/>
          <w:bCs/>
          <w:color w:val="000000"/>
        </w:rPr>
        <w:t>Outsourced FM services for Oriel will be procured following detailed design development.</w:t>
      </w:r>
    </w:p>
    <w:p w14:paraId="6807EFEC" w14:textId="77777777" w:rsidR="000D05E5" w:rsidRDefault="000D05E5" w:rsidP="000D05E5">
      <w:pPr>
        <w:tabs>
          <w:tab w:val="left" w:pos="567"/>
        </w:tabs>
        <w:spacing w:after="0"/>
        <w:rPr>
          <w:rFonts w:ascii="Arial" w:eastAsia="Arial" w:hAnsi="Arial" w:cs="Arial"/>
          <w:bCs/>
          <w:color w:val="000000"/>
          <w:highlight w:val="yellow"/>
        </w:rPr>
      </w:pPr>
    </w:p>
    <w:p w14:paraId="138C1810" w14:textId="77777777" w:rsidR="000D05E5" w:rsidRDefault="000D05E5" w:rsidP="005E0D57">
      <w:pPr>
        <w:pStyle w:val="Heading2"/>
        <w:numPr>
          <w:ilvl w:val="1"/>
          <w:numId w:val="39"/>
        </w:numPr>
        <w:rPr>
          <w:rFonts w:ascii="Arial" w:eastAsia="Arial" w:hAnsi="Arial" w:cs="Arial"/>
        </w:rPr>
      </w:pPr>
      <w:bookmarkStart w:id="421" w:name="_Toc409771231"/>
      <w:bookmarkStart w:id="422" w:name="_Toc413331363"/>
      <w:bookmarkStart w:id="423" w:name="_Toc26430019"/>
      <w:bookmarkStart w:id="424" w:name="_Ref26431176"/>
      <w:bookmarkStart w:id="425" w:name="_Toc32842763"/>
      <w:r>
        <w:rPr>
          <w:rFonts w:ascii="Arial" w:eastAsia="Arial" w:hAnsi="Arial" w:cs="Arial"/>
        </w:rPr>
        <w:t>Equipment strategy</w:t>
      </w:r>
      <w:bookmarkEnd w:id="421"/>
      <w:bookmarkEnd w:id="422"/>
      <w:bookmarkEnd w:id="423"/>
      <w:bookmarkEnd w:id="424"/>
      <w:bookmarkEnd w:id="425"/>
    </w:p>
    <w:p w14:paraId="0083E3CD" w14:textId="77777777" w:rsidR="000D05E5" w:rsidRDefault="000D05E5" w:rsidP="000D05E5">
      <w:pPr>
        <w:tabs>
          <w:tab w:val="left" w:pos="567"/>
        </w:tabs>
        <w:spacing w:after="0"/>
        <w:rPr>
          <w:rFonts w:ascii="Arial" w:eastAsia="Arial" w:hAnsi="Arial" w:cs="Arial"/>
          <w:bCs/>
          <w:color w:val="000000"/>
          <w:highlight w:val="yellow"/>
        </w:rPr>
      </w:pPr>
    </w:p>
    <w:p w14:paraId="5EC6D59C" w14:textId="1111045A" w:rsidR="000D05E5" w:rsidRDefault="000D05E5" w:rsidP="000D05E5">
      <w:pPr>
        <w:tabs>
          <w:tab w:val="left" w:pos="567"/>
        </w:tabs>
        <w:spacing w:after="0"/>
        <w:rPr>
          <w:rFonts w:ascii="Arial" w:eastAsia="Arial" w:hAnsi="Arial" w:cs="Arial"/>
          <w:bCs/>
          <w:color w:val="000000"/>
        </w:rPr>
      </w:pPr>
      <w:r w:rsidRPr="009C36CE">
        <w:rPr>
          <w:rFonts w:ascii="Arial" w:eastAsia="Arial" w:hAnsi="Arial" w:cs="Arial"/>
          <w:bCs/>
          <w:color w:val="000000"/>
        </w:rPr>
        <w:t>An equipment strategy has been developed by the trust’s equipping advisors, MTS</w:t>
      </w:r>
      <w:r>
        <w:rPr>
          <w:rFonts w:ascii="Arial" w:eastAsia="Arial" w:hAnsi="Arial" w:cs="Arial"/>
          <w:bCs/>
          <w:color w:val="000000"/>
        </w:rPr>
        <w:t xml:space="preserve"> Health</w:t>
      </w:r>
      <w:r w:rsidRPr="009C36CE">
        <w:rPr>
          <w:rFonts w:ascii="Arial" w:eastAsia="Arial" w:hAnsi="Arial" w:cs="Arial"/>
          <w:bCs/>
          <w:color w:val="000000"/>
        </w:rPr>
        <w:t xml:space="preserve">, and is attached at </w:t>
      </w:r>
      <w:r>
        <w:rPr>
          <w:rFonts w:ascii="Arial" w:eastAsia="Arial" w:hAnsi="Arial" w:cs="Arial"/>
          <w:bCs/>
          <w:color w:val="000000"/>
        </w:rPr>
        <w:t>A</w:t>
      </w:r>
      <w:r w:rsidRPr="009C36CE">
        <w:rPr>
          <w:rFonts w:ascii="Arial" w:eastAsia="Arial" w:hAnsi="Arial" w:cs="Arial"/>
          <w:bCs/>
          <w:color w:val="000000"/>
        </w:rPr>
        <w:t xml:space="preserve">ppendix </w:t>
      </w:r>
      <w:r w:rsidR="00D56664">
        <w:rPr>
          <w:rFonts w:ascii="Arial" w:eastAsia="Arial" w:hAnsi="Arial" w:cs="Arial"/>
          <w:bCs/>
          <w:color w:val="000000"/>
        </w:rPr>
        <w:t>7B</w:t>
      </w:r>
      <w:r w:rsidRPr="009C36CE">
        <w:rPr>
          <w:rFonts w:ascii="Arial" w:eastAsia="Arial" w:hAnsi="Arial" w:cs="Arial"/>
          <w:bCs/>
          <w:color w:val="000000"/>
        </w:rPr>
        <w:t xml:space="preserve">.  The objective of the equipping strategy is to ensure that the </w:t>
      </w:r>
      <w:r>
        <w:rPr>
          <w:rFonts w:ascii="Arial" w:eastAsia="Arial" w:hAnsi="Arial" w:cs="Arial"/>
          <w:bCs/>
          <w:color w:val="000000"/>
        </w:rPr>
        <w:t xml:space="preserve">partners have </w:t>
      </w:r>
      <w:r w:rsidRPr="009C36CE">
        <w:rPr>
          <w:rFonts w:ascii="Arial" w:eastAsia="Arial" w:hAnsi="Arial" w:cs="Arial"/>
          <w:bCs/>
          <w:color w:val="000000"/>
        </w:rPr>
        <w:t xml:space="preserve">fully equipped </w:t>
      </w:r>
      <w:r>
        <w:rPr>
          <w:rFonts w:ascii="Arial" w:eastAsia="Arial" w:hAnsi="Arial" w:cs="Arial"/>
          <w:bCs/>
          <w:color w:val="000000"/>
        </w:rPr>
        <w:t xml:space="preserve">clinical, research and education </w:t>
      </w:r>
      <w:r w:rsidRPr="009C36CE">
        <w:rPr>
          <w:rFonts w:ascii="Arial" w:eastAsia="Arial" w:hAnsi="Arial" w:cs="Arial"/>
          <w:bCs/>
          <w:color w:val="000000"/>
        </w:rPr>
        <w:t>facilities</w:t>
      </w:r>
      <w:r>
        <w:rPr>
          <w:rFonts w:ascii="Arial" w:eastAsia="Arial" w:hAnsi="Arial" w:cs="Arial"/>
          <w:bCs/>
          <w:color w:val="000000"/>
        </w:rPr>
        <w:t xml:space="preserve"> and shared space</w:t>
      </w:r>
      <w:r w:rsidRPr="009C36CE">
        <w:rPr>
          <w:rFonts w:ascii="Arial" w:eastAsia="Arial" w:hAnsi="Arial" w:cs="Arial"/>
          <w:bCs/>
          <w:color w:val="000000"/>
        </w:rPr>
        <w:t xml:space="preserve">, keeping pace with technological developments whilst also securing best value for money once the development is completed. There is also a need to ensure affordability within the overall capital investment envelope. Consequently, there is a commitment to review and utilise </w:t>
      </w:r>
      <w:r>
        <w:rPr>
          <w:rFonts w:ascii="Arial" w:eastAsia="Arial" w:hAnsi="Arial" w:cs="Arial"/>
          <w:bCs/>
          <w:color w:val="000000"/>
        </w:rPr>
        <w:t>Moorfields</w:t>
      </w:r>
      <w:r w:rsidRPr="009C36CE">
        <w:rPr>
          <w:rFonts w:ascii="Arial" w:eastAsia="Arial" w:hAnsi="Arial" w:cs="Arial"/>
          <w:bCs/>
          <w:color w:val="000000"/>
        </w:rPr>
        <w:t xml:space="preserve"> existing equipment (medical and non-medical) asset base where possible. </w:t>
      </w:r>
    </w:p>
    <w:p w14:paraId="0CFDACF9" w14:textId="77777777" w:rsidR="000D05E5" w:rsidRPr="009C36CE" w:rsidRDefault="000D05E5" w:rsidP="000D05E5">
      <w:pPr>
        <w:tabs>
          <w:tab w:val="left" w:pos="567"/>
        </w:tabs>
        <w:spacing w:after="0"/>
        <w:rPr>
          <w:rFonts w:ascii="Arial" w:eastAsia="Arial" w:hAnsi="Arial" w:cs="Arial"/>
          <w:bCs/>
          <w:color w:val="000000"/>
        </w:rPr>
      </w:pPr>
    </w:p>
    <w:p w14:paraId="7AE18F97" w14:textId="77777777" w:rsidR="000D05E5" w:rsidRPr="009C36CE" w:rsidRDefault="000D05E5" w:rsidP="000D05E5">
      <w:pPr>
        <w:tabs>
          <w:tab w:val="left" w:pos="567"/>
        </w:tabs>
        <w:spacing w:after="0"/>
        <w:rPr>
          <w:rFonts w:ascii="Arial" w:eastAsia="Arial" w:hAnsi="Arial" w:cs="Arial"/>
          <w:bCs/>
          <w:color w:val="000000"/>
        </w:rPr>
      </w:pPr>
      <w:r>
        <w:rPr>
          <w:rFonts w:ascii="Arial" w:eastAsia="Arial" w:hAnsi="Arial" w:cs="Arial"/>
          <w:bCs/>
          <w:color w:val="000000"/>
        </w:rPr>
        <w:t xml:space="preserve">The equipment strategy </w:t>
      </w:r>
      <w:r w:rsidRPr="009C36CE">
        <w:rPr>
          <w:rFonts w:ascii="Arial" w:eastAsia="Arial" w:hAnsi="Arial" w:cs="Arial"/>
          <w:bCs/>
          <w:color w:val="000000"/>
        </w:rPr>
        <w:t xml:space="preserve">identifies the scope and responsibility for </w:t>
      </w:r>
      <w:r>
        <w:rPr>
          <w:rFonts w:ascii="Arial" w:eastAsia="Arial" w:hAnsi="Arial" w:cs="Arial"/>
          <w:bCs/>
          <w:color w:val="000000"/>
        </w:rPr>
        <w:t xml:space="preserve">procurement of </w:t>
      </w:r>
      <w:r w:rsidRPr="009C36CE">
        <w:rPr>
          <w:rFonts w:ascii="Arial" w:eastAsia="Arial" w:hAnsi="Arial" w:cs="Arial"/>
          <w:bCs/>
          <w:color w:val="000000"/>
        </w:rPr>
        <w:t>equip</w:t>
      </w:r>
      <w:r>
        <w:rPr>
          <w:rFonts w:ascii="Arial" w:eastAsia="Arial" w:hAnsi="Arial" w:cs="Arial"/>
          <w:bCs/>
          <w:color w:val="000000"/>
        </w:rPr>
        <w:t>ment</w:t>
      </w:r>
      <w:r w:rsidRPr="009C36CE">
        <w:rPr>
          <w:rFonts w:ascii="Arial" w:eastAsia="Arial" w:hAnsi="Arial" w:cs="Arial"/>
          <w:bCs/>
          <w:color w:val="000000"/>
        </w:rPr>
        <w:t xml:space="preserve"> and how this will be managed by the </w:t>
      </w:r>
      <w:r>
        <w:rPr>
          <w:rFonts w:ascii="Arial" w:eastAsia="Arial" w:hAnsi="Arial" w:cs="Arial"/>
          <w:bCs/>
          <w:color w:val="000000"/>
        </w:rPr>
        <w:t xml:space="preserve">partners </w:t>
      </w:r>
      <w:r w:rsidRPr="009C36CE">
        <w:rPr>
          <w:rFonts w:ascii="Arial" w:eastAsia="Arial" w:hAnsi="Arial" w:cs="Arial"/>
          <w:bCs/>
          <w:color w:val="000000"/>
        </w:rPr>
        <w:t xml:space="preserve">during the development of the scheme. It also considers the process that will be followed to identify the options available for the provision of equipment and the programme of tasks and timescales required to complete the process. </w:t>
      </w:r>
    </w:p>
    <w:p w14:paraId="3A4E8A78" w14:textId="77777777" w:rsidR="000D05E5" w:rsidRPr="009C36CE" w:rsidRDefault="000D05E5" w:rsidP="000D05E5">
      <w:pPr>
        <w:tabs>
          <w:tab w:val="left" w:pos="567"/>
        </w:tabs>
        <w:spacing w:after="0"/>
        <w:rPr>
          <w:rFonts w:ascii="Arial" w:eastAsia="Arial" w:hAnsi="Arial" w:cs="Arial"/>
          <w:bCs/>
          <w:color w:val="000000"/>
        </w:rPr>
      </w:pPr>
    </w:p>
    <w:p w14:paraId="7222E5BF" w14:textId="463A5239" w:rsidR="000D05E5" w:rsidRDefault="000D05E5" w:rsidP="000D05E5">
      <w:pPr>
        <w:tabs>
          <w:tab w:val="left" w:pos="567"/>
        </w:tabs>
        <w:spacing w:after="0"/>
        <w:rPr>
          <w:rFonts w:ascii="Arial" w:eastAsia="Arial" w:hAnsi="Arial" w:cs="Arial"/>
          <w:bCs/>
          <w:color w:val="000000"/>
        </w:rPr>
      </w:pPr>
      <w:r>
        <w:rPr>
          <w:rFonts w:ascii="Arial" w:eastAsia="Arial" w:hAnsi="Arial" w:cs="Arial"/>
          <w:bCs/>
          <w:color w:val="000000"/>
        </w:rPr>
        <w:t>The equipment strategy assumes that 40% of the equipment required for the Moorfields and shared space will be transferred from existing facilities</w:t>
      </w:r>
      <w:r w:rsidR="00E830A1">
        <w:rPr>
          <w:rFonts w:ascii="Arial" w:eastAsia="Arial" w:hAnsi="Arial" w:cs="Arial"/>
          <w:bCs/>
          <w:color w:val="000000"/>
        </w:rPr>
        <w:t>, as informed by MTS Health</w:t>
      </w:r>
      <w:r>
        <w:rPr>
          <w:rFonts w:ascii="Arial" w:eastAsia="Arial" w:hAnsi="Arial" w:cs="Arial"/>
          <w:bCs/>
          <w:color w:val="000000"/>
        </w:rPr>
        <w:t xml:space="preserve">. The trust will continue its programme of </w:t>
      </w:r>
      <w:r w:rsidRPr="009C36CE">
        <w:rPr>
          <w:rFonts w:ascii="Arial" w:eastAsia="Arial" w:hAnsi="Arial" w:cs="Arial"/>
          <w:bCs/>
          <w:color w:val="000000"/>
        </w:rPr>
        <w:t xml:space="preserve">lifecycle replacements between now and </w:t>
      </w:r>
      <w:r>
        <w:rPr>
          <w:rFonts w:ascii="Arial" w:eastAsia="Arial" w:hAnsi="Arial" w:cs="Arial"/>
          <w:bCs/>
          <w:color w:val="000000"/>
        </w:rPr>
        <w:t xml:space="preserve">2026. A detailed equipment audit will be undertaken in advance of equipment procurement, to identify items of sufficient quality to transfer. This is in line with other new-build hospital projects such as the Chase Farm Hospital redevelopment. The estimated cost of equipment by group is summarised in the equipment strategy and detailed in the equipment schedule </w:t>
      </w:r>
      <w:r w:rsidR="008D7CC0">
        <w:rPr>
          <w:rFonts w:ascii="Arial" w:eastAsia="Arial" w:hAnsi="Arial" w:cs="Arial"/>
          <w:bCs/>
          <w:color w:val="000000"/>
        </w:rPr>
        <w:t>at Appendix 7B</w:t>
      </w:r>
      <w:r>
        <w:rPr>
          <w:rFonts w:ascii="Arial" w:eastAsia="Arial" w:hAnsi="Arial" w:cs="Arial"/>
          <w:bCs/>
          <w:color w:val="000000"/>
        </w:rPr>
        <w:t>.</w:t>
      </w:r>
    </w:p>
    <w:p w14:paraId="3FD4CD84" w14:textId="77777777" w:rsidR="000D05E5" w:rsidRDefault="000D05E5" w:rsidP="000D05E5">
      <w:pPr>
        <w:tabs>
          <w:tab w:val="left" w:pos="567"/>
        </w:tabs>
        <w:spacing w:after="0"/>
        <w:rPr>
          <w:rFonts w:ascii="Arial" w:eastAsia="Arial" w:hAnsi="Arial" w:cs="Arial"/>
          <w:bCs/>
          <w:color w:val="000000"/>
        </w:rPr>
      </w:pPr>
    </w:p>
    <w:p w14:paraId="61DD27FA" w14:textId="77777777" w:rsidR="000D05E5" w:rsidRPr="009C36CE" w:rsidRDefault="000D05E5" w:rsidP="000D05E5">
      <w:pPr>
        <w:tabs>
          <w:tab w:val="left" w:pos="567"/>
        </w:tabs>
        <w:spacing w:after="0"/>
        <w:rPr>
          <w:rFonts w:ascii="Arial" w:eastAsia="Arial" w:hAnsi="Arial" w:cs="Arial"/>
          <w:bCs/>
          <w:color w:val="000000"/>
        </w:rPr>
      </w:pPr>
      <w:r w:rsidRPr="009C36CE">
        <w:rPr>
          <w:rFonts w:ascii="Arial" w:eastAsia="Arial" w:hAnsi="Arial" w:cs="Arial"/>
          <w:bCs/>
          <w:color w:val="000000"/>
        </w:rPr>
        <w:t>The equipment strategy will continue to be developed</w:t>
      </w:r>
      <w:r>
        <w:rPr>
          <w:rFonts w:ascii="Arial" w:eastAsia="Arial" w:hAnsi="Arial" w:cs="Arial"/>
          <w:bCs/>
          <w:color w:val="000000"/>
        </w:rPr>
        <w:t>,</w:t>
      </w:r>
      <w:r w:rsidRPr="009C36CE">
        <w:rPr>
          <w:rFonts w:ascii="Arial" w:eastAsia="Arial" w:hAnsi="Arial" w:cs="Arial"/>
          <w:bCs/>
          <w:color w:val="000000"/>
        </w:rPr>
        <w:t xml:space="preserve"> exploring the procurement options available, accommodating existing equipment and analysing forecasts of future activity taking account of clinical developments and technologies.</w:t>
      </w:r>
      <w:r>
        <w:rPr>
          <w:rFonts w:ascii="Arial" w:eastAsia="Arial" w:hAnsi="Arial" w:cs="Arial"/>
          <w:bCs/>
          <w:color w:val="000000"/>
        </w:rPr>
        <w:t xml:space="preserve"> Detailed discussions will be carried out with leading ophthalmic manufacturers when confirming the specification of equipment to be procured.</w:t>
      </w:r>
    </w:p>
    <w:p w14:paraId="7C5398A7" w14:textId="77777777" w:rsidR="000D05E5" w:rsidRDefault="000D05E5" w:rsidP="000D05E5">
      <w:pPr>
        <w:tabs>
          <w:tab w:val="left" w:pos="3382"/>
        </w:tabs>
        <w:spacing w:after="0"/>
        <w:rPr>
          <w:rFonts w:ascii="Arial" w:eastAsia="Arial" w:hAnsi="Arial" w:cs="Arial"/>
          <w:bCs/>
          <w:color w:val="000000"/>
          <w:highlight w:val="yellow"/>
        </w:rPr>
      </w:pPr>
    </w:p>
    <w:p w14:paraId="5A357D53" w14:textId="77777777" w:rsidR="000D05E5" w:rsidRDefault="000D05E5" w:rsidP="005E0D57">
      <w:pPr>
        <w:pStyle w:val="Heading2"/>
        <w:numPr>
          <w:ilvl w:val="1"/>
          <w:numId w:val="39"/>
        </w:numPr>
        <w:rPr>
          <w:rFonts w:ascii="Arial" w:eastAsia="Arial" w:hAnsi="Arial" w:cs="Arial"/>
        </w:rPr>
      </w:pPr>
      <w:bookmarkStart w:id="426" w:name="_Toc26430020"/>
      <w:bookmarkStart w:id="427" w:name="_Ref27580286"/>
      <w:bookmarkStart w:id="428" w:name="_Toc32842764"/>
      <w:r w:rsidRPr="00342573">
        <w:rPr>
          <w:rFonts w:ascii="Arial" w:eastAsia="Arial" w:hAnsi="Arial" w:cs="Arial"/>
        </w:rPr>
        <w:t xml:space="preserve">Potential </w:t>
      </w:r>
      <w:r>
        <w:rPr>
          <w:rFonts w:ascii="Arial" w:eastAsia="Arial" w:hAnsi="Arial" w:cs="Arial"/>
        </w:rPr>
        <w:t>r</w:t>
      </w:r>
      <w:r w:rsidRPr="00342573">
        <w:rPr>
          <w:rFonts w:ascii="Arial" w:eastAsia="Arial" w:hAnsi="Arial" w:cs="Arial"/>
        </w:rPr>
        <w:t>isk a</w:t>
      </w:r>
      <w:r>
        <w:rPr>
          <w:rFonts w:ascii="Arial" w:eastAsia="Arial" w:hAnsi="Arial" w:cs="Arial"/>
        </w:rPr>
        <w:t>pportionment</w:t>
      </w:r>
      <w:bookmarkEnd w:id="426"/>
      <w:bookmarkEnd w:id="427"/>
      <w:bookmarkEnd w:id="428"/>
    </w:p>
    <w:p w14:paraId="5115CC3E" w14:textId="77777777" w:rsidR="000D05E5" w:rsidRPr="00342573" w:rsidRDefault="000D05E5" w:rsidP="000D05E5">
      <w:pPr>
        <w:spacing w:after="0"/>
      </w:pPr>
    </w:p>
    <w:p w14:paraId="4C49405D" w14:textId="77777777" w:rsidR="000D05E5" w:rsidRPr="00E10728" w:rsidRDefault="000D05E5" w:rsidP="000D05E5">
      <w:pPr>
        <w:jc w:val="both"/>
        <w:rPr>
          <w:rFonts w:ascii="Arial" w:hAnsi="Arial" w:cs="Arial"/>
          <w:b/>
          <w:bCs/>
        </w:rPr>
      </w:pPr>
      <w:r>
        <w:rPr>
          <w:rFonts w:ascii="Arial" w:hAnsi="Arial" w:cs="Arial"/>
          <w:b/>
          <w:bCs/>
        </w:rPr>
        <w:t>Allocation of risk between parties</w:t>
      </w:r>
    </w:p>
    <w:p w14:paraId="31370175" w14:textId="77777777" w:rsidR="000D05E5" w:rsidRDefault="000D05E5" w:rsidP="000D05E5">
      <w:pPr>
        <w:tabs>
          <w:tab w:val="left" w:pos="567"/>
        </w:tabs>
        <w:spacing w:after="0"/>
        <w:rPr>
          <w:rFonts w:ascii="Arial" w:eastAsia="Arial" w:hAnsi="Arial" w:cs="Arial"/>
          <w:bCs/>
          <w:color w:val="000000"/>
        </w:rPr>
      </w:pPr>
      <w:r>
        <w:rPr>
          <w:rFonts w:ascii="Arial" w:eastAsia="Arial" w:hAnsi="Arial" w:cs="Arial"/>
          <w:bCs/>
          <w:color w:val="000000"/>
        </w:rPr>
        <w:t xml:space="preserve">In line with the principle that risks </w:t>
      </w:r>
      <w:r w:rsidRPr="00B80669">
        <w:rPr>
          <w:rFonts w:ascii="Arial" w:eastAsia="Arial" w:hAnsi="Arial" w:cs="Arial"/>
          <w:bCs/>
          <w:color w:val="000000"/>
        </w:rPr>
        <w:t xml:space="preserve">should be passed to the party best able to manage them, </w:t>
      </w:r>
      <w:r>
        <w:rPr>
          <w:rFonts w:ascii="Arial" w:eastAsia="Arial" w:hAnsi="Arial" w:cs="Arial"/>
          <w:bCs/>
          <w:color w:val="000000"/>
        </w:rPr>
        <w:t>(</w:t>
      </w:r>
      <w:r w:rsidRPr="00B80669">
        <w:rPr>
          <w:rFonts w:ascii="Arial" w:eastAsia="Arial" w:hAnsi="Arial" w:cs="Arial"/>
          <w:bCs/>
          <w:color w:val="000000"/>
        </w:rPr>
        <w:t>subject to value for money</w:t>
      </w:r>
      <w:r>
        <w:rPr>
          <w:rFonts w:ascii="Arial" w:eastAsia="Arial" w:hAnsi="Arial" w:cs="Arial"/>
          <w:bCs/>
          <w:color w:val="000000"/>
        </w:rPr>
        <w:t xml:space="preserve">), the </w:t>
      </w:r>
      <w:r w:rsidRPr="00B80669">
        <w:rPr>
          <w:rFonts w:ascii="Arial" w:eastAsia="Arial" w:hAnsi="Arial" w:cs="Arial"/>
          <w:bCs/>
          <w:color w:val="000000"/>
        </w:rPr>
        <w:t xml:space="preserve">following table </w:t>
      </w:r>
      <w:r>
        <w:rPr>
          <w:rFonts w:ascii="Arial" w:eastAsia="Arial" w:hAnsi="Arial" w:cs="Arial"/>
          <w:bCs/>
          <w:color w:val="000000"/>
        </w:rPr>
        <w:t xml:space="preserve">shows </w:t>
      </w:r>
      <w:r w:rsidRPr="00B80669">
        <w:rPr>
          <w:rFonts w:ascii="Arial" w:eastAsia="Arial" w:hAnsi="Arial" w:cs="Arial"/>
          <w:bCs/>
          <w:color w:val="000000"/>
        </w:rPr>
        <w:t xml:space="preserve">how the </w:t>
      </w:r>
      <w:r>
        <w:rPr>
          <w:rFonts w:ascii="Arial" w:eastAsia="Arial" w:hAnsi="Arial" w:cs="Arial"/>
          <w:bCs/>
          <w:color w:val="000000"/>
        </w:rPr>
        <w:t xml:space="preserve">construction </w:t>
      </w:r>
      <w:r w:rsidRPr="00B80669">
        <w:rPr>
          <w:rFonts w:ascii="Arial" w:eastAsia="Arial" w:hAnsi="Arial" w:cs="Arial"/>
          <w:bCs/>
          <w:color w:val="000000"/>
        </w:rPr>
        <w:t>risks might be apportioned</w:t>
      </w:r>
      <w:r w:rsidR="00D654D3">
        <w:rPr>
          <w:rFonts w:ascii="Arial" w:eastAsia="Arial" w:hAnsi="Arial" w:cs="Arial"/>
          <w:bCs/>
          <w:color w:val="000000"/>
        </w:rPr>
        <w:t>.</w:t>
      </w:r>
    </w:p>
    <w:p w14:paraId="263FBEE5" w14:textId="77777777" w:rsidR="000D05E5" w:rsidRPr="00B80669" w:rsidRDefault="000D05E5" w:rsidP="000D05E5">
      <w:pPr>
        <w:tabs>
          <w:tab w:val="left" w:pos="567"/>
        </w:tabs>
        <w:spacing w:after="0"/>
        <w:rPr>
          <w:rFonts w:ascii="Arial" w:eastAsia="Arial" w:hAnsi="Arial" w:cs="Arial"/>
          <w:bCs/>
          <w:color w:val="000000"/>
        </w:rPr>
      </w:pPr>
    </w:p>
    <w:p w14:paraId="768B256A" w14:textId="4C3EF1F7" w:rsidR="00D654D3" w:rsidRDefault="00D654D3" w:rsidP="00D654D3">
      <w:pPr>
        <w:pStyle w:val="Caption"/>
        <w:spacing w:before="0"/>
      </w:pPr>
      <w:r>
        <w:t xml:space="preserve">Table </w:t>
      </w:r>
      <w:r>
        <w:fldChar w:fldCharType="begin"/>
      </w:r>
      <w:r>
        <w:instrText xml:space="preserve"> SEQ Table \* ARABIC </w:instrText>
      </w:r>
      <w:r>
        <w:fldChar w:fldCharType="separate"/>
      </w:r>
      <w:r w:rsidR="00A936CD">
        <w:rPr>
          <w:noProof/>
        </w:rPr>
        <w:t>40</w:t>
      </w:r>
      <w:r>
        <w:fldChar w:fldCharType="end"/>
      </w:r>
      <w:r>
        <w:t xml:space="preserve">: </w:t>
      </w:r>
      <w:r w:rsidRPr="0047104A">
        <w:rPr>
          <w:b w:val="0"/>
          <w:bCs w:val="0"/>
        </w:rPr>
        <w:t>Potential risk transfer allocation</w:t>
      </w:r>
    </w:p>
    <w:tbl>
      <w:tblPr>
        <w:tblW w:w="9180" w:type="dxa"/>
        <w:tblLayout w:type="fixed"/>
        <w:tblCellMar>
          <w:left w:w="10" w:type="dxa"/>
          <w:right w:w="10" w:type="dxa"/>
        </w:tblCellMar>
        <w:tblLook w:val="0000" w:firstRow="0" w:lastRow="0" w:firstColumn="0" w:lastColumn="0" w:noHBand="0" w:noVBand="0"/>
      </w:tblPr>
      <w:tblGrid>
        <w:gridCol w:w="4503"/>
        <w:gridCol w:w="1559"/>
        <w:gridCol w:w="1559"/>
        <w:gridCol w:w="1559"/>
      </w:tblGrid>
      <w:tr w:rsidR="000D05E5" w:rsidRPr="00E10728" w14:paraId="2F99C133" w14:textId="77777777" w:rsidTr="0025490F">
        <w:trPr>
          <w:cantSplit/>
          <w:trHeight w:val="325"/>
        </w:trPr>
        <w:tc>
          <w:tcPr>
            <w:tcW w:w="4503" w:type="dxa"/>
            <w:vMerge w:val="restart"/>
            <w:tcBorders>
              <w:top w:val="single" w:sz="4" w:space="0" w:color="000000"/>
              <w:left w:val="single" w:sz="4" w:space="0" w:color="000000"/>
              <w:bottom w:val="single" w:sz="4" w:space="0" w:color="000000"/>
              <w:right w:val="single" w:sz="4" w:space="0" w:color="000000"/>
            </w:tcBorders>
            <w:shd w:val="clear" w:color="auto" w:fill="4F81BD"/>
            <w:tcMar>
              <w:top w:w="0" w:type="dxa"/>
              <w:left w:w="108" w:type="dxa"/>
              <w:bottom w:w="0" w:type="dxa"/>
              <w:right w:w="108" w:type="dxa"/>
            </w:tcMar>
            <w:vAlign w:val="center"/>
          </w:tcPr>
          <w:p w14:paraId="5327459F" w14:textId="77777777" w:rsidR="000D05E5" w:rsidRPr="00E10728" w:rsidRDefault="000D05E5" w:rsidP="000D05E5">
            <w:pPr>
              <w:pStyle w:val="BodyText0"/>
              <w:spacing w:before="60" w:after="60"/>
              <w:rPr>
                <w:rFonts w:cs="Arial"/>
                <w:b/>
                <w:color w:val="FFFFFF" w:themeColor="background1"/>
                <w:szCs w:val="22"/>
              </w:rPr>
            </w:pPr>
            <w:bookmarkStart w:id="429" w:name="_Hlk26288947"/>
            <w:r w:rsidRPr="00E10728">
              <w:rPr>
                <w:rFonts w:cs="Arial"/>
                <w:b/>
                <w:color w:val="FFFFFF" w:themeColor="background1"/>
                <w:szCs w:val="22"/>
              </w:rPr>
              <w:t>Risk Category</w:t>
            </w:r>
          </w:p>
        </w:tc>
        <w:tc>
          <w:tcPr>
            <w:tcW w:w="4677" w:type="dxa"/>
            <w:gridSpan w:val="3"/>
            <w:tcBorders>
              <w:top w:val="single" w:sz="4" w:space="0" w:color="000000"/>
              <w:left w:val="single" w:sz="4" w:space="0" w:color="000000"/>
              <w:bottom w:val="single" w:sz="4" w:space="0" w:color="000000"/>
              <w:right w:val="single" w:sz="4" w:space="0" w:color="000000"/>
            </w:tcBorders>
            <w:shd w:val="clear" w:color="auto" w:fill="4F81BD"/>
            <w:tcMar>
              <w:top w:w="0" w:type="dxa"/>
              <w:left w:w="108" w:type="dxa"/>
              <w:bottom w:w="0" w:type="dxa"/>
              <w:right w:w="108" w:type="dxa"/>
            </w:tcMar>
          </w:tcPr>
          <w:p w14:paraId="24A6D72E" w14:textId="77777777" w:rsidR="000D05E5" w:rsidRPr="00E10728" w:rsidRDefault="000D05E5" w:rsidP="000D05E5">
            <w:pPr>
              <w:pStyle w:val="BodyText0"/>
              <w:spacing w:before="60" w:after="60"/>
              <w:jc w:val="center"/>
              <w:rPr>
                <w:rFonts w:cs="Arial"/>
                <w:b/>
                <w:color w:val="FFFFFF" w:themeColor="background1"/>
                <w:szCs w:val="22"/>
              </w:rPr>
            </w:pPr>
            <w:r w:rsidRPr="00E10728">
              <w:rPr>
                <w:rFonts w:cs="Arial"/>
                <w:b/>
                <w:color w:val="FFFFFF" w:themeColor="background1"/>
                <w:szCs w:val="22"/>
              </w:rPr>
              <w:t>Potential allocation</w:t>
            </w:r>
          </w:p>
        </w:tc>
      </w:tr>
      <w:tr w:rsidR="000D05E5" w:rsidRPr="00E10728" w14:paraId="2B90F7F3" w14:textId="77777777" w:rsidTr="0025490F">
        <w:trPr>
          <w:cantSplit/>
        </w:trPr>
        <w:tc>
          <w:tcPr>
            <w:tcW w:w="4503" w:type="dxa"/>
            <w:vMerge/>
            <w:tcBorders>
              <w:top w:val="single" w:sz="4" w:space="0" w:color="000000"/>
              <w:left w:val="single" w:sz="4" w:space="0" w:color="000000"/>
              <w:bottom w:val="single" w:sz="4" w:space="0" w:color="000000"/>
              <w:right w:val="single" w:sz="4" w:space="0" w:color="000000"/>
            </w:tcBorders>
            <w:shd w:val="clear" w:color="auto" w:fill="4F81BD"/>
            <w:tcMar>
              <w:top w:w="0" w:type="dxa"/>
              <w:left w:w="108" w:type="dxa"/>
              <w:bottom w:w="0" w:type="dxa"/>
              <w:right w:w="108" w:type="dxa"/>
            </w:tcMar>
          </w:tcPr>
          <w:p w14:paraId="389591ED" w14:textId="77777777" w:rsidR="000D05E5" w:rsidRPr="00E10728" w:rsidRDefault="000D05E5" w:rsidP="000D05E5">
            <w:pPr>
              <w:pStyle w:val="BodyText0"/>
              <w:spacing w:before="60" w:after="60"/>
              <w:rPr>
                <w:rFonts w:cs="Arial"/>
                <w:b/>
                <w:color w:val="FFFFFF" w:themeColor="background1"/>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4F81BD"/>
            <w:tcMar>
              <w:top w:w="0" w:type="dxa"/>
              <w:left w:w="108" w:type="dxa"/>
              <w:bottom w:w="0" w:type="dxa"/>
              <w:right w:w="108" w:type="dxa"/>
            </w:tcMar>
          </w:tcPr>
          <w:p w14:paraId="5D0C071D" w14:textId="77777777" w:rsidR="000D05E5" w:rsidRPr="00E10728" w:rsidRDefault="000D05E5" w:rsidP="000D05E5">
            <w:pPr>
              <w:pStyle w:val="BodyText0"/>
              <w:spacing w:before="60" w:after="60"/>
              <w:jc w:val="center"/>
              <w:rPr>
                <w:rFonts w:cs="Arial"/>
                <w:b/>
                <w:color w:val="FFFFFF" w:themeColor="background1"/>
                <w:szCs w:val="22"/>
              </w:rPr>
            </w:pPr>
            <w:r w:rsidRPr="00E10728">
              <w:rPr>
                <w:rFonts w:cs="Arial"/>
                <w:b/>
                <w:color w:val="FFFFFF" w:themeColor="background1"/>
                <w:szCs w:val="22"/>
              </w:rPr>
              <w:t>JDV</w:t>
            </w:r>
            <w:r>
              <w:rPr>
                <w:rFonts w:cs="Arial"/>
                <w:b/>
                <w:color w:val="FFFFFF" w:themeColor="background1"/>
                <w:szCs w:val="22"/>
              </w:rPr>
              <w:t>*</w:t>
            </w:r>
          </w:p>
        </w:tc>
        <w:tc>
          <w:tcPr>
            <w:tcW w:w="1559" w:type="dxa"/>
            <w:tcBorders>
              <w:top w:val="single" w:sz="4" w:space="0" w:color="000000"/>
              <w:left w:val="single" w:sz="4" w:space="0" w:color="000000"/>
              <w:bottom w:val="single" w:sz="4" w:space="0" w:color="000000"/>
              <w:right w:val="single" w:sz="4" w:space="0" w:color="000000"/>
            </w:tcBorders>
            <w:shd w:val="clear" w:color="auto" w:fill="4F81BD"/>
            <w:tcMar>
              <w:top w:w="0" w:type="dxa"/>
              <w:left w:w="108" w:type="dxa"/>
              <w:bottom w:w="0" w:type="dxa"/>
              <w:right w:w="108" w:type="dxa"/>
            </w:tcMar>
          </w:tcPr>
          <w:p w14:paraId="3179D175" w14:textId="77777777" w:rsidR="000D05E5" w:rsidRPr="00E10728" w:rsidRDefault="000D05E5" w:rsidP="000D05E5">
            <w:pPr>
              <w:pStyle w:val="BodyText0"/>
              <w:spacing w:before="60" w:after="60"/>
              <w:jc w:val="center"/>
              <w:rPr>
                <w:rFonts w:cs="Arial"/>
                <w:b/>
                <w:color w:val="FFFFFF" w:themeColor="background1"/>
                <w:szCs w:val="22"/>
              </w:rPr>
            </w:pPr>
            <w:r>
              <w:rPr>
                <w:rFonts w:cs="Arial"/>
                <w:b/>
                <w:color w:val="FFFFFF" w:themeColor="background1"/>
                <w:szCs w:val="22"/>
              </w:rPr>
              <w:t>Contractor</w:t>
            </w:r>
          </w:p>
        </w:tc>
        <w:tc>
          <w:tcPr>
            <w:tcW w:w="1559" w:type="dxa"/>
            <w:tcBorders>
              <w:top w:val="single" w:sz="4" w:space="0" w:color="000000"/>
              <w:left w:val="single" w:sz="4" w:space="0" w:color="000000"/>
              <w:bottom w:val="single" w:sz="4" w:space="0" w:color="000000"/>
              <w:right w:val="single" w:sz="4" w:space="0" w:color="000000"/>
            </w:tcBorders>
            <w:shd w:val="clear" w:color="auto" w:fill="4F81BD"/>
            <w:tcMar>
              <w:top w:w="0" w:type="dxa"/>
              <w:left w:w="108" w:type="dxa"/>
              <w:bottom w:w="0" w:type="dxa"/>
              <w:right w:w="108" w:type="dxa"/>
            </w:tcMar>
          </w:tcPr>
          <w:p w14:paraId="29653AE4" w14:textId="77777777" w:rsidR="000D05E5" w:rsidRPr="00E10728" w:rsidRDefault="000D05E5" w:rsidP="000D05E5">
            <w:pPr>
              <w:pStyle w:val="BodyText0"/>
              <w:spacing w:before="60" w:after="60"/>
              <w:jc w:val="center"/>
              <w:rPr>
                <w:rFonts w:cs="Arial"/>
                <w:b/>
                <w:color w:val="FFFFFF" w:themeColor="background1"/>
                <w:szCs w:val="22"/>
              </w:rPr>
            </w:pPr>
            <w:r w:rsidRPr="00E10728">
              <w:rPr>
                <w:rFonts w:cs="Arial"/>
                <w:b/>
                <w:color w:val="FFFFFF" w:themeColor="background1"/>
                <w:szCs w:val="22"/>
              </w:rPr>
              <w:t>Shared</w:t>
            </w:r>
          </w:p>
        </w:tc>
      </w:tr>
      <w:tr w:rsidR="000D05E5" w:rsidRPr="00E10728" w14:paraId="3E567F90" w14:textId="77777777" w:rsidTr="000D05E5">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4E4D0" w14:textId="77777777" w:rsidR="000D05E5" w:rsidRDefault="000D05E5" w:rsidP="000D05E5">
            <w:pPr>
              <w:pStyle w:val="BodyText0"/>
              <w:spacing w:beforeLines="20" w:before="48" w:afterLines="20" w:after="48"/>
              <w:rPr>
                <w:rFonts w:cs="Arial"/>
                <w:szCs w:val="22"/>
              </w:rPr>
            </w:pPr>
            <w:r w:rsidRPr="00E10728">
              <w:rPr>
                <w:rFonts w:cs="Arial"/>
                <w:szCs w:val="22"/>
              </w:rPr>
              <w:t>1. Design risk</w:t>
            </w:r>
          </w:p>
          <w:p w14:paraId="4C4B00F7" w14:textId="77777777" w:rsidR="000D05E5" w:rsidRPr="00E10728" w:rsidRDefault="000D05E5" w:rsidP="000D05E5">
            <w:pPr>
              <w:pStyle w:val="BodyText0"/>
              <w:spacing w:beforeLines="20" w:before="48" w:afterLines="20" w:after="48"/>
              <w:rPr>
                <w:rFonts w:cs="Arial"/>
                <w:szCs w:val="22"/>
              </w:rPr>
            </w:pPr>
            <w:r>
              <w:rPr>
                <w:rFonts w:cs="Arial"/>
                <w:i/>
                <w:iCs/>
              </w:rPr>
              <w:t>This will be transferred to the contractor upon appointment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0D1E1" w14:textId="77777777" w:rsidR="000D05E5" w:rsidRPr="00E10728" w:rsidRDefault="000D05E5" w:rsidP="000D05E5">
            <w:pPr>
              <w:pStyle w:val="BodyText0"/>
              <w:suppressAutoHyphens/>
              <w:autoSpaceDN w:val="0"/>
              <w:spacing w:beforeLines="20" w:before="48" w:afterLines="20" w:after="48"/>
              <w:textAlignment w:val="baseline"/>
              <w:rPr>
                <w:rFonts w:cs="Arial"/>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308FE3" w14:textId="77777777" w:rsidR="000D05E5" w:rsidRPr="00AC11DD" w:rsidRDefault="000D05E5" w:rsidP="005E0D57">
            <w:pPr>
              <w:pStyle w:val="BodyText0"/>
              <w:numPr>
                <w:ilvl w:val="0"/>
                <w:numId w:val="66"/>
              </w:numPr>
              <w:suppressAutoHyphens/>
              <w:autoSpaceDN w:val="0"/>
              <w:spacing w:beforeLines="20" w:before="48" w:afterLines="20" w:after="48"/>
              <w:jc w:val="center"/>
              <w:textAlignment w:val="baseline"/>
              <w:rPr>
                <w:rFonts w:cs="Arial"/>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0CC7B7" w14:textId="77777777" w:rsidR="000D05E5" w:rsidRPr="00E10728" w:rsidRDefault="000D05E5" w:rsidP="00E830A1">
            <w:pPr>
              <w:pStyle w:val="BodyText0"/>
              <w:suppressAutoHyphens/>
              <w:autoSpaceDN w:val="0"/>
              <w:spacing w:beforeLines="20" w:before="48" w:afterLines="20" w:after="48"/>
              <w:textAlignment w:val="baseline"/>
              <w:rPr>
                <w:rFonts w:cs="Arial"/>
                <w:szCs w:val="22"/>
              </w:rPr>
            </w:pPr>
          </w:p>
        </w:tc>
      </w:tr>
      <w:tr w:rsidR="000D05E5" w:rsidRPr="00E10728" w14:paraId="7DBDF4A5" w14:textId="77777777" w:rsidTr="000D05E5">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8871D" w14:textId="77777777" w:rsidR="000D05E5" w:rsidRDefault="000D05E5" w:rsidP="000D05E5">
            <w:pPr>
              <w:pStyle w:val="BodyText0"/>
              <w:spacing w:beforeLines="20" w:before="48" w:afterLines="20" w:after="48"/>
              <w:rPr>
                <w:rFonts w:cs="Arial"/>
                <w:szCs w:val="22"/>
              </w:rPr>
            </w:pPr>
            <w:r w:rsidRPr="00AC11DD">
              <w:rPr>
                <w:rFonts w:cs="Arial"/>
                <w:szCs w:val="22"/>
              </w:rPr>
              <w:t>2.</w:t>
            </w:r>
            <w:r>
              <w:rPr>
                <w:rFonts w:cs="Arial"/>
                <w:szCs w:val="22"/>
              </w:rPr>
              <w:t xml:space="preserve"> </w:t>
            </w:r>
            <w:r w:rsidRPr="00E10728">
              <w:rPr>
                <w:rFonts w:cs="Arial"/>
                <w:szCs w:val="22"/>
              </w:rPr>
              <w:t>Construction and development risk</w:t>
            </w:r>
          </w:p>
          <w:p w14:paraId="2014282C" w14:textId="77777777" w:rsidR="000D05E5" w:rsidRPr="00AC11DD" w:rsidRDefault="000D05E5" w:rsidP="000D05E5">
            <w:pPr>
              <w:pStyle w:val="BodyText0"/>
              <w:spacing w:beforeLines="20" w:before="48" w:afterLines="20" w:after="48"/>
              <w:rPr>
                <w:rFonts w:cs="Arial"/>
                <w:i/>
                <w:iCs/>
                <w:szCs w:val="22"/>
              </w:rPr>
            </w:pPr>
            <w:r>
              <w:rPr>
                <w:rFonts w:cs="Arial"/>
                <w:i/>
                <w:iCs/>
                <w:szCs w:val="22"/>
              </w:rPr>
              <w:t>This will largely sit with the contractor but some residual risk such as ground conditions may be shared</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55E225" w14:textId="77777777" w:rsidR="000D05E5" w:rsidRPr="00E10728" w:rsidRDefault="000D05E5" w:rsidP="000D05E5">
            <w:pPr>
              <w:pStyle w:val="BodyText0"/>
              <w:spacing w:beforeLines="20" w:before="48" w:afterLines="20" w:after="48"/>
              <w:jc w:val="center"/>
              <w:rPr>
                <w:rFonts w:cs="Arial"/>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D18E31" w14:textId="77777777" w:rsidR="000D05E5" w:rsidRPr="00E10728" w:rsidRDefault="000D05E5" w:rsidP="005E0D57">
            <w:pPr>
              <w:pStyle w:val="BodyText0"/>
              <w:numPr>
                <w:ilvl w:val="0"/>
                <w:numId w:val="66"/>
              </w:numPr>
              <w:suppressAutoHyphens/>
              <w:autoSpaceDN w:val="0"/>
              <w:spacing w:beforeLines="20" w:before="48" w:afterLines="20" w:after="48"/>
              <w:jc w:val="center"/>
              <w:textAlignment w:val="baseline"/>
              <w:rPr>
                <w:rFonts w:cs="Arial"/>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8C518" w14:textId="77777777" w:rsidR="000D05E5" w:rsidRPr="00E10728" w:rsidRDefault="000D05E5" w:rsidP="005E0D57">
            <w:pPr>
              <w:pStyle w:val="BodyText0"/>
              <w:numPr>
                <w:ilvl w:val="0"/>
                <w:numId w:val="66"/>
              </w:numPr>
              <w:suppressAutoHyphens/>
              <w:autoSpaceDN w:val="0"/>
              <w:spacing w:beforeLines="20" w:before="48" w:afterLines="20" w:after="48"/>
              <w:jc w:val="center"/>
              <w:textAlignment w:val="baseline"/>
              <w:rPr>
                <w:rFonts w:cs="Arial"/>
                <w:szCs w:val="22"/>
              </w:rPr>
            </w:pPr>
          </w:p>
        </w:tc>
      </w:tr>
      <w:tr w:rsidR="000D05E5" w:rsidRPr="00E10728" w14:paraId="3528FC1B" w14:textId="77777777" w:rsidTr="000D05E5">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F505B" w14:textId="77777777" w:rsidR="000D05E5" w:rsidRPr="00E10728" w:rsidRDefault="000D05E5" w:rsidP="000D05E5">
            <w:pPr>
              <w:pStyle w:val="BodyText0"/>
              <w:spacing w:beforeLines="20" w:before="48" w:afterLines="20" w:after="48"/>
              <w:rPr>
                <w:rFonts w:cs="Arial"/>
                <w:szCs w:val="22"/>
              </w:rPr>
            </w:pPr>
            <w:r w:rsidRPr="00E10728">
              <w:rPr>
                <w:rFonts w:cs="Arial"/>
                <w:szCs w:val="22"/>
              </w:rPr>
              <w:t>3. Transition and implementation risk</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9A9AFD" w14:textId="77777777" w:rsidR="000D05E5" w:rsidRPr="00E10728" w:rsidRDefault="000D05E5" w:rsidP="000D05E5">
            <w:pPr>
              <w:pStyle w:val="BodyText0"/>
              <w:spacing w:beforeLines="20" w:before="48" w:afterLines="20" w:after="48"/>
              <w:jc w:val="center"/>
              <w:rPr>
                <w:rFonts w:cs="Arial"/>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88CFD" w14:textId="77777777" w:rsidR="000D05E5" w:rsidRPr="00E10728" w:rsidRDefault="000D05E5" w:rsidP="000D05E5">
            <w:pPr>
              <w:pStyle w:val="BodyText0"/>
              <w:spacing w:beforeLines="20" w:before="48" w:afterLines="20" w:after="48"/>
              <w:jc w:val="center"/>
              <w:rPr>
                <w:rFonts w:cs="Arial"/>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59EC7" w14:textId="77777777" w:rsidR="000D05E5" w:rsidRPr="00E10728" w:rsidRDefault="000D05E5" w:rsidP="005E0D57">
            <w:pPr>
              <w:pStyle w:val="BodyText0"/>
              <w:numPr>
                <w:ilvl w:val="0"/>
                <w:numId w:val="66"/>
              </w:numPr>
              <w:suppressAutoHyphens/>
              <w:autoSpaceDN w:val="0"/>
              <w:spacing w:beforeLines="20" w:before="48" w:afterLines="20" w:after="48"/>
              <w:jc w:val="center"/>
              <w:textAlignment w:val="baseline"/>
              <w:rPr>
                <w:rFonts w:cs="Arial"/>
                <w:szCs w:val="22"/>
              </w:rPr>
            </w:pPr>
          </w:p>
        </w:tc>
      </w:tr>
      <w:tr w:rsidR="000D05E5" w:rsidRPr="00E10728" w14:paraId="0F85C729" w14:textId="77777777" w:rsidTr="000D05E5">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C5A0D" w14:textId="77777777" w:rsidR="000D05E5" w:rsidRPr="00E10728" w:rsidRDefault="000D05E5" w:rsidP="000D05E5">
            <w:pPr>
              <w:pStyle w:val="BodyText0"/>
              <w:spacing w:beforeLines="20" w:before="48" w:afterLines="20" w:after="48"/>
              <w:rPr>
                <w:rFonts w:cs="Arial"/>
                <w:szCs w:val="22"/>
              </w:rPr>
            </w:pPr>
            <w:r w:rsidRPr="00E10728">
              <w:rPr>
                <w:rFonts w:cs="Arial"/>
                <w:szCs w:val="22"/>
              </w:rPr>
              <w:t>4. Availability and performance risk</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F747B6" w14:textId="77777777" w:rsidR="000D05E5" w:rsidRPr="00E10728" w:rsidRDefault="000D05E5" w:rsidP="000D05E5">
            <w:pPr>
              <w:pStyle w:val="BodyText0"/>
              <w:spacing w:beforeLines="20" w:before="48" w:afterLines="20" w:after="48"/>
              <w:jc w:val="center"/>
              <w:rPr>
                <w:rFonts w:cs="Arial"/>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870AA7" w14:textId="77777777" w:rsidR="000D05E5" w:rsidRPr="00E10728" w:rsidRDefault="000D05E5" w:rsidP="000D05E5">
            <w:pPr>
              <w:pStyle w:val="BodyText0"/>
              <w:spacing w:beforeLines="20" w:before="48" w:afterLines="20" w:after="48"/>
              <w:jc w:val="center"/>
              <w:rPr>
                <w:rFonts w:cs="Arial"/>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B0825B" w14:textId="77777777" w:rsidR="000D05E5" w:rsidRPr="00E10728" w:rsidRDefault="000D05E5" w:rsidP="005E0D57">
            <w:pPr>
              <w:pStyle w:val="BodyText0"/>
              <w:numPr>
                <w:ilvl w:val="0"/>
                <w:numId w:val="66"/>
              </w:numPr>
              <w:suppressAutoHyphens/>
              <w:autoSpaceDN w:val="0"/>
              <w:spacing w:beforeLines="20" w:before="48" w:afterLines="20" w:after="48"/>
              <w:jc w:val="center"/>
              <w:textAlignment w:val="baseline"/>
              <w:rPr>
                <w:rFonts w:cs="Arial"/>
                <w:szCs w:val="22"/>
              </w:rPr>
            </w:pPr>
          </w:p>
        </w:tc>
      </w:tr>
      <w:tr w:rsidR="000D05E5" w:rsidRPr="00E10728" w14:paraId="0379E6A3" w14:textId="77777777" w:rsidTr="000D05E5">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62B2A" w14:textId="77777777" w:rsidR="000D05E5" w:rsidRPr="00E10728" w:rsidRDefault="000D05E5" w:rsidP="000D05E5">
            <w:pPr>
              <w:pStyle w:val="BodyText0"/>
              <w:spacing w:beforeLines="20" w:before="48" w:afterLines="20" w:after="48"/>
              <w:rPr>
                <w:rFonts w:cs="Arial"/>
                <w:szCs w:val="22"/>
              </w:rPr>
            </w:pPr>
            <w:r w:rsidRPr="00E10728">
              <w:rPr>
                <w:rFonts w:cs="Arial"/>
                <w:szCs w:val="22"/>
              </w:rPr>
              <w:t>5. Operating risk</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22B7BC" w14:textId="77777777" w:rsidR="000D05E5" w:rsidRPr="00E10728" w:rsidRDefault="000D05E5" w:rsidP="005E0D57">
            <w:pPr>
              <w:pStyle w:val="BodyText0"/>
              <w:numPr>
                <w:ilvl w:val="0"/>
                <w:numId w:val="66"/>
              </w:numPr>
              <w:suppressAutoHyphens/>
              <w:autoSpaceDN w:val="0"/>
              <w:spacing w:beforeLines="20" w:before="48" w:afterLines="20" w:after="48"/>
              <w:jc w:val="center"/>
              <w:textAlignment w:val="baseline"/>
              <w:rPr>
                <w:rFonts w:cs="Arial"/>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EF7A17" w14:textId="77777777" w:rsidR="000D05E5" w:rsidRPr="00E10728" w:rsidRDefault="000D05E5" w:rsidP="000D05E5">
            <w:pPr>
              <w:pStyle w:val="BodyText0"/>
              <w:spacing w:beforeLines="20" w:before="48" w:afterLines="20" w:after="48"/>
              <w:jc w:val="center"/>
              <w:rPr>
                <w:rFonts w:cs="Arial"/>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2BB98C" w14:textId="77777777" w:rsidR="000D05E5" w:rsidRPr="00E10728" w:rsidRDefault="000D05E5" w:rsidP="000D05E5">
            <w:pPr>
              <w:pStyle w:val="BodyText0"/>
              <w:spacing w:beforeLines="20" w:before="48" w:afterLines="20" w:after="48"/>
              <w:jc w:val="center"/>
              <w:rPr>
                <w:rFonts w:cs="Arial"/>
                <w:szCs w:val="22"/>
              </w:rPr>
            </w:pPr>
          </w:p>
        </w:tc>
      </w:tr>
      <w:tr w:rsidR="000D05E5" w:rsidRPr="00E10728" w14:paraId="52747D65" w14:textId="77777777" w:rsidTr="000D05E5">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1A638" w14:textId="77777777" w:rsidR="000D05E5" w:rsidRPr="00E10728" w:rsidRDefault="000D05E5" w:rsidP="000D05E5">
            <w:pPr>
              <w:pStyle w:val="BodyText0"/>
              <w:spacing w:beforeLines="20" w:before="48" w:afterLines="20" w:after="48"/>
              <w:rPr>
                <w:rFonts w:cs="Arial"/>
                <w:szCs w:val="22"/>
              </w:rPr>
            </w:pPr>
            <w:r w:rsidRPr="00E10728">
              <w:rPr>
                <w:rFonts w:cs="Arial"/>
                <w:szCs w:val="22"/>
              </w:rPr>
              <w:t>6. Variability of revenue risks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2BC96" w14:textId="77777777" w:rsidR="000D05E5" w:rsidRPr="00E10728" w:rsidRDefault="000D05E5" w:rsidP="005E0D57">
            <w:pPr>
              <w:pStyle w:val="BodyText0"/>
              <w:numPr>
                <w:ilvl w:val="0"/>
                <w:numId w:val="66"/>
              </w:numPr>
              <w:suppressAutoHyphens/>
              <w:autoSpaceDN w:val="0"/>
              <w:spacing w:beforeLines="20" w:before="48" w:afterLines="20" w:after="48"/>
              <w:jc w:val="center"/>
              <w:textAlignment w:val="baseline"/>
              <w:rPr>
                <w:rFonts w:cs="Arial"/>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29A547" w14:textId="77777777" w:rsidR="000D05E5" w:rsidRPr="00E10728" w:rsidRDefault="000D05E5" w:rsidP="000D05E5">
            <w:pPr>
              <w:pStyle w:val="BodyText0"/>
              <w:spacing w:beforeLines="20" w:before="48" w:afterLines="20" w:after="48"/>
              <w:jc w:val="center"/>
              <w:rPr>
                <w:rFonts w:cs="Arial"/>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B66604" w14:textId="77777777" w:rsidR="000D05E5" w:rsidRPr="00E10728" w:rsidRDefault="000D05E5" w:rsidP="000D05E5">
            <w:pPr>
              <w:pStyle w:val="BodyText0"/>
              <w:spacing w:beforeLines="20" w:before="48" w:afterLines="20" w:after="48"/>
              <w:jc w:val="center"/>
              <w:rPr>
                <w:rFonts w:cs="Arial"/>
                <w:szCs w:val="22"/>
              </w:rPr>
            </w:pPr>
          </w:p>
        </w:tc>
      </w:tr>
      <w:tr w:rsidR="000D05E5" w:rsidRPr="00E10728" w14:paraId="795F244D" w14:textId="77777777" w:rsidTr="000D05E5">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B72A4" w14:textId="77777777" w:rsidR="000D05E5" w:rsidRPr="00E10728" w:rsidRDefault="000D05E5" w:rsidP="000D05E5">
            <w:pPr>
              <w:pStyle w:val="BodyText0"/>
              <w:spacing w:beforeLines="20" w:before="48" w:afterLines="20" w:after="48"/>
              <w:rPr>
                <w:rFonts w:cs="Arial"/>
                <w:szCs w:val="22"/>
              </w:rPr>
            </w:pPr>
            <w:r w:rsidRPr="00E10728">
              <w:rPr>
                <w:rFonts w:cs="Arial"/>
                <w:szCs w:val="22"/>
              </w:rPr>
              <w:t>7. Termination risks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69ED73" w14:textId="77777777" w:rsidR="000D05E5" w:rsidRPr="00E10728" w:rsidRDefault="000D05E5" w:rsidP="005E0D57">
            <w:pPr>
              <w:pStyle w:val="BodyText0"/>
              <w:numPr>
                <w:ilvl w:val="0"/>
                <w:numId w:val="66"/>
              </w:numPr>
              <w:suppressAutoHyphens/>
              <w:autoSpaceDN w:val="0"/>
              <w:spacing w:beforeLines="20" w:before="48" w:afterLines="20" w:after="48"/>
              <w:jc w:val="center"/>
              <w:textAlignment w:val="baseline"/>
              <w:rPr>
                <w:rFonts w:cs="Arial"/>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C70F85" w14:textId="77777777" w:rsidR="000D05E5" w:rsidRPr="00E10728" w:rsidRDefault="000D05E5" w:rsidP="000D05E5">
            <w:pPr>
              <w:pStyle w:val="BodyText0"/>
              <w:spacing w:beforeLines="20" w:before="48" w:afterLines="20" w:after="48"/>
              <w:jc w:val="center"/>
              <w:rPr>
                <w:rFonts w:cs="Arial"/>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AB4ABD" w14:textId="77777777" w:rsidR="000D05E5" w:rsidRPr="00E10728" w:rsidRDefault="000D05E5" w:rsidP="000D05E5">
            <w:pPr>
              <w:pStyle w:val="BodyText0"/>
              <w:spacing w:beforeLines="20" w:before="48" w:afterLines="20" w:after="48"/>
              <w:jc w:val="center"/>
              <w:rPr>
                <w:rFonts w:cs="Arial"/>
                <w:szCs w:val="22"/>
              </w:rPr>
            </w:pPr>
          </w:p>
        </w:tc>
      </w:tr>
      <w:tr w:rsidR="000D05E5" w:rsidRPr="00E10728" w14:paraId="338CBF7C" w14:textId="77777777" w:rsidTr="000D05E5">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0908A" w14:textId="77777777" w:rsidR="000D05E5" w:rsidRPr="00E10728" w:rsidRDefault="000D05E5" w:rsidP="000D05E5">
            <w:pPr>
              <w:pStyle w:val="BodyText0"/>
              <w:spacing w:beforeLines="20" w:before="48" w:afterLines="20" w:after="48"/>
              <w:rPr>
                <w:rFonts w:cs="Arial"/>
                <w:szCs w:val="22"/>
              </w:rPr>
            </w:pPr>
            <w:r w:rsidRPr="00E10728">
              <w:rPr>
                <w:rFonts w:cs="Arial"/>
                <w:szCs w:val="22"/>
              </w:rPr>
              <w:t xml:space="preserve">8. Technology and obsolescence risks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B5CDA1" w14:textId="77777777" w:rsidR="000D05E5" w:rsidRPr="00E10728" w:rsidRDefault="000D05E5" w:rsidP="000D05E5">
            <w:pPr>
              <w:pStyle w:val="BodyText0"/>
              <w:spacing w:beforeLines="20" w:before="48" w:afterLines="20" w:after="48"/>
              <w:jc w:val="center"/>
              <w:rPr>
                <w:rFonts w:cs="Arial"/>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9E8EFA" w14:textId="77777777" w:rsidR="000D05E5" w:rsidRPr="00E10728" w:rsidRDefault="000D05E5" w:rsidP="000D05E5">
            <w:pPr>
              <w:pStyle w:val="BodyText0"/>
              <w:spacing w:beforeLines="20" w:before="48" w:afterLines="20" w:after="48"/>
              <w:jc w:val="center"/>
              <w:rPr>
                <w:rFonts w:cs="Arial"/>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DFDF76" w14:textId="77777777" w:rsidR="000D05E5" w:rsidRPr="00E10728" w:rsidRDefault="000D05E5" w:rsidP="005E0D57">
            <w:pPr>
              <w:pStyle w:val="BodyText0"/>
              <w:numPr>
                <w:ilvl w:val="0"/>
                <w:numId w:val="66"/>
              </w:numPr>
              <w:suppressAutoHyphens/>
              <w:autoSpaceDN w:val="0"/>
              <w:spacing w:beforeLines="20" w:before="48" w:afterLines="20" w:after="48"/>
              <w:jc w:val="center"/>
              <w:textAlignment w:val="baseline"/>
              <w:rPr>
                <w:rFonts w:cs="Arial"/>
                <w:szCs w:val="22"/>
              </w:rPr>
            </w:pPr>
          </w:p>
        </w:tc>
      </w:tr>
      <w:tr w:rsidR="000D05E5" w:rsidRPr="00E10728" w14:paraId="30635E88" w14:textId="77777777" w:rsidTr="000D05E5">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AB736" w14:textId="77777777" w:rsidR="000D05E5" w:rsidRPr="00E10728" w:rsidRDefault="000D05E5" w:rsidP="000D05E5">
            <w:pPr>
              <w:pStyle w:val="BodyText0"/>
              <w:spacing w:beforeLines="20" w:before="48" w:afterLines="20" w:after="48"/>
              <w:rPr>
                <w:rFonts w:cs="Arial"/>
                <w:szCs w:val="22"/>
              </w:rPr>
            </w:pPr>
            <w:r w:rsidRPr="00E10728">
              <w:rPr>
                <w:rFonts w:cs="Arial"/>
                <w:szCs w:val="22"/>
              </w:rPr>
              <w:t>9. Control risks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73712C" w14:textId="77777777" w:rsidR="000D05E5" w:rsidRPr="00E10728" w:rsidRDefault="000D05E5" w:rsidP="005E0D57">
            <w:pPr>
              <w:pStyle w:val="BodyText0"/>
              <w:numPr>
                <w:ilvl w:val="0"/>
                <w:numId w:val="66"/>
              </w:numPr>
              <w:suppressAutoHyphens/>
              <w:autoSpaceDN w:val="0"/>
              <w:spacing w:beforeLines="20" w:before="48" w:afterLines="20" w:after="48"/>
              <w:jc w:val="center"/>
              <w:textAlignment w:val="baseline"/>
              <w:rPr>
                <w:rFonts w:cs="Arial"/>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C9AE08" w14:textId="77777777" w:rsidR="000D05E5" w:rsidRPr="00E10728" w:rsidRDefault="000D05E5" w:rsidP="000D05E5">
            <w:pPr>
              <w:pStyle w:val="BodyText0"/>
              <w:spacing w:beforeLines="20" w:before="48" w:afterLines="20" w:after="48"/>
              <w:jc w:val="center"/>
              <w:rPr>
                <w:rFonts w:cs="Arial"/>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2624EC" w14:textId="77777777" w:rsidR="000D05E5" w:rsidRPr="00E10728" w:rsidRDefault="000D05E5" w:rsidP="000D05E5">
            <w:pPr>
              <w:pStyle w:val="BodyText0"/>
              <w:spacing w:beforeLines="20" w:before="48" w:afterLines="20" w:after="48"/>
              <w:jc w:val="center"/>
              <w:rPr>
                <w:rFonts w:cs="Arial"/>
                <w:szCs w:val="22"/>
              </w:rPr>
            </w:pPr>
          </w:p>
        </w:tc>
      </w:tr>
      <w:tr w:rsidR="000D05E5" w:rsidRPr="00E10728" w14:paraId="2F4FD335" w14:textId="77777777" w:rsidTr="000D05E5">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E575A" w14:textId="77777777" w:rsidR="000D05E5" w:rsidRPr="00E10728" w:rsidRDefault="000D05E5" w:rsidP="000D05E5">
            <w:pPr>
              <w:pStyle w:val="BodyText0"/>
              <w:spacing w:beforeLines="20" w:before="48" w:afterLines="20" w:after="48"/>
              <w:rPr>
                <w:rFonts w:cs="Arial"/>
                <w:szCs w:val="22"/>
              </w:rPr>
            </w:pPr>
            <w:r w:rsidRPr="00E10728">
              <w:rPr>
                <w:rFonts w:cs="Arial"/>
                <w:szCs w:val="22"/>
              </w:rPr>
              <w:t>10. Residual value risks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DA10A1" w14:textId="77777777" w:rsidR="000D05E5" w:rsidRPr="00E10728" w:rsidRDefault="000D05E5" w:rsidP="005E0D57">
            <w:pPr>
              <w:pStyle w:val="BodyText0"/>
              <w:numPr>
                <w:ilvl w:val="0"/>
                <w:numId w:val="66"/>
              </w:numPr>
              <w:suppressAutoHyphens/>
              <w:autoSpaceDN w:val="0"/>
              <w:spacing w:beforeLines="20" w:before="48" w:afterLines="20" w:after="48"/>
              <w:jc w:val="center"/>
              <w:textAlignment w:val="baseline"/>
              <w:rPr>
                <w:rFonts w:cs="Arial"/>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BCD0EC" w14:textId="77777777" w:rsidR="000D05E5" w:rsidRPr="00E10728" w:rsidRDefault="000D05E5" w:rsidP="000D05E5">
            <w:pPr>
              <w:pStyle w:val="BodyText0"/>
              <w:spacing w:beforeLines="20" w:before="48" w:afterLines="20" w:after="48"/>
              <w:jc w:val="center"/>
              <w:rPr>
                <w:rFonts w:cs="Arial"/>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A7BECF" w14:textId="77777777" w:rsidR="000D05E5" w:rsidRPr="00E10728" w:rsidRDefault="000D05E5" w:rsidP="000D05E5">
            <w:pPr>
              <w:pStyle w:val="BodyText0"/>
              <w:spacing w:beforeLines="20" w:before="48" w:afterLines="20" w:after="48"/>
              <w:jc w:val="center"/>
              <w:rPr>
                <w:rFonts w:cs="Arial"/>
                <w:szCs w:val="22"/>
              </w:rPr>
            </w:pPr>
          </w:p>
        </w:tc>
      </w:tr>
      <w:tr w:rsidR="000D05E5" w:rsidRPr="00E10728" w14:paraId="3E402388" w14:textId="77777777" w:rsidTr="000D05E5">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66116" w14:textId="77777777" w:rsidR="000D05E5" w:rsidRPr="00E10728" w:rsidRDefault="000D05E5" w:rsidP="000D05E5">
            <w:pPr>
              <w:pStyle w:val="BodyText0"/>
              <w:spacing w:beforeLines="20" w:before="48" w:afterLines="20" w:after="48"/>
              <w:rPr>
                <w:rFonts w:cs="Arial"/>
                <w:szCs w:val="22"/>
              </w:rPr>
            </w:pPr>
            <w:r w:rsidRPr="00E10728">
              <w:rPr>
                <w:rFonts w:cs="Arial"/>
                <w:szCs w:val="22"/>
              </w:rPr>
              <w:t>11. Financing risks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A751C0" w14:textId="77777777" w:rsidR="000D05E5" w:rsidRPr="00E10728" w:rsidRDefault="000D05E5" w:rsidP="005E0D57">
            <w:pPr>
              <w:pStyle w:val="BodyText0"/>
              <w:numPr>
                <w:ilvl w:val="0"/>
                <w:numId w:val="66"/>
              </w:numPr>
              <w:suppressAutoHyphens/>
              <w:autoSpaceDN w:val="0"/>
              <w:spacing w:beforeLines="20" w:before="48" w:afterLines="20" w:after="48"/>
              <w:jc w:val="center"/>
              <w:textAlignment w:val="baseline"/>
              <w:rPr>
                <w:rFonts w:cs="Arial"/>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F7F489" w14:textId="77777777" w:rsidR="000D05E5" w:rsidRPr="00E10728" w:rsidRDefault="000D05E5" w:rsidP="000D05E5">
            <w:pPr>
              <w:pStyle w:val="BodyText0"/>
              <w:spacing w:beforeLines="20" w:before="48" w:afterLines="20" w:after="48"/>
              <w:jc w:val="center"/>
              <w:rPr>
                <w:rFonts w:cs="Arial"/>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6D180A" w14:textId="77777777" w:rsidR="000D05E5" w:rsidRPr="00E10728" w:rsidRDefault="000D05E5" w:rsidP="000D05E5">
            <w:pPr>
              <w:pStyle w:val="BodyText0"/>
              <w:spacing w:beforeLines="20" w:before="48" w:afterLines="20" w:after="48"/>
              <w:jc w:val="center"/>
              <w:rPr>
                <w:rFonts w:cs="Arial"/>
                <w:szCs w:val="22"/>
              </w:rPr>
            </w:pPr>
          </w:p>
        </w:tc>
      </w:tr>
      <w:tr w:rsidR="000D05E5" w:rsidRPr="00E10728" w14:paraId="4D03FA7A" w14:textId="77777777" w:rsidTr="000D05E5">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FE176" w14:textId="77777777" w:rsidR="000D05E5" w:rsidRPr="00E10728" w:rsidRDefault="000D05E5" w:rsidP="000D05E5">
            <w:pPr>
              <w:pStyle w:val="BodyText0"/>
              <w:spacing w:beforeLines="20" w:before="48" w:afterLines="20" w:after="48"/>
              <w:rPr>
                <w:rFonts w:cs="Arial"/>
                <w:szCs w:val="22"/>
              </w:rPr>
            </w:pPr>
            <w:r w:rsidRPr="00E10728">
              <w:rPr>
                <w:rFonts w:cs="Arial"/>
                <w:szCs w:val="22"/>
              </w:rPr>
              <w:t>12. Legislative risks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994987" w14:textId="77777777" w:rsidR="000D05E5" w:rsidRPr="00E10728" w:rsidRDefault="000D05E5" w:rsidP="005E0D57">
            <w:pPr>
              <w:pStyle w:val="BodyText0"/>
              <w:numPr>
                <w:ilvl w:val="0"/>
                <w:numId w:val="66"/>
              </w:numPr>
              <w:suppressAutoHyphens/>
              <w:autoSpaceDN w:val="0"/>
              <w:spacing w:beforeLines="20" w:before="48" w:afterLines="20" w:after="48"/>
              <w:jc w:val="center"/>
              <w:textAlignment w:val="baseline"/>
              <w:rPr>
                <w:rFonts w:cs="Arial"/>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A69BD4" w14:textId="77777777" w:rsidR="000D05E5" w:rsidRPr="00E10728" w:rsidRDefault="000D05E5" w:rsidP="000D05E5">
            <w:pPr>
              <w:pStyle w:val="BodyText0"/>
              <w:suppressAutoHyphens/>
              <w:autoSpaceDN w:val="0"/>
              <w:spacing w:beforeLines="20" w:before="48" w:afterLines="20" w:after="48"/>
              <w:textAlignment w:val="baseline"/>
              <w:rPr>
                <w:rFonts w:cs="Arial"/>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B50169" w14:textId="77777777" w:rsidR="000D05E5" w:rsidRPr="00E10728" w:rsidRDefault="000D05E5" w:rsidP="000D05E5">
            <w:pPr>
              <w:pStyle w:val="BodyText0"/>
              <w:spacing w:beforeLines="20" w:before="48" w:afterLines="20" w:after="48"/>
              <w:jc w:val="center"/>
              <w:rPr>
                <w:rFonts w:cs="Arial"/>
                <w:szCs w:val="22"/>
              </w:rPr>
            </w:pPr>
          </w:p>
        </w:tc>
      </w:tr>
    </w:tbl>
    <w:p w14:paraId="2CACF24A" w14:textId="77777777" w:rsidR="000D05E5" w:rsidRDefault="000D05E5" w:rsidP="000D05E5">
      <w:pPr>
        <w:spacing w:after="0"/>
        <w:rPr>
          <w:rFonts w:ascii="Arial" w:hAnsi="Arial" w:cs="Arial"/>
          <w:i/>
          <w:iCs/>
        </w:rPr>
      </w:pPr>
      <w:bookmarkStart w:id="430" w:name="_Hlk26288960"/>
      <w:bookmarkEnd w:id="429"/>
      <w:r w:rsidRPr="0004656C">
        <w:rPr>
          <w:rFonts w:ascii="Arial" w:hAnsi="Arial" w:cs="Arial"/>
          <w:i/>
          <w:iCs/>
        </w:rPr>
        <w:t>* It is anticipated that risks will be shared between Moorfields and UCL under a 70/30 split</w:t>
      </w:r>
      <w:r>
        <w:rPr>
          <w:rFonts w:ascii="Arial" w:hAnsi="Arial" w:cs="Arial"/>
          <w:i/>
          <w:iCs/>
        </w:rPr>
        <w:t>. This will be confirmed through the Joint Venture Agreement.</w:t>
      </w:r>
    </w:p>
    <w:p w14:paraId="01D7BDCE" w14:textId="77777777" w:rsidR="000D05E5" w:rsidRDefault="000D05E5" w:rsidP="000D05E5">
      <w:pPr>
        <w:spacing w:after="0"/>
        <w:rPr>
          <w:rFonts w:ascii="Arial" w:hAnsi="Arial" w:cs="Arial"/>
          <w:i/>
          <w:iCs/>
        </w:rPr>
      </w:pPr>
    </w:p>
    <w:bookmarkEnd w:id="430"/>
    <w:p w14:paraId="4C992ECC" w14:textId="77777777" w:rsidR="000D05E5" w:rsidRDefault="000D05E5" w:rsidP="000D05E5">
      <w:pPr>
        <w:tabs>
          <w:tab w:val="left" w:pos="567"/>
        </w:tabs>
        <w:spacing w:after="0"/>
        <w:rPr>
          <w:rFonts w:ascii="Arial" w:eastAsia="Arial" w:hAnsi="Arial" w:cs="Arial"/>
          <w:bCs/>
          <w:color w:val="000000"/>
          <w:highlight w:val="yellow"/>
        </w:rPr>
      </w:pPr>
    </w:p>
    <w:p w14:paraId="2BA53356" w14:textId="77777777" w:rsidR="000D05E5" w:rsidRDefault="000D05E5" w:rsidP="005E0D57">
      <w:pPr>
        <w:pStyle w:val="Heading2"/>
        <w:numPr>
          <w:ilvl w:val="1"/>
          <w:numId w:val="39"/>
        </w:numPr>
        <w:rPr>
          <w:rFonts w:ascii="Arial" w:eastAsia="Arial" w:hAnsi="Arial" w:cs="Arial"/>
        </w:rPr>
      </w:pPr>
      <w:bookmarkStart w:id="431" w:name="_Toc26430021"/>
      <w:bookmarkStart w:id="432" w:name="_Ref27580255"/>
      <w:bookmarkStart w:id="433" w:name="_Ref30077328"/>
      <w:bookmarkStart w:id="434" w:name="_Toc32842765"/>
      <w:r w:rsidRPr="00342573">
        <w:rPr>
          <w:rFonts w:ascii="Arial" w:eastAsia="Arial" w:hAnsi="Arial" w:cs="Arial"/>
        </w:rPr>
        <w:t xml:space="preserve">Potential </w:t>
      </w:r>
      <w:r>
        <w:rPr>
          <w:rFonts w:ascii="Arial" w:eastAsia="Arial" w:hAnsi="Arial" w:cs="Arial"/>
        </w:rPr>
        <w:t>payment mechanisms and proposed form of contract</w:t>
      </w:r>
      <w:bookmarkEnd w:id="431"/>
      <w:bookmarkEnd w:id="432"/>
      <w:bookmarkEnd w:id="433"/>
      <w:bookmarkEnd w:id="434"/>
    </w:p>
    <w:p w14:paraId="7BAF31F2" w14:textId="77777777" w:rsidR="000D05E5" w:rsidRDefault="000D05E5" w:rsidP="000D05E5">
      <w:pPr>
        <w:tabs>
          <w:tab w:val="left" w:pos="567"/>
        </w:tabs>
        <w:spacing w:after="0"/>
        <w:rPr>
          <w:rFonts w:ascii="Arial" w:eastAsia="Arial" w:hAnsi="Arial" w:cs="Arial"/>
          <w:bCs/>
          <w:color w:val="000000"/>
          <w:highlight w:val="yellow"/>
        </w:rPr>
      </w:pPr>
    </w:p>
    <w:p w14:paraId="0B1C0A9A" w14:textId="77777777" w:rsidR="000D05E5" w:rsidRDefault="000D05E5" w:rsidP="000D05E5">
      <w:pPr>
        <w:tabs>
          <w:tab w:val="left" w:pos="567"/>
        </w:tabs>
        <w:spacing w:after="0"/>
        <w:rPr>
          <w:rFonts w:ascii="Arial" w:eastAsia="Arial" w:hAnsi="Arial" w:cs="Arial"/>
          <w:bCs/>
          <w:color w:val="000000"/>
        </w:rPr>
      </w:pPr>
      <w:r>
        <w:rPr>
          <w:rFonts w:ascii="Arial" w:eastAsia="Arial" w:hAnsi="Arial" w:cs="Arial"/>
          <w:bCs/>
          <w:color w:val="000000"/>
        </w:rPr>
        <w:t>The main construction project will be delivered under a standard NEC</w:t>
      </w:r>
      <w:r w:rsidR="00FE0F4C">
        <w:rPr>
          <w:rFonts w:ascii="Arial" w:eastAsia="Arial" w:hAnsi="Arial" w:cs="Arial"/>
          <w:bCs/>
          <w:color w:val="000000"/>
        </w:rPr>
        <w:t>4</w:t>
      </w:r>
      <w:r>
        <w:rPr>
          <w:rFonts w:ascii="Arial" w:eastAsia="Arial" w:hAnsi="Arial" w:cs="Arial"/>
          <w:bCs/>
          <w:color w:val="000000"/>
        </w:rPr>
        <w:t xml:space="preserve"> contract, Option A</w:t>
      </w:r>
      <w:r w:rsidR="00FE0F4C">
        <w:rPr>
          <w:rFonts w:ascii="Arial" w:eastAsia="Arial" w:hAnsi="Arial" w:cs="Arial"/>
          <w:bCs/>
          <w:color w:val="000000"/>
        </w:rPr>
        <w:t xml:space="preserve"> – </w:t>
      </w:r>
      <w:r w:rsidR="00FE0F4C" w:rsidRPr="00FE0F4C">
        <w:rPr>
          <w:rFonts w:ascii="Arial" w:eastAsia="Arial" w:hAnsi="Arial" w:cs="Arial"/>
          <w:bCs/>
          <w:color w:val="000000"/>
        </w:rPr>
        <w:t xml:space="preserve">Priced Contract with </w:t>
      </w:r>
      <w:r w:rsidR="00FE0F4C">
        <w:rPr>
          <w:rFonts w:ascii="Arial" w:eastAsia="Arial" w:hAnsi="Arial" w:cs="Arial"/>
          <w:bCs/>
          <w:color w:val="000000"/>
        </w:rPr>
        <w:t>A</w:t>
      </w:r>
      <w:r w:rsidR="00FE0F4C" w:rsidRPr="00FE0F4C">
        <w:rPr>
          <w:rFonts w:ascii="Arial" w:eastAsia="Arial" w:hAnsi="Arial" w:cs="Arial"/>
          <w:bCs/>
          <w:color w:val="000000"/>
        </w:rPr>
        <w:t>ctivity Schedules</w:t>
      </w:r>
      <w:r>
        <w:rPr>
          <w:rFonts w:ascii="Arial" w:eastAsia="Arial" w:hAnsi="Arial" w:cs="Arial"/>
          <w:bCs/>
          <w:color w:val="000000"/>
        </w:rPr>
        <w:t>.</w:t>
      </w:r>
      <w:r w:rsidR="00FE0F4C">
        <w:rPr>
          <w:rFonts w:ascii="Arial" w:eastAsia="Arial" w:hAnsi="Arial" w:cs="Arial"/>
          <w:bCs/>
          <w:color w:val="000000"/>
        </w:rPr>
        <w:t xml:space="preserve"> </w:t>
      </w:r>
      <w:r w:rsidRPr="00592DF7">
        <w:rPr>
          <w:rFonts w:ascii="Arial" w:eastAsia="Arial" w:hAnsi="Arial" w:cs="Arial"/>
          <w:bCs/>
          <w:color w:val="000000"/>
        </w:rPr>
        <w:t xml:space="preserve">Option A </w:t>
      </w:r>
      <w:r>
        <w:rPr>
          <w:rFonts w:ascii="Arial" w:eastAsia="Arial" w:hAnsi="Arial" w:cs="Arial"/>
          <w:bCs/>
          <w:color w:val="000000"/>
        </w:rPr>
        <w:t>is</w:t>
      </w:r>
      <w:r w:rsidRPr="00592DF7">
        <w:rPr>
          <w:rFonts w:ascii="Arial" w:eastAsia="Arial" w:hAnsi="Arial" w:cs="Arial"/>
          <w:bCs/>
          <w:color w:val="000000"/>
        </w:rPr>
        <w:t xml:space="preserve"> a fixed price lump sum contract with interim payments</w:t>
      </w:r>
      <w:r>
        <w:rPr>
          <w:rFonts w:ascii="Arial" w:eastAsia="Arial" w:hAnsi="Arial" w:cs="Arial"/>
          <w:bCs/>
          <w:color w:val="000000"/>
        </w:rPr>
        <w:t xml:space="preserve"> </w:t>
      </w:r>
      <w:r w:rsidRPr="00592DF7">
        <w:rPr>
          <w:rFonts w:ascii="Arial" w:eastAsia="Arial" w:hAnsi="Arial" w:cs="Arial"/>
          <w:bCs/>
          <w:color w:val="000000"/>
        </w:rPr>
        <w:t xml:space="preserve">based upon the </w:t>
      </w:r>
      <w:r w:rsidRPr="00592DF7">
        <w:rPr>
          <w:rFonts w:ascii="Arial" w:eastAsia="Arial" w:hAnsi="Arial" w:cs="Arial"/>
          <w:b/>
          <w:color w:val="000000"/>
        </w:rPr>
        <w:t>completion of defined activities</w:t>
      </w:r>
      <w:r w:rsidRPr="00592DF7">
        <w:rPr>
          <w:rFonts w:ascii="Arial" w:eastAsia="Arial" w:hAnsi="Arial" w:cs="Arial"/>
          <w:bCs/>
          <w:color w:val="000000"/>
        </w:rPr>
        <w:t>.</w:t>
      </w:r>
      <w:r>
        <w:rPr>
          <w:rFonts w:ascii="Arial" w:eastAsia="Arial" w:hAnsi="Arial" w:cs="Arial"/>
          <w:bCs/>
          <w:color w:val="000000"/>
        </w:rPr>
        <w:t xml:space="preserve"> </w:t>
      </w:r>
      <w:r w:rsidRPr="00592DF7">
        <w:rPr>
          <w:rFonts w:ascii="Arial" w:eastAsia="Arial" w:hAnsi="Arial" w:cs="Arial"/>
          <w:bCs/>
          <w:color w:val="000000"/>
        </w:rPr>
        <w:t xml:space="preserve">This form of contract allows ‘Z clauses’ which permits additional clauses to best fulfil the </w:t>
      </w:r>
      <w:r>
        <w:rPr>
          <w:rFonts w:ascii="Arial" w:eastAsia="Arial" w:hAnsi="Arial" w:cs="Arial"/>
          <w:bCs/>
          <w:color w:val="000000"/>
        </w:rPr>
        <w:t xml:space="preserve">partners’ </w:t>
      </w:r>
      <w:r w:rsidRPr="00592DF7">
        <w:rPr>
          <w:rFonts w:ascii="Arial" w:eastAsia="Arial" w:hAnsi="Arial" w:cs="Arial"/>
          <w:bCs/>
          <w:color w:val="000000"/>
        </w:rPr>
        <w:t xml:space="preserve">requirements. </w:t>
      </w:r>
      <w:r>
        <w:rPr>
          <w:rFonts w:ascii="Arial" w:eastAsia="Arial" w:hAnsi="Arial" w:cs="Arial"/>
          <w:bCs/>
          <w:color w:val="000000"/>
        </w:rPr>
        <w:t>Any</w:t>
      </w:r>
      <w:r w:rsidRPr="00592DF7">
        <w:rPr>
          <w:rFonts w:ascii="Arial" w:eastAsia="Arial" w:hAnsi="Arial" w:cs="Arial"/>
          <w:bCs/>
          <w:color w:val="000000"/>
        </w:rPr>
        <w:t xml:space="preserve"> Z clause</w:t>
      </w:r>
      <w:r>
        <w:rPr>
          <w:rFonts w:ascii="Arial" w:eastAsia="Arial" w:hAnsi="Arial" w:cs="Arial"/>
          <w:bCs/>
          <w:color w:val="000000"/>
        </w:rPr>
        <w:t>s</w:t>
      </w:r>
      <w:r w:rsidRPr="00592DF7">
        <w:rPr>
          <w:rFonts w:ascii="Arial" w:eastAsia="Arial" w:hAnsi="Arial" w:cs="Arial"/>
          <w:bCs/>
          <w:color w:val="000000"/>
        </w:rPr>
        <w:t xml:space="preserve"> </w:t>
      </w:r>
      <w:r>
        <w:rPr>
          <w:rFonts w:ascii="Arial" w:eastAsia="Arial" w:hAnsi="Arial" w:cs="Arial"/>
          <w:bCs/>
          <w:color w:val="000000"/>
        </w:rPr>
        <w:t xml:space="preserve">or </w:t>
      </w:r>
      <w:r w:rsidRPr="00592DF7">
        <w:rPr>
          <w:rFonts w:ascii="Arial" w:eastAsia="Arial" w:hAnsi="Arial" w:cs="Arial"/>
          <w:bCs/>
          <w:color w:val="000000"/>
        </w:rPr>
        <w:t>contract alterations will seek to ensure the</w:t>
      </w:r>
      <w:r>
        <w:rPr>
          <w:rFonts w:ascii="Arial" w:eastAsia="Arial" w:hAnsi="Arial" w:cs="Arial"/>
          <w:bCs/>
          <w:color w:val="000000"/>
        </w:rPr>
        <w:t xml:space="preserve"> </w:t>
      </w:r>
      <w:r w:rsidRPr="00592DF7">
        <w:rPr>
          <w:rFonts w:ascii="Arial" w:eastAsia="Arial" w:hAnsi="Arial" w:cs="Arial"/>
          <w:bCs/>
          <w:color w:val="000000"/>
        </w:rPr>
        <w:t>appropriate balance of risk and reward with the construction market, not counteract the</w:t>
      </w:r>
      <w:r>
        <w:rPr>
          <w:rFonts w:ascii="Arial" w:eastAsia="Arial" w:hAnsi="Arial" w:cs="Arial"/>
          <w:bCs/>
          <w:color w:val="000000"/>
        </w:rPr>
        <w:t xml:space="preserve"> </w:t>
      </w:r>
      <w:r w:rsidRPr="00592DF7">
        <w:rPr>
          <w:rFonts w:ascii="Arial" w:eastAsia="Arial" w:hAnsi="Arial" w:cs="Arial"/>
          <w:bCs/>
          <w:color w:val="000000"/>
        </w:rPr>
        <w:t>effectiveness of the standard contract form nor add ambiguity.</w:t>
      </w:r>
    </w:p>
    <w:p w14:paraId="4DCF68D2" w14:textId="77777777" w:rsidR="000D05E5" w:rsidRDefault="000D05E5" w:rsidP="000D05E5">
      <w:pPr>
        <w:tabs>
          <w:tab w:val="left" w:pos="567"/>
        </w:tabs>
        <w:spacing w:after="0"/>
        <w:rPr>
          <w:rFonts w:ascii="Arial" w:eastAsia="Arial" w:hAnsi="Arial" w:cs="Arial"/>
          <w:bCs/>
          <w:color w:val="000000"/>
        </w:rPr>
      </w:pPr>
    </w:p>
    <w:p w14:paraId="28F526F1" w14:textId="1EEF9130" w:rsidR="000D05E5" w:rsidRPr="00592DF7" w:rsidRDefault="000D05E5" w:rsidP="000D05E5">
      <w:pPr>
        <w:tabs>
          <w:tab w:val="left" w:pos="567"/>
        </w:tabs>
        <w:spacing w:after="0"/>
        <w:rPr>
          <w:rFonts w:ascii="Arial" w:eastAsia="Arial" w:hAnsi="Arial" w:cs="Arial"/>
          <w:bCs/>
          <w:color w:val="000000"/>
        </w:rPr>
      </w:pPr>
      <w:r w:rsidRPr="00592DF7">
        <w:rPr>
          <w:rFonts w:ascii="Arial" w:eastAsia="Arial" w:hAnsi="Arial" w:cs="Arial"/>
          <w:bCs/>
          <w:color w:val="000000"/>
        </w:rPr>
        <w:t>The proposed form of contract will contain realistic contractual key milestones and delivery dates.</w:t>
      </w:r>
      <w:r>
        <w:rPr>
          <w:rFonts w:ascii="Arial" w:eastAsia="Arial" w:hAnsi="Arial" w:cs="Arial"/>
          <w:bCs/>
          <w:color w:val="000000"/>
        </w:rPr>
        <w:t xml:space="preserve"> L</w:t>
      </w:r>
      <w:r w:rsidRPr="00592DF7">
        <w:rPr>
          <w:rFonts w:ascii="Arial" w:eastAsia="Arial" w:hAnsi="Arial" w:cs="Arial"/>
          <w:bCs/>
          <w:color w:val="000000"/>
        </w:rPr>
        <w:t>iquidated and ascertained damages will be set at an</w:t>
      </w:r>
      <w:r>
        <w:rPr>
          <w:rFonts w:ascii="Arial" w:eastAsia="Arial" w:hAnsi="Arial" w:cs="Arial"/>
          <w:bCs/>
          <w:color w:val="000000"/>
        </w:rPr>
        <w:t xml:space="preserve"> </w:t>
      </w:r>
      <w:r w:rsidRPr="00592DF7">
        <w:rPr>
          <w:rFonts w:ascii="Arial" w:eastAsia="Arial" w:hAnsi="Arial" w:cs="Arial"/>
          <w:bCs/>
          <w:color w:val="000000"/>
        </w:rPr>
        <w:t>appropriate level, within both of the construction contracts (enabling and main works), based upon</w:t>
      </w:r>
      <w:r>
        <w:rPr>
          <w:rFonts w:ascii="Arial" w:eastAsia="Arial" w:hAnsi="Arial" w:cs="Arial"/>
          <w:bCs/>
          <w:color w:val="000000"/>
        </w:rPr>
        <w:t xml:space="preserve"> </w:t>
      </w:r>
      <w:r w:rsidRPr="00592DF7">
        <w:rPr>
          <w:rFonts w:ascii="Arial" w:eastAsia="Arial" w:hAnsi="Arial" w:cs="Arial"/>
          <w:bCs/>
          <w:color w:val="000000"/>
        </w:rPr>
        <w:t xml:space="preserve">the estimated loss for the </w:t>
      </w:r>
      <w:r>
        <w:rPr>
          <w:rFonts w:ascii="Arial" w:eastAsia="Arial" w:hAnsi="Arial" w:cs="Arial"/>
          <w:bCs/>
          <w:color w:val="000000"/>
        </w:rPr>
        <w:t>partners</w:t>
      </w:r>
      <w:r w:rsidRPr="00592DF7">
        <w:rPr>
          <w:rFonts w:ascii="Arial" w:eastAsia="Arial" w:hAnsi="Arial" w:cs="Arial"/>
          <w:bCs/>
          <w:color w:val="000000"/>
        </w:rPr>
        <w:t xml:space="preserve"> should the project be delay</w:t>
      </w:r>
      <w:r w:rsidR="001017B9">
        <w:rPr>
          <w:rFonts w:ascii="Arial" w:eastAsia="Arial" w:hAnsi="Arial" w:cs="Arial"/>
          <w:bCs/>
          <w:color w:val="000000"/>
        </w:rPr>
        <w:t>ed</w:t>
      </w:r>
      <w:r w:rsidRPr="00592DF7">
        <w:rPr>
          <w:rFonts w:ascii="Arial" w:eastAsia="Arial" w:hAnsi="Arial" w:cs="Arial"/>
          <w:bCs/>
          <w:color w:val="000000"/>
        </w:rPr>
        <w:t>.</w:t>
      </w:r>
    </w:p>
    <w:p w14:paraId="5FE3BF8B" w14:textId="77777777" w:rsidR="000D05E5" w:rsidRDefault="000D05E5" w:rsidP="000D05E5">
      <w:pPr>
        <w:tabs>
          <w:tab w:val="left" w:pos="567"/>
        </w:tabs>
        <w:spacing w:after="0"/>
        <w:rPr>
          <w:rFonts w:ascii="Arial" w:eastAsia="Arial" w:hAnsi="Arial" w:cs="Arial"/>
          <w:bCs/>
          <w:color w:val="000000"/>
        </w:rPr>
      </w:pPr>
    </w:p>
    <w:p w14:paraId="3F382916" w14:textId="06A87D40" w:rsidR="000D05E5" w:rsidRDefault="000D05E5" w:rsidP="000D05E5">
      <w:pPr>
        <w:tabs>
          <w:tab w:val="left" w:pos="567"/>
        </w:tabs>
        <w:spacing w:after="0"/>
        <w:rPr>
          <w:rFonts w:ascii="Arial" w:eastAsia="Arial" w:hAnsi="Arial" w:cs="Arial"/>
          <w:bCs/>
          <w:color w:val="000000"/>
        </w:rPr>
      </w:pPr>
      <w:r>
        <w:rPr>
          <w:rFonts w:ascii="Arial" w:eastAsia="Arial" w:hAnsi="Arial" w:cs="Arial"/>
          <w:bCs/>
          <w:color w:val="000000"/>
        </w:rPr>
        <w:t xml:space="preserve">It is likely that FM services (described in section </w:t>
      </w:r>
      <w:r>
        <w:rPr>
          <w:rFonts w:ascii="Arial" w:eastAsia="Arial" w:hAnsi="Arial" w:cs="Arial"/>
          <w:bCs/>
          <w:color w:val="000000"/>
        </w:rPr>
        <w:fldChar w:fldCharType="begin"/>
      </w:r>
      <w:r>
        <w:rPr>
          <w:rFonts w:ascii="Arial" w:eastAsia="Arial" w:hAnsi="Arial" w:cs="Arial"/>
          <w:bCs/>
          <w:color w:val="000000"/>
        </w:rPr>
        <w:instrText xml:space="preserve"> REF _Ref26369261 \r \h </w:instrText>
      </w:r>
      <w:r>
        <w:rPr>
          <w:rFonts w:ascii="Arial" w:eastAsia="Arial" w:hAnsi="Arial" w:cs="Arial"/>
          <w:bCs/>
          <w:color w:val="000000"/>
        </w:rPr>
      </w:r>
      <w:r>
        <w:rPr>
          <w:rFonts w:ascii="Arial" w:eastAsia="Arial" w:hAnsi="Arial" w:cs="Arial"/>
          <w:bCs/>
          <w:color w:val="000000"/>
        </w:rPr>
        <w:fldChar w:fldCharType="separate"/>
      </w:r>
      <w:r w:rsidR="00A936CD">
        <w:rPr>
          <w:rFonts w:ascii="Arial" w:eastAsia="Arial" w:hAnsi="Arial" w:cs="Arial"/>
          <w:bCs/>
          <w:color w:val="000000"/>
        </w:rPr>
        <w:t>7.3</w:t>
      </w:r>
      <w:r>
        <w:rPr>
          <w:rFonts w:ascii="Arial" w:eastAsia="Arial" w:hAnsi="Arial" w:cs="Arial"/>
          <w:bCs/>
          <w:color w:val="000000"/>
        </w:rPr>
        <w:fldChar w:fldCharType="end"/>
      </w:r>
      <w:r>
        <w:rPr>
          <w:rFonts w:ascii="Arial" w:eastAsia="Arial" w:hAnsi="Arial" w:cs="Arial"/>
          <w:bCs/>
          <w:color w:val="000000"/>
        </w:rPr>
        <w:t xml:space="preserve">) will be procured by the JDV with charging by a </w:t>
      </w:r>
      <w:r>
        <w:rPr>
          <w:rFonts w:ascii="Arial" w:eastAsia="Arial" w:hAnsi="Arial" w:cs="Arial"/>
          <w:b/>
          <w:color w:val="000000"/>
        </w:rPr>
        <w:t xml:space="preserve">performance </w:t>
      </w:r>
      <w:r>
        <w:rPr>
          <w:rFonts w:ascii="Arial" w:eastAsia="Arial" w:hAnsi="Arial" w:cs="Arial"/>
          <w:bCs/>
          <w:color w:val="000000"/>
        </w:rPr>
        <w:t xml:space="preserve">or </w:t>
      </w:r>
      <w:r>
        <w:rPr>
          <w:rFonts w:ascii="Arial" w:eastAsia="Arial" w:hAnsi="Arial" w:cs="Arial"/>
          <w:b/>
          <w:color w:val="000000"/>
        </w:rPr>
        <w:t xml:space="preserve">incentive payment mechanism. </w:t>
      </w:r>
      <w:r>
        <w:rPr>
          <w:rFonts w:ascii="Arial" w:eastAsia="Arial" w:hAnsi="Arial" w:cs="Arial"/>
          <w:bCs/>
          <w:color w:val="000000"/>
        </w:rPr>
        <w:t xml:space="preserve">The FM services payment </w:t>
      </w:r>
      <w:r>
        <w:rPr>
          <w:rFonts w:ascii="Arial" w:eastAsia="Arial" w:hAnsi="Arial" w:cs="Arial"/>
          <w:bCs/>
          <w:color w:val="000000"/>
        </w:rPr>
        <w:lastRenderedPageBreak/>
        <w:t>mechanism will be selected to ensure delivery of services to the required standards, while maintaining value for money.</w:t>
      </w:r>
    </w:p>
    <w:p w14:paraId="688D18EA" w14:textId="77777777" w:rsidR="000D05E5" w:rsidRPr="00DB2BC4" w:rsidRDefault="000D05E5" w:rsidP="000D05E5">
      <w:pPr>
        <w:tabs>
          <w:tab w:val="left" w:pos="567"/>
        </w:tabs>
        <w:spacing w:after="0"/>
        <w:rPr>
          <w:rFonts w:ascii="Arial" w:eastAsia="Arial" w:hAnsi="Arial" w:cs="Arial"/>
          <w:bCs/>
          <w:color w:val="000000"/>
        </w:rPr>
      </w:pPr>
    </w:p>
    <w:p w14:paraId="4732128F" w14:textId="77777777" w:rsidR="000D05E5" w:rsidRDefault="000D05E5" w:rsidP="005E0D57">
      <w:pPr>
        <w:pStyle w:val="Heading2"/>
        <w:numPr>
          <w:ilvl w:val="1"/>
          <w:numId w:val="39"/>
        </w:numPr>
        <w:rPr>
          <w:rFonts w:ascii="Arial" w:eastAsia="Arial" w:hAnsi="Arial" w:cs="Arial"/>
        </w:rPr>
      </w:pPr>
      <w:bookmarkStart w:id="435" w:name="_Toc26430022"/>
      <w:bookmarkStart w:id="436" w:name="_Toc32842766"/>
      <w:r>
        <w:rPr>
          <w:rFonts w:ascii="Arial" w:eastAsia="Arial" w:hAnsi="Arial" w:cs="Arial"/>
        </w:rPr>
        <w:t>Assurance of value for money</w:t>
      </w:r>
      <w:bookmarkEnd w:id="435"/>
      <w:bookmarkEnd w:id="436"/>
    </w:p>
    <w:p w14:paraId="66FEBFE1" w14:textId="77777777" w:rsidR="000D05E5" w:rsidRDefault="000D05E5" w:rsidP="000D05E5">
      <w:pPr>
        <w:tabs>
          <w:tab w:val="left" w:pos="567"/>
        </w:tabs>
        <w:spacing w:after="0"/>
        <w:jc w:val="both"/>
        <w:rPr>
          <w:rFonts w:ascii="Arial" w:eastAsia="Arial" w:hAnsi="Arial" w:cs="Arial"/>
          <w:b/>
          <w:color w:val="000000"/>
        </w:rPr>
      </w:pPr>
    </w:p>
    <w:p w14:paraId="561402F6" w14:textId="77777777" w:rsidR="000D05E5" w:rsidRPr="00D646CE" w:rsidRDefault="000D05E5" w:rsidP="000D05E5">
      <w:pPr>
        <w:tabs>
          <w:tab w:val="left" w:pos="567"/>
        </w:tabs>
        <w:spacing w:after="0"/>
        <w:jc w:val="both"/>
        <w:rPr>
          <w:rFonts w:ascii="Arial" w:eastAsia="Arial" w:hAnsi="Arial" w:cs="Arial"/>
          <w:bCs/>
          <w:color w:val="000000"/>
        </w:rPr>
      </w:pPr>
      <w:r>
        <w:rPr>
          <w:rFonts w:ascii="Arial" w:eastAsia="Arial" w:hAnsi="Arial" w:cs="Arial"/>
          <w:bCs/>
          <w:color w:val="000000"/>
        </w:rPr>
        <w:t>The project’s cost advisors</w:t>
      </w:r>
      <w:r w:rsidRPr="00D646CE">
        <w:rPr>
          <w:rFonts w:ascii="Arial" w:eastAsia="Arial" w:hAnsi="Arial" w:cs="Arial"/>
          <w:bCs/>
          <w:color w:val="000000"/>
        </w:rPr>
        <w:t xml:space="preserve"> </w:t>
      </w:r>
      <w:r>
        <w:rPr>
          <w:rFonts w:ascii="Arial" w:eastAsia="Arial" w:hAnsi="Arial" w:cs="Arial"/>
          <w:bCs/>
          <w:color w:val="000000"/>
        </w:rPr>
        <w:t xml:space="preserve">have </w:t>
      </w:r>
      <w:r w:rsidRPr="00D646CE">
        <w:rPr>
          <w:rFonts w:ascii="Arial" w:eastAsia="Arial" w:hAnsi="Arial" w:cs="Arial"/>
          <w:bCs/>
          <w:color w:val="000000"/>
        </w:rPr>
        <w:t>used benchmarking to validate</w:t>
      </w:r>
      <w:r>
        <w:rPr>
          <w:rFonts w:ascii="Arial" w:eastAsia="Arial" w:hAnsi="Arial" w:cs="Arial"/>
          <w:bCs/>
          <w:color w:val="000000"/>
        </w:rPr>
        <w:t>:</w:t>
      </w:r>
    </w:p>
    <w:p w14:paraId="58C28A9B" w14:textId="77777777" w:rsidR="000D05E5" w:rsidRPr="00D646CE" w:rsidRDefault="000D05E5" w:rsidP="005E0D57">
      <w:pPr>
        <w:pStyle w:val="ListParagraph"/>
        <w:numPr>
          <w:ilvl w:val="3"/>
          <w:numId w:val="66"/>
        </w:numPr>
        <w:tabs>
          <w:tab w:val="left" w:pos="567"/>
        </w:tabs>
        <w:spacing w:after="0"/>
        <w:ind w:left="567"/>
        <w:jc w:val="both"/>
        <w:rPr>
          <w:rFonts w:ascii="Arial" w:eastAsia="Arial" w:hAnsi="Arial" w:cs="Arial"/>
          <w:bCs/>
          <w:color w:val="000000"/>
        </w:rPr>
      </w:pPr>
      <w:r w:rsidRPr="00D646CE">
        <w:rPr>
          <w:rFonts w:ascii="Arial" w:eastAsia="Arial" w:hAnsi="Arial" w:cs="Arial"/>
          <w:bCs/>
          <w:color w:val="000000"/>
        </w:rPr>
        <w:t xml:space="preserve">Estimated project </w:t>
      </w:r>
      <w:r>
        <w:rPr>
          <w:rFonts w:ascii="Arial" w:eastAsia="Arial" w:hAnsi="Arial" w:cs="Arial"/>
          <w:bCs/>
          <w:color w:val="000000"/>
        </w:rPr>
        <w:t xml:space="preserve">capital </w:t>
      </w:r>
      <w:r w:rsidRPr="00D646CE">
        <w:rPr>
          <w:rFonts w:ascii="Arial" w:eastAsia="Arial" w:hAnsi="Arial" w:cs="Arial"/>
          <w:bCs/>
          <w:color w:val="000000"/>
        </w:rPr>
        <w:t>costs</w:t>
      </w:r>
      <w:r>
        <w:rPr>
          <w:rFonts w:ascii="Arial" w:eastAsia="Arial" w:hAnsi="Arial" w:cs="Arial"/>
          <w:bCs/>
          <w:color w:val="000000"/>
        </w:rPr>
        <w:t>.</w:t>
      </w:r>
    </w:p>
    <w:p w14:paraId="3A4C4416" w14:textId="77777777" w:rsidR="000D05E5" w:rsidRPr="00D646CE" w:rsidRDefault="000D05E5" w:rsidP="005E0D57">
      <w:pPr>
        <w:pStyle w:val="ListParagraph"/>
        <w:numPr>
          <w:ilvl w:val="3"/>
          <w:numId w:val="66"/>
        </w:numPr>
        <w:tabs>
          <w:tab w:val="left" w:pos="567"/>
        </w:tabs>
        <w:spacing w:after="0"/>
        <w:ind w:left="567"/>
        <w:jc w:val="both"/>
        <w:rPr>
          <w:rFonts w:ascii="Arial" w:eastAsia="Arial" w:hAnsi="Arial" w:cs="Arial"/>
          <w:bCs/>
          <w:color w:val="000000"/>
        </w:rPr>
      </w:pPr>
      <w:r w:rsidRPr="00D646CE">
        <w:rPr>
          <w:rFonts w:ascii="Arial" w:eastAsia="Arial" w:hAnsi="Arial" w:cs="Arial"/>
          <w:bCs/>
          <w:color w:val="000000"/>
        </w:rPr>
        <w:t xml:space="preserve">Estimated </w:t>
      </w:r>
      <w:r>
        <w:rPr>
          <w:rFonts w:ascii="Arial" w:eastAsia="Arial" w:hAnsi="Arial" w:cs="Arial"/>
          <w:bCs/>
          <w:color w:val="000000"/>
        </w:rPr>
        <w:t>project l</w:t>
      </w:r>
      <w:r w:rsidRPr="00D646CE">
        <w:rPr>
          <w:rFonts w:ascii="Arial" w:eastAsia="Arial" w:hAnsi="Arial" w:cs="Arial"/>
          <w:bCs/>
          <w:color w:val="000000"/>
        </w:rPr>
        <w:t>ifecycle costs</w:t>
      </w:r>
      <w:r>
        <w:rPr>
          <w:rFonts w:ascii="Arial" w:eastAsia="Arial" w:hAnsi="Arial" w:cs="Arial"/>
          <w:bCs/>
          <w:color w:val="000000"/>
        </w:rPr>
        <w:t>.</w:t>
      </w:r>
    </w:p>
    <w:p w14:paraId="1ADCC96D" w14:textId="77777777" w:rsidR="000D05E5" w:rsidRPr="00D646CE" w:rsidRDefault="000D05E5" w:rsidP="005E0D57">
      <w:pPr>
        <w:pStyle w:val="ListParagraph"/>
        <w:numPr>
          <w:ilvl w:val="3"/>
          <w:numId w:val="66"/>
        </w:numPr>
        <w:tabs>
          <w:tab w:val="left" w:pos="567"/>
        </w:tabs>
        <w:spacing w:after="0"/>
        <w:ind w:left="567"/>
        <w:jc w:val="both"/>
        <w:rPr>
          <w:rFonts w:ascii="Arial" w:eastAsia="Arial" w:hAnsi="Arial" w:cs="Arial"/>
          <w:bCs/>
          <w:color w:val="000000"/>
        </w:rPr>
      </w:pPr>
      <w:r w:rsidRPr="00D646CE">
        <w:rPr>
          <w:rFonts w:ascii="Arial" w:eastAsia="Arial" w:hAnsi="Arial" w:cs="Arial"/>
          <w:bCs/>
          <w:color w:val="000000"/>
        </w:rPr>
        <w:t>Proposed risk allowances</w:t>
      </w:r>
      <w:r>
        <w:rPr>
          <w:rFonts w:ascii="Arial" w:eastAsia="Arial" w:hAnsi="Arial" w:cs="Arial"/>
          <w:bCs/>
          <w:color w:val="000000"/>
        </w:rPr>
        <w:t>.</w:t>
      </w:r>
    </w:p>
    <w:p w14:paraId="23280E60" w14:textId="77777777" w:rsidR="000D05E5" w:rsidRPr="00D646CE" w:rsidRDefault="000D05E5" w:rsidP="005E0D57">
      <w:pPr>
        <w:pStyle w:val="ListParagraph"/>
        <w:numPr>
          <w:ilvl w:val="3"/>
          <w:numId w:val="66"/>
        </w:numPr>
        <w:tabs>
          <w:tab w:val="left" w:pos="567"/>
        </w:tabs>
        <w:spacing w:after="0"/>
        <w:ind w:left="567"/>
        <w:jc w:val="both"/>
        <w:rPr>
          <w:rFonts w:ascii="Arial" w:eastAsia="Arial" w:hAnsi="Arial" w:cs="Arial"/>
          <w:bCs/>
          <w:color w:val="000000"/>
        </w:rPr>
      </w:pPr>
      <w:r w:rsidRPr="00D646CE">
        <w:rPr>
          <w:rFonts w:ascii="Arial" w:eastAsia="Arial" w:hAnsi="Arial" w:cs="Arial"/>
          <w:bCs/>
          <w:color w:val="000000"/>
        </w:rPr>
        <w:t>Design aspirations</w:t>
      </w:r>
      <w:r>
        <w:rPr>
          <w:rFonts w:ascii="Arial" w:eastAsia="Arial" w:hAnsi="Arial" w:cs="Arial"/>
          <w:bCs/>
          <w:color w:val="000000"/>
        </w:rPr>
        <w:t>.</w:t>
      </w:r>
    </w:p>
    <w:p w14:paraId="52BC400E" w14:textId="77777777" w:rsidR="000D05E5" w:rsidRPr="00D646CE" w:rsidRDefault="000D05E5" w:rsidP="005E0D57">
      <w:pPr>
        <w:pStyle w:val="ListParagraph"/>
        <w:numPr>
          <w:ilvl w:val="3"/>
          <w:numId w:val="66"/>
        </w:numPr>
        <w:tabs>
          <w:tab w:val="left" w:pos="567"/>
        </w:tabs>
        <w:spacing w:after="0"/>
        <w:ind w:left="567"/>
        <w:jc w:val="both"/>
        <w:rPr>
          <w:rFonts w:ascii="Arial" w:eastAsia="Arial" w:hAnsi="Arial" w:cs="Arial"/>
          <w:bCs/>
          <w:color w:val="000000"/>
        </w:rPr>
      </w:pPr>
      <w:r w:rsidRPr="00D646CE">
        <w:rPr>
          <w:rFonts w:ascii="Arial" w:eastAsia="Arial" w:hAnsi="Arial" w:cs="Arial"/>
          <w:bCs/>
          <w:color w:val="000000"/>
        </w:rPr>
        <w:t>Programme durations</w:t>
      </w:r>
      <w:r>
        <w:rPr>
          <w:rFonts w:ascii="Arial" w:eastAsia="Arial" w:hAnsi="Arial" w:cs="Arial"/>
          <w:bCs/>
          <w:color w:val="000000"/>
        </w:rPr>
        <w:t>.</w:t>
      </w:r>
    </w:p>
    <w:p w14:paraId="1AF2485B" w14:textId="77777777" w:rsidR="000D05E5" w:rsidRPr="00D646CE" w:rsidRDefault="000D05E5" w:rsidP="005E0D57">
      <w:pPr>
        <w:pStyle w:val="ListParagraph"/>
        <w:numPr>
          <w:ilvl w:val="3"/>
          <w:numId w:val="66"/>
        </w:numPr>
        <w:tabs>
          <w:tab w:val="left" w:pos="567"/>
        </w:tabs>
        <w:spacing w:after="0"/>
        <w:ind w:left="567"/>
        <w:jc w:val="both"/>
        <w:rPr>
          <w:rFonts w:ascii="Arial" w:eastAsia="Arial" w:hAnsi="Arial" w:cs="Arial"/>
          <w:bCs/>
          <w:color w:val="000000"/>
        </w:rPr>
      </w:pPr>
      <w:r w:rsidRPr="00D646CE">
        <w:rPr>
          <w:rFonts w:ascii="Arial" w:eastAsia="Arial" w:hAnsi="Arial" w:cs="Arial"/>
          <w:bCs/>
          <w:color w:val="000000"/>
        </w:rPr>
        <w:t>Circulation and plant area allocations</w:t>
      </w:r>
      <w:r>
        <w:rPr>
          <w:rFonts w:ascii="Arial" w:eastAsia="Arial" w:hAnsi="Arial" w:cs="Arial"/>
          <w:bCs/>
          <w:color w:val="000000"/>
        </w:rPr>
        <w:t>.</w:t>
      </w:r>
    </w:p>
    <w:p w14:paraId="5BCE9AC8" w14:textId="27AA7D7D" w:rsidR="000D05E5" w:rsidRPr="00D646CE" w:rsidRDefault="000D05E5" w:rsidP="005E0D57">
      <w:pPr>
        <w:pStyle w:val="ListParagraph"/>
        <w:numPr>
          <w:ilvl w:val="3"/>
          <w:numId w:val="66"/>
        </w:numPr>
        <w:tabs>
          <w:tab w:val="left" w:pos="567"/>
        </w:tabs>
        <w:spacing w:after="0"/>
        <w:ind w:left="567"/>
        <w:rPr>
          <w:rFonts w:ascii="Arial" w:eastAsia="Arial" w:hAnsi="Arial" w:cs="Arial"/>
          <w:bCs/>
          <w:color w:val="000000"/>
        </w:rPr>
      </w:pPr>
      <w:r w:rsidRPr="00D646CE">
        <w:rPr>
          <w:rFonts w:ascii="Arial" w:eastAsia="Arial" w:hAnsi="Arial" w:cs="Arial"/>
          <w:bCs/>
          <w:color w:val="000000"/>
        </w:rPr>
        <w:t xml:space="preserve">Associated </w:t>
      </w:r>
      <w:r w:rsidR="00AF7894">
        <w:rPr>
          <w:rFonts w:ascii="Arial" w:eastAsia="Arial" w:hAnsi="Arial" w:cs="Arial"/>
          <w:bCs/>
          <w:color w:val="000000"/>
        </w:rPr>
        <w:t>t</w:t>
      </w:r>
      <w:r w:rsidRPr="00D646CE">
        <w:rPr>
          <w:rFonts w:ascii="Arial" w:eastAsia="Arial" w:hAnsi="Arial" w:cs="Arial"/>
          <w:bCs/>
          <w:color w:val="000000"/>
        </w:rPr>
        <w:t>rusts costs (for example FF&amp;E, IT/telecoms/data, Optimism Bias)</w:t>
      </w:r>
      <w:r>
        <w:rPr>
          <w:rFonts w:ascii="Arial" w:eastAsia="Arial" w:hAnsi="Arial" w:cs="Arial"/>
          <w:bCs/>
          <w:color w:val="000000"/>
        </w:rPr>
        <w:t>.</w:t>
      </w:r>
    </w:p>
    <w:p w14:paraId="2014CEB0" w14:textId="77777777" w:rsidR="000D05E5" w:rsidRPr="00D646CE" w:rsidRDefault="000D05E5" w:rsidP="005E0D57">
      <w:pPr>
        <w:pStyle w:val="ListParagraph"/>
        <w:numPr>
          <w:ilvl w:val="3"/>
          <w:numId w:val="66"/>
        </w:numPr>
        <w:tabs>
          <w:tab w:val="left" w:pos="567"/>
        </w:tabs>
        <w:spacing w:after="0"/>
        <w:ind w:left="567"/>
        <w:jc w:val="both"/>
        <w:rPr>
          <w:rFonts w:ascii="Arial" w:eastAsia="Arial" w:hAnsi="Arial" w:cs="Arial"/>
          <w:bCs/>
          <w:color w:val="000000"/>
        </w:rPr>
      </w:pPr>
      <w:r w:rsidRPr="00D646CE">
        <w:rPr>
          <w:rFonts w:ascii="Arial" w:eastAsia="Arial" w:hAnsi="Arial" w:cs="Arial"/>
          <w:bCs/>
          <w:color w:val="000000"/>
        </w:rPr>
        <w:t>Proposed inflation allowances.</w:t>
      </w:r>
    </w:p>
    <w:p w14:paraId="5949FC38" w14:textId="77777777" w:rsidR="000D05E5" w:rsidRDefault="000D05E5" w:rsidP="000D05E5">
      <w:pPr>
        <w:tabs>
          <w:tab w:val="left" w:pos="567"/>
        </w:tabs>
        <w:spacing w:after="0"/>
        <w:jc w:val="both"/>
        <w:rPr>
          <w:rFonts w:ascii="Arial" w:eastAsia="Arial" w:hAnsi="Arial" w:cs="Arial"/>
          <w:b/>
          <w:color w:val="000000"/>
        </w:rPr>
      </w:pPr>
    </w:p>
    <w:p w14:paraId="065DD8B9" w14:textId="77777777" w:rsidR="000D05E5" w:rsidRPr="005E788A" w:rsidRDefault="000D05E5" w:rsidP="005E0D57">
      <w:pPr>
        <w:pStyle w:val="ListParagraph"/>
        <w:numPr>
          <w:ilvl w:val="1"/>
          <w:numId w:val="22"/>
        </w:numPr>
        <w:tabs>
          <w:tab w:val="left" w:pos="567"/>
        </w:tabs>
        <w:contextualSpacing w:val="0"/>
        <w:jc w:val="both"/>
        <w:rPr>
          <w:rFonts w:ascii="Arial" w:eastAsia="Arial" w:hAnsi="Arial" w:cs="Arial"/>
          <w:b/>
          <w:vanish/>
          <w:color w:val="000000"/>
        </w:rPr>
      </w:pPr>
    </w:p>
    <w:p w14:paraId="594FE5A8" w14:textId="77777777" w:rsidR="000D05E5" w:rsidRPr="005E788A" w:rsidRDefault="000D05E5" w:rsidP="005E0D57">
      <w:pPr>
        <w:pStyle w:val="ListParagraph"/>
        <w:numPr>
          <w:ilvl w:val="1"/>
          <w:numId w:val="22"/>
        </w:numPr>
        <w:tabs>
          <w:tab w:val="left" w:pos="567"/>
        </w:tabs>
        <w:contextualSpacing w:val="0"/>
        <w:jc w:val="both"/>
        <w:rPr>
          <w:rFonts w:ascii="Arial" w:eastAsia="Arial" w:hAnsi="Arial" w:cs="Arial"/>
          <w:b/>
          <w:vanish/>
          <w:color w:val="000000"/>
        </w:rPr>
      </w:pPr>
    </w:p>
    <w:p w14:paraId="692A3D90" w14:textId="77777777" w:rsidR="000D05E5" w:rsidRPr="005E788A" w:rsidRDefault="000D05E5" w:rsidP="005E0D57">
      <w:pPr>
        <w:pStyle w:val="ListParagraph"/>
        <w:numPr>
          <w:ilvl w:val="1"/>
          <w:numId w:val="22"/>
        </w:numPr>
        <w:tabs>
          <w:tab w:val="left" w:pos="567"/>
        </w:tabs>
        <w:contextualSpacing w:val="0"/>
        <w:jc w:val="both"/>
        <w:rPr>
          <w:rFonts w:ascii="Arial" w:eastAsia="Arial" w:hAnsi="Arial" w:cs="Arial"/>
          <w:b/>
          <w:vanish/>
          <w:color w:val="000000"/>
        </w:rPr>
      </w:pPr>
    </w:p>
    <w:p w14:paraId="1488ADDC" w14:textId="77777777" w:rsidR="000D05E5" w:rsidRPr="005E788A" w:rsidRDefault="000D05E5" w:rsidP="005E0D57">
      <w:pPr>
        <w:pStyle w:val="ListParagraph"/>
        <w:numPr>
          <w:ilvl w:val="1"/>
          <w:numId w:val="22"/>
        </w:numPr>
        <w:tabs>
          <w:tab w:val="left" w:pos="567"/>
        </w:tabs>
        <w:contextualSpacing w:val="0"/>
        <w:jc w:val="both"/>
        <w:rPr>
          <w:rFonts w:ascii="Arial" w:eastAsia="Arial" w:hAnsi="Arial" w:cs="Arial"/>
          <w:b/>
          <w:vanish/>
          <w:color w:val="000000"/>
        </w:rPr>
      </w:pPr>
    </w:p>
    <w:p w14:paraId="5A827DA7" w14:textId="77777777" w:rsidR="000D05E5" w:rsidRPr="000D05E5" w:rsidRDefault="000D05E5" w:rsidP="005E0D57">
      <w:pPr>
        <w:pStyle w:val="Heading2"/>
        <w:numPr>
          <w:ilvl w:val="2"/>
          <w:numId w:val="39"/>
        </w:numPr>
        <w:spacing w:after="240"/>
        <w:rPr>
          <w:rFonts w:ascii="Arial" w:eastAsia="Arial" w:hAnsi="Arial" w:cs="Arial"/>
          <w:sz w:val="22"/>
          <w:szCs w:val="22"/>
        </w:rPr>
      </w:pPr>
      <w:bookmarkStart w:id="437" w:name="_Toc27746743"/>
      <w:bookmarkStart w:id="438" w:name="_Toc30168799"/>
      <w:bookmarkStart w:id="439" w:name="_Toc30670748"/>
      <w:bookmarkStart w:id="440" w:name="_Toc32842767"/>
      <w:r w:rsidRPr="000D05E5">
        <w:rPr>
          <w:rFonts w:ascii="Arial" w:eastAsia="Arial" w:hAnsi="Arial" w:cs="Arial"/>
          <w:sz w:val="22"/>
          <w:szCs w:val="22"/>
        </w:rPr>
        <w:t>Construction cost</w:t>
      </w:r>
      <w:bookmarkEnd w:id="437"/>
      <w:bookmarkEnd w:id="438"/>
      <w:bookmarkEnd w:id="439"/>
      <w:bookmarkEnd w:id="440"/>
    </w:p>
    <w:p w14:paraId="5B1B5A5D" w14:textId="2343B312" w:rsidR="000D05E5" w:rsidRDefault="000D05E5" w:rsidP="000D05E5">
      <w:pPr>
        <w:tabs>
          <w:tab w:val="left" w:pos="567"/>
        </w:tabs>
        <w:spacing w:after="0"/>
        <w:rPr>
          <w:rFonts w:ascii="Arial" w:eastAsia="Arial" w:hAnsi="Arial" w:cs="Arial"/>
          <w:bCs/>
          <w:color w:val="000000"/>
        </w:rPr>
      </w:pPr>
      <w:r>
        <w:rPr>
          <w:rFonts w:ascii="Arial" w:eastAsia="Arial" w:hAnsi="Arial" w:cs="Arial"/>
          <w:bCs/>
          <w:color w:val="000000"/>
        </w:rPr>
        <w:t xml:space="preserve">An estimated outturn cost estimate for the Moorfields element of the project has been produced by the project’s cost advisors, G&amp;T, based on </w:t>
      </w:r>
      <w:r w:rsidRPr="00A71D1A">
        <w:rPr>
          <w:rFonts w:ascii="Arial" w:eastAsia="Arial" w:hAnsi="Arial" w:cs="Arial"/>
          <w:bCs/>
          <w:color w:val="000000"/>
        </w:rPr>
        <w:t>the Stage 1 designs</w:t>
      </w:r>
      <w:r>
        <w:rPr>
          <w:rFonts w:ascii="Arial" w:eastAsia="Arial" w:hAnsi="Arial" w:cs="Arial"/>
          <w:bCs/>
          <w:color w:val="000000"/>
        </w:rPr>
        <w:t xml:space="preserve"> described in section </w:t>
      </w:r>
      <w:r w:rsidR="005F779A">
        <w:rPr>
          <w:rFonts w:ascii="Arial" w:eastAsia="Arial" w:hAnsi="Arial" w:cs="Arial"/>
          <w:bCs/>
          <w:color w:val="000000"/>
        </w:rPr>
        <w:fldChar w:fldCharType="begin"/>
      </w:r>
      <w:r w:rsidR="005F779A">
        <w:rPr>
          <w:rFonts w:ascii="Arial" w:eastAsia="Arial" w:hAnsi="Arial" w:cs="Arial"/>
          <w:bCs/>
          <w:color w:val="000000"/>
        </w:rPr>
        <w:instrText xml:space="preserve"> REF _Ref29545716 \r \h </w:instrText>
      </w:r>
      <w:r w:rsidR="005F779A">
        <w:rPr>
          <w:rFonts w:ascii="Arial" w:eastAsia="Arial" w:hAnsi="Arial" w:cs="Arial"/>
          <w:bCs/>
          <w:color w:val="000000"/>
        </w:rPr>
      </w:r>
      <w:r w:rsidR="005F779A">
        <w:rPr>
          <w:rFonts w:ascii="Arial" w:eastAsia="Arial" w:hAnsi="Arial" w:cs="Arial"/>
          <w:bCs/>
          <w:color w:val="000000"/>
        </w:rPr>
        <w:fldChar w:fldCharType="separate"/>
      </w:r>
      <w:r w:rsidR="00A936CD">
        <w:rPr>
          <w:rFonts w:ascii="Arial" w:eastAsia="Arial" w:hAnsi="Arial" w:cs="Arial"/>
          <w:bCs/>
          <w:color w:val="000000"/>
        </w:rPr>
        <w:t>5.8</w:t>
      </w:r>
      <w:r w:rsidR="005F779A">
        <w:rPr>
          <w:rFonts w:ascii="Arial" w:eastAsia="Arial" w:hAnsi="Arial" w:cs="Arial"/>
          <w:bCs/>
          <w:color w:val="000000"/>
        </w:rPr>
        <w:fldChar w:fldCharType="end"/>
      </w:r>
      <w:r>
        <w:rPr>
          <w:rFonts w:ascii="Arial" w:eastAsia="Arial" w:hAnsi="Arial" w:cs="Arial"/>
          <w:bCs/>
          <w:color w:val="000000"/>
        </w:rPr>
        <w:t xml:space="preserve">. The capital cost breakdown (totalling </w:t>
      </w:r>
      <w:r w:rsidR="006B30A3">
        <w:rPr>
          <w:rFonts w:ascii="Arial" w:eastAsia="Arial" w:hAnsi="Arial" w:cs="Arial"/>
          <w:b/>
          <w:color w:val="000000"/>
        </w:rPr>
        <w:t>£</w:t>
      </w:r>
      <w:r w:rsidR="0084544B">
        <w:rPr>
          <w:rFonts w:ascii="Arial" w:eastAsia="Arial" w:hAnsi="Arial" w:cs="Arial"/>
          <w:b/>
          <w:color w:val="000000"/>
        </w:rPr>
        <w:t>XXX</w:t>
      </w:r>
      <w:r>
        <w:rPr>
          <w:rFonts w:ascii="Arial" w:eastAsia="Arial" w:hAnsi="Arial" w:cs="Arial"/>
          <w:b/>
          <w:color w:val="000000"/>
        </w:rPr>
        <w:t>m</w:t>
      </w:r>
      <w:r w:rsidR="006B30A3">
        <w:rPr>
          <w:rFonts w:ascii="Arial" w:eastAsia="Arial" w:hAnsi="Arial" w:cs="Arial"/>
          <w:bCs/>
          <w:color w:val="000000"/>
        </w:rPr>
        <w:t xml:space="preserve"> + £</w:t>
      </w:r>
      <w:r w:rsidR="0084544B">
        <w:rPr>
          <w:rFonts w:ascii="Arial" w:eastAsia="Arial" w:hAnsi="Arial" w:cs="Arial"/>
          <w:bCs/>
          <w:color w:val="000000"/>
        </w:rPr>
        <w:t>XXX</w:t>
      </w:r>
      <w:r>
        <w:rPr>
          <w:rFonts w:ascii="Arial" w:eastAsia="Arial" w:hAnsi="Arial" w:cs="Arial"/>
          <w:bCs/>
          <w:color w:val="000000"/>
        </w:rPr>
        <w:t xml:space="preserve">m site purchase cost) is set out in section </w:t>
      </w:r>
      <w:r w:rsidR="006B30A3">
        <w:rPr>
          <w:rFonts w:ascii="Arial" w:eastAsia="Arial" w:hAnsi="Arial" w:cs="Arial"/>
          <w:bCs/>
          <w:color w:val="000000"/>
        </w:rPr>
        <w:t>6.3.2</w:t>
      </w:r>
      <w:r>
        <w:rPr>
          <w:rFonts w:ascii="Arial" w:eastAsia="Arial" w:hAnsi="Arial" w:cs="Arial"/>
          <w:bCs/>
          <w:color w:val="000000"/>
        </w:rPr>
        <w:t xml:space="preserve"> of the </w:t>
      </w:r>
      <w:r w:rsidR="00236908">
        <w:rPr>
          <w:rFonts w:ascii="Arial" w:eastAsia="Arial" w:hAnsi="Arial" w:cs="Arial"/>
          <w:bCs/>
          <w:color w:val="000000"/>
        </w:rPr>
        <w:t>Finance Case</w:t>
      </w:r>
      <w:r>
        <w:rPr>
          <w:rFonts w:ascii="Arial" w:eastAsia="Arial" w:hAnsi="Arial" w:cs="Arial"/>
          <w:bCs/>
          <w:color w:val="000000"/>
        </w:rPr>
        <w:t xml:space="preserve">. The cost includes a 10% contingency allowance and </w:t>
      </w:r>
      <w:r w:rsidR="00E830A1">
        <w:rPr>
          <w:rFonts w:ascii="Arial" w:eastAsia="Arial" w:hAnsi="Arial" w:cs="Arial"/>
          <w:bCs/>
          <w:color w:val="000000"/>
        </w:rPr>
        <w:t>15% optimism bias allowance</w:t>
      </w:r>
      <w:r w:rsidR="00933822">
        <w:rPr>
          <w:rFonts w:ascii="Arial" w:eastAsia="Arial" w:hAnsi="Arial" w:cs="Arial"/>
          <w:bCs/>
          <w:color w:val="000000"/>
        </w:rPr>
        <w:t>.</w:t>
      </w:r>
    </w:p>
    <w:p w14:paraId="436694CD" w14:textId="77777777" w:rsidR="000D05E5" w:rsidRDefault="000D05E5" w:rsidP="000D05E5">
      <w:pPr>
        <w:tabs>
          <w:tab w:val="left" w:pos="567"/>
        </w:tabs>
        <w:spacing w:after="0"/>
        <w:rPr>
          <w:rFonts w:ascii="Arial" w:eastAsia="Arial" w:hAnsi="Arial" w:cs="Arial"/>
          <w:bCs/>
          <w:color w:val="000000"/>
        </w:rPr>
      </w:pPr>
    </w:p>
    <w:p w14:paraId="51674F58" w14:textId="77777777" w:rsidR="000D05E5" w:rsidRDefault="000D05E5" w:rsidP="000D05E5">
      <w:pPr>
        <w:autoSpaceDE w:val="0"/>
        <w:autoSpaceDN w:val="0"/>
        <w:adjustRightInd w:val="0"/>
        <w:spacing w:after="0"/>
        <w:rPr>
          <w:rFonts w:ascii="Arial" w:hAnsi="Arial" w:cs="Arial"/>
        </w:rPr>
      </w:pPr>
      <w:r>
        <w:rPr>
          <w:rFonts w:ascii="Arial" w:hAnsi="Arial" w:cs="Arial"/>
        </w:rPr>
        <w:t>The project’s cost advisor have benchmarked the estimated outturn cost for Oriel against their own cost database. The assessment compared the cost estimate with a sample of 9 similar projects, including</w:t>
      </w:r>
      <w:r>
        <w:rPr>
          <w:rFonts w:ascii="Arial" w:eastAsia="Arial" w:hAnsi="Arial" w:cs="Arial"/>
          <w:bCs/>
          <w:color w:val="000000"/>
        </w:rPr>
        <w:t xml:space="preserve"> buildings containing health, research and science accommodation, in both a public and private setting. </w:t>
      </w:r>
      <w:r>
        <w:rPr>
          <w:rFonts w:ascii="Arial" w:hAnsi="Arial" w:cs="Arial"/>
        </w:rPr>
        <w:t>The exercise excluded contingency and adjusted the sample schemes to the same location and inflation indices as this project.</w:t>
      </w:r>
    </w:p>
    <w:p w14:paraId="035BB8C4" w14:textId="77777777" w:rsidR="000D05E5" w:rsidRDefault="000D05E5" w:rsidP="000D05E5">
      <w:pPr>
        <w:autoSpaceDE w:val="0"/>
        <w:autoSpaceDN w:val="0"/>
        <w:adjustRightInd w:val="0"/>
        <w:spacing w:after="0"/>
        <w:rPr>
          <w:rFonts w:ascii="Arial" w:hAnsi="Arial" w:cs="Arial"/>
        </w:rPr>
      </w:pPr>
    </w:p>
    <w:p w14:paraId="70CBE9DA" w14:textId="77777777" w:rsidR="000D05E5" w:rsidRDefault="000D05E5" w:rsidP="005D04DA">
      <w:pPr>
        <w:autoSpaceDE w:val="0"/>
        <w:autoSpaceDN w:val="0"/>
        <w:adjustRightInd w:val="0"/>
        <w:spacing w:after="0"/>
        <w:rPr>
          <w:rFonts w:ascii="Arial" w:eastAsia="Arial" w:hAnsi="Arial" w:cs="Arial"/>
          <w:bCs/>
          <w:color w:val="000000"/>
        </w:rPr>
      </w:pPr>
      <w:r>
        <w:rPr>
          <w:rFonts w:ascii="Arial" w:hAnsi="Arial" w:cs="Arial"/>
        </w:rPr>
        <w:t xml:space="preserve">The analysis </w:t>
      </w:r>
      <w:r w:rsidR="005D04DA">
        <w:rPr>
          <w:rFonts w:ascii="Arial" w:hAnsi="Arial" w:cs="Arial"/>
        </w:rPr>
        <w:t>confirmed that the capital cost of Oriel is</w:t>
      </w:r>
      <w:r>
        <w:rPr>
          <w:rFonts w:ascii="Arial" w:hAnsi="Arial" w:cs="Arial"/>
        </w:rPr>
        <w:t xml:space="preserve"> very close to the benchmark average and within acceptable norms.</w:t>
      </w:r>
    </w:p>
    <w:p w14:paraId="59D7484E" w14:textId="77777777" w:rsidR="000D05E5" w:rsidRDefault="000D05E5" w:rsidP="000D05E5">
      <w:pPr>
        <w:tabs>
          <w:tab w:val="left" w:pos="567"/>
        </w:tabs>
        <w:spacing w:after="0"/>
        <w:rPr>
          <w:rFonts w:ascii="Arial" w:eastAsia="Arial" w:hAnsi="Arial" w:cs="Arial"/>
          <w:bCs/>
          <w:color w:val="000000"/>
        </w:rPr>
      </w:pPr>
    </w:p>
    <w:p w14:paraId="32FDB8C5" w14:textId="77777777" w:rsidR="000D05E5" w:rsidRPr="000D05E5" w:rsidRDefault="000D05E5" w:rsidP="005E0D57">
      <w:pPr>
        <w:pStyle w:val="Heading2"/>
        <w:numPr>
          <w:ilvl w:val="2"/>
          <w:numId w:val="39"/>
        </w:numPr>
        <w:spacing w:after="240"/>
        <w:rPr>
          <w:rFonts w:ascii="Arial" w:eastAsia="Arial" w:hAnsi="Arial" w:cs="Arial"/>
          <w:sz w:val="22"/>
          <w:szCs w:val="22"/>
        </w:rPr>
      </w:pPr>
      <w:bookmarkStart w:id="441" w:name="_Toc27746744"/>
      <w:bookmarkStart w:id="442" w:name="_Toc30168800"/>
      <w:bookmarkStart w:id="443" w:name="_Toc30670749"/>
      <w:bookmarkStart w:id="444" w:name="_Toc32842768"/>
      <w:bookmarkStart w:id="445" w:name="_Hlk29545848"/>
      <w:r w:rsidRPr="000D05E5">
        <w:rPr>
          <w:rFonts w:ascii="Arial" w:eastAsia="Arial" w:hAnsi="Arial" w:cs="Arial"/>
          <w:sz w:val="22"/>
          <w:szCs w:val="22"/>
        </w:rPr>
        <w:t>Land purchase</w:t>
      </w:r>
      <w:bookmarkEnd w:id="441"/>
      <w:bookmarkEnd w:id="442"/>
      <w:bookmarkEnd w:id="443"/>
      <w:bookmarkEnd w:id="444"/>
    </w:p>
    <w:p w14:paraId="64581195" w14:textId="75119657" w:rsidR="005F779A" w:rsidRDefault="00AB76DC" w:rsidP="000D05E5">
      <w:pPr>
        <w:tabs>
          <w:tab w:val="left" w:pos="567"/>
        </w:tabs>
        <w:spacing w:after="0"/>
        <w:rPr>
          <w:rFonts w:ascii="Arial" w:eastAsia="Arial" w:hAnsi="Arial" w:cs="Arial"/>
          <w:bCs/>
          <w:color w:val="000000"/>
        </w:rPr>
      </w:pPr>
      <w:r w:rsidRPr="00AB76DC">
        <w:rPr>
          <w:rFonts w:ascii="Arial" w:eastAsia="Arial" w:hAnsi="Arial" w:cs="Arial"/>
          <w:bCs/>
          <w:color w:val="000000"/>
        </w:rPr>
        <w:t>Moorfields has secured an option on the St Pancras site to purchase two acres at a price of £</w:t>
      </w:r>
      <w:r w:rsidR="0084544B">
        <w:rPr>
          <w:rFonts w:ascii="Arial" w:eastAsia="Arial" w:hAnsi="Arial" w:cs="Arial"/>
          <w:bCs/>
          <w:color w:val="000000"/>
        </w:rPr>
        <w:t>XXX</w:t>
      </w:r>
      <w:r w:rsidRPr="00AB76DC">
        <w:rPr>
          <w:rFonts w:ascii="Arial" w:eastAsia="Arial" w:hAnsi="Arial" w:cs="Arial"/>
          <w:bCs/>
          <w:color w:val="000000"/>
        </w:rPr>
        <w:t xml:space="preserve"> (excl. </w:t>
      </w:r>
      <w:r w:rsidR="006B30A3">
        <w:rPr>
          <w:rFonts w:ascii="Arial" w:eastAsia="Arial" w:hAnsi="Arial" w:cs="Arial"/>
          <w:bCs/>
          <w:color w:val="000000"/>
        </w:rPr>
        <w:t>tax</w:t>
      </w:r>
      <w:r w:rsidRPr="00AB76DC">
        <w:rPr>
          <w:rFonts w:ascii="Arial" w:eastAsia="Arial" w:hAnsi="Arial" w:cs="Arial"/>
          <w:bCs/>
          <w:color w:val="000000"/>
        </w:rPr>
        <w:t xml:space="preserve">) (described in more detail in section </w:t>
      </w:r>
      <w:r>
        <w:rPr>
          <w:rFonts w:ascii="Arial" w:eastAsia="Arial" w:hAnsi="Arial" w:cs="Arial"/>
          <w:bCs/>
          <w:color w:val="000000"/>
        </w:rPr>
        <w:fldChar w:fldCharType="begin"/>
      </w:r>
      <w:r>
        <w:rPr>
          <w:rFonts w:ascii="Arial" w:eastAsia="Arial" w:hAnsi="Arial" w:cs="Arial"/>
          <w:bCs/>
          <w:color w:val="000000"/>
        </w:rPr>
        <w:instrText xml:space="preserve"> REF _Ref26374520 \r \h </w:instrText>
      </w:r>
      <w:r>
        <w:rPr>
          <w:rFonts w:ascii="Arial" w:eastAsia="Arial" w:hAnsi="Arial" w:cs="Arial"/>
          <w:bCs/>
          <w:color w:val="000000"/>
        </w:rPr>
      </w:r>
      <w:r>
        <w:rPr>
          <w:rFonts w:ascii="Arial" w:eastAsia="Arial" w:hAnsi="Arial" w:cs="Arial"/>
          <w:bCs/>
          <w:color w:val="000000"/>
        </w:rPr>
        <w:fldChar w:fldCharType="separate"/>
      </w:r>
      <w:r w:rsidR="00A936CD">
        <w:rPr>
          <w:rFonts w:ascii="Arial" w:eastAsia="Arial" w:hAnsi="Arial" w:cs="Arial"/>
          <w:bCs/>
          <w:color w:val="000000"/>
        </w:rPr>
        <w:t>7.8</w:t>
      </w:r>
      <w:r>
        <w:rPr>
          <w:rFonts w:ascii="Arial" w:eastAsia="Arial" w:hAnsi="Arial" w:cs="Arial"/>
          <w:bCs/>
          <w:color w:val="000000"/>
        </w:rPr>
        <w:fldChar w:fldCharType="end"/>
      </w:r>
      <w:r w:rsidRPr="00AB76DC">
        <w:rPr>
          <w:rFonts w:ascii="Arial" w:eastAsia="Arial" w:hAnsi="Arial" w:cs="Arial"/>
          <w:bCs/>
          <w:color w:val="000000"/>
        </w:rPr>
        <w:t>). It is planned that UCL will pay a £</w:t>
      </w:r>
      <w:r w:rsidR="0084544B">
        <w:rPr>
          <w:rFonts w:ascii="Arial" w:eastAsia="Arial" w:hAnsi="Arial" w:cs="Arial"/>
          <w:bCs/>
          <w:color w:val="000000"/>
        </w:rPr>
        <w:t>XXX</w:t>
      </w:r>
      <w:r w:rsidRPr="00AB76DC">
        <w:rPr>
          <w:rFonts w:ascii="Arial" w:eastAsia="Arial" w:hAnsi="Arial" w:cs="Arial"/>
          <w:bCs/>
          <w:color w:val="000000"/>
        </w:rPr>
        <w:t xml:space="preserve"> lease premium to Moorfields for use of this land. The site will be purchased in full by Moorfields who will own the freehold for the whole of the Oriel site.</w:t>
      </w:r>
    </w:p>
    <w:p w14:paraId="2BE455B9" w14:textId="77777777" w:rsidR="00AB76DC" w:rsidRDefault="00AB76DC" w:rsidP="000D05E5">
      <w:pPr>
        <w:tabs>
          <w:tab w:val="left" w:pos="567"/>
        </w:tabs>
        <w:spacing w:after="0"/>
        <w:rPr>
          <w:rFonts w:ascii="Arial" w:eastAsia="Arial" w:hAnsi="Arial" w:cs="Arial"/>
          <w:bCs/>
          <w:color w:val="000000"/>
        </w:rPr>
      </w:pPr>
    </w:p>
    <w:p w14:paraId="21A77053" w14:textId="7E642384" w:rsidR="000D05E5" w:rsidRDefault="005F779A" w:rsidP="000D05E5">
      <w:pPr>
        <w:tabs>
          <w:tab w:val="left" w:pos="567"/>
        </w:tabs>
        <w:spacing w:after="0"/>
        <w:rPr>
          <w:rFonts w:ascii="Arial" w:eastAsia="Arial" w:hAnsi="Arial" w:cs="Arial"/>
          <w:bCs/>
          <w:color w:val="000000"/>
        </w:rPr>
      </w:pPr>
      <w:r>
        <w:rPr>
          <w:rFonts w:ascii="Arial" w:eastAsia="Arial" w:hAnsi="Arial" w:cs="Arial"/>
          <w:bCs/>
          <w:color w:val="000000"/>
        </w:rPr>
        <w:t xml:space="preserve">The land </w:t>
      </w:r>
      <w:r w:rsidR="000D05E5">
        <w:rPr>
          <w:rFonts w:ascii="Arial" w:eastAsia="Arial" w:hAnsi="Arial" w:cs="Arial"/>
          <w:bCs/>
          <w:color w:val="000000"/>
        </w:rPr>
        <w:t xml:space="preserve">valuation is based on an appraisal undertaken by property advisors Cushman &amp; Wakefield in 2016. The appraisal was based on the assumption that C&amp;I could obtain planning permission for residential development </w:t>
      </w:r>
      <w:r w:rsidR="00D76672">
        <w:rPr>
          <w:rFonts w:ascii="Arial" w:eastAsia="Arial" w:hAnsi="Arial" w:cs="Arial"/>
          <w:bCs/>
          <w:color w:val="000000"/>
        </w:rPr>
        <w:t>to</w:t>
      </w:r>
      <w:r w:rsidR="000D05E5">
        <w:rPr>
          <w:rFonts w:ascii="Arial" w:eastAsia="Arial" w:hAnsi="Arial" w:cs="Arial"/>
          <w:bCs/>
          <w:color w:val="000000"/>
        </w:rPr>
        <w:t xml:space="preserve"> maximise value and represent the correct valuation basis for the acquisition. This approach is consistent with market practice and the RICS Valuation Guidance. The methodology is described further in the SOC (also known as the Land Acquisition Business Case, June 2017).</w:t>
      </w:r>
    </w:p>
    <w:bookmarkEnd w:id="445"/>
    <w:p w14:paraId="4BCFF46E" w14:textId="7EA7A829" w:rsidR="000D05E5" w:rsidRDefault="000D05E5" w:rsidP="000D05E5">
      <w:pPr>
        <w:tabs>
          <w:tab w:val="left" w:pos="567"/>
        </w:tabs>
        <w:spacing w:after="0"/>
        <w:rPr>
          <w:rFonts w:ascii="Arial" w:eastAsia="Arial" w:hAnsi="Arial" w:cs="Arial"/>
          <w:bCs/>
          <w:color w:val="000000"/>
          <w:highlight w:val="yellow"/>
        </w:rPr>
      </w:pPr>
    </w:p>
    <w:p w14:paraId="00EB2B61" w14:textId="77777777" w:rsidR="003D0D09" w:rsidRDefault="003D0D09" w:rsidP="000D05E5">
      <w:pPr>
        <w:tabs>
          <w:tab w:val="left" w:pos="567"/>
        </w:tabs>
        <w:spacing w:after="0"/>
        <w:rPr>
          <w:rFonts w:ascii="Arial" w:eastAsia="Arial" w:hAnsi="Arial" w:cs="Arial"/>
          <w:bCs/>
          <w:color w:val="000000"/>
          <w:highlight w:val="yellow"/>
        </w:rPr>
      </w:pPr>
    </w:p>
    <w:p w14:paraId="03E10C3C" w14:textId="77777777" w:rsidR="000D05E5" w:rsidRDefault="000D05E5" w:rsidP="005E0D57">
      <w:pPr>
        <w:pStyle w:val="Heading2"/>
        <w:numPr>
          <w:ilvl w:val="1"/>
          <w:numId w:val="39"/>
        </w:numPr>
        <w:rPr>
          <w:rFonts w:ascii="Arial" w:eastAsia="Arial" w:hAnsi="Arial" w:cs="Arial"/>
        </w:rPr>
      </w:pPr>
      <w:bookmarkStart w:id="446" w:name="_Ref26374520"/>
      <w:bookmarkStart w:id="447" w:name="_Toc26430023"/>
      <w:bookmarkStart w:id="448" w:name="_Toc32842769"/>
      <w:bookmarkStart w:id="449" w:name="_Toc409771228"/>
      <w:bookmarkStart w:id="450" w:name="_Toc413331360"/>
      <w:r>
        <w:rPr>
          <w:rFonts w:ascii="Arial" w:eastAsia="Arial" w:hAnsi="Arial" w:cs="Arial"/>
        </w:rPr>
        <w:t>The St Pancras Site – Acquisition and town planning</w:t>
      </w:r>
      <w:bookmarkEnd w:id="446"/>
      <w:bookmarkEnd w:id="447"/>
      <w:bookmarkEnd w:id="448"/>
    </w:p>
    <w:p w14:paraId="6B9F1F54" w14:textId="77777777" w:rsidR="000D05E5" w:rsidRDefault="000D05E5" w:rsidP="000D05E5">
      <w:pPr>
        <w:spacing w:after="0"/>
      </w:pPr>
    </w:p>
    <w:p w14:paraId="5281C8EF" w14:textId="77777777" w:rsidR="000D05E5" w:rsidRPr="00531AD6" w:rsidRDefault="000D05E5" w:rsidP="005E0D57">
      <w:pPr>
        <w:pStyle w:val="ListParagraph"/>
        <w:numPr>
          <w:ilvl w:val="1"/>
          <w:numId w:val="22"/>
        </w:numPr>
        <w:tabs>
          <w:tab w:val="left" w:pos="567"/>
        </w:tabs>
        <w:contextualSpacing w:val="0"/>
        <w:jc w:val="both"/>
        <w:rPr>
          <w:rFonts w:ascii="Arial" w:eastAsia="Arial" w:hAnsi="Arial" w:cs="Arial"/>
          <w:b/>
          <w:vanish/>
          <w:color w:val="000000"/>
        </w:rPr>
      </w:pPr>
    </w:p>
    <w:p w14:paraId="5806568F" w14:textId="77777777" w:rsidR="000D05E5" w:rsidRPr="000D05E5" w:rsidRDefault="000D05E5" w:rsidP="005E0D57">
      <w:pPr>
        <w:pStyle w:val="Heading2"/>
        <w:numPr>
          <w:ilvl w:val="2"/>
          <w:numId w:val="39"/>
        </w:numPr>
        <w:spacing w:after="240"/>
        <w:rPr>
          <w:rFonts w:ascii="Arial" w:eastAsia="Arial" w:hAnsi="Arial" w:cs="Arial"/>
          <w:sz w:val="22"/>
          <w:szCs w:val="22"/>
        </w:rPr>
      </w:pPr>
      <w:bookmarkStart w:id="451" w:name="_Toc27746746"/>
      <w:bookmarkStart w:id="452" w:name="_Toc30168802"/>
      <w:bookmarkStart w:id="453" w:name="_Toc30670751"/>
      <w:bookmarkStart w:id="454" w:name="_Toc32842770"/>
      <w:r w:rsidRPr="000D05E5">
        <w:rPr>
          <w:rFonts w:ascii="Arial" w:eastAsia="Arial" w:hAnsi="Arial" w:cs="Arial"/>
          <w:sz w:val="22"/>
          <w:szCs w:val="22"/>
        </w:rPr>
        <w:t>Site acquisition</w:t>
      </w:r>
      <w:bookmarkEnd w:id="451"/>
      <w:bookmarkEnd w:id="452"/>
      <w:bookmarkEnd w:id="453"/>
      <w:bookmarkEnd w:id="454"/>
    </w:p>
    <w:p w14:paraId="06338EB5" w14:textId="77777777" w:rsidR="00FE0F4C" w:rsidRDefault="00FE0F4C" w:rsidP="000D05E5">
      <w:pPr>
        <w:tabs>
          <w:tab w:val="left" w:pos="567"/>
        </w:tabs>
        <w:spacing w:after="0"/>
        <w:rPr>
          <w:rFonts w:ascii="Arial" w:eastAsia="Arial" w:hAnsi="Arial" w:cs="Arial"/>
          <w:bCs/>
          <w:color w:val="000000"/>
        </w:rPr>
      </w:pPr>
      <w:r>
        <w:rPr>
          <w:rFonts w:ascii="Arial" w:eastAsia="Arial" w:hAnsi="Arial" w:cs="Arial"/>
          <w:bCs/>
          <w:color w:val="000000"/>
        </w:rPr>
        <w:t xml:space="preserve">The site acquisition approach </w:t>
      </w:r>
      <w:r w:rsidRPr="00FE0F4C">
        <w:rPr>
          <w:rFonts w:ascii="Arial" w:eastAsia="Arial" w:hAnsi="Arial" w:cs="Arial"/>
          <w:bCs/>
          <w:color w:val="000000"/>
        </w:rPr>
        <w:t>is recognised by the wider NCL STP</w:t>
      </w:r>
      <w:r>
        <w:rPr>
          <w:rFonts w:ascii="Arial" w:eastAsia="Arial" w:hAnsi="Arial" w:cs="Arial"/>
          <w:bCs/>
          <w:color w:val="000000"/>
        </w:rPr>
        <w:t>-</w:t>
      </w:r>
      <w:r w:rsidRPr="00FE0F4C">
        <w:rPr>
          <w:rFonts w:ascii="Arial" w:eastAsia="Arial" w:hAnsi="Arial" w:cs="Arial"/>
          <w:bCs/>
          <w:color w:val="000000"/>
        </w:rPr>
        <w:t>level health economy and wider stakeholders, local boroughs and London planning authorities</w:t>
      </w:r>
      <w:r>
        <w:rPr>
          <w:rFonts w:ascii="Arial" w:eastAsia="Arial" w:hAnsi="Arial" w:cs="Arial"/>
          <w:bCs/>
          <w:color w:val="000000"/>
        </w:rPr>
        <w:t>, who will continue to be engaged in the project.</w:t>
      </w:r>
    </w:p>
    <w:p w14:paraId="02F678AB" w14:textId="77777777" w:rsidR="00FE0F4C" w:rsidRDefault="00FE0F4C" w:rsidP="000D05E5">
      <w:pPr>
        <w:tabs>
          <w:tab w:val="left" w:pos="567"/>
        </w:tabs>
        <w:spacing w:after="0"/>
        <w:rPr>
          <w:rFonts w:ascii="Arial" w:eastAsia="Arial" w:hAnsi="Arial" w:cs="Arial"/>
          <w:bCs/>
          <w:color w:val="000000"/>
        </w:rPr>
      </w:pPr>
    </w:p>
    <w:p w14:paraId="447FF377" w14:textId="24A59E71" w:rsidR="000D05E5" w:rsidRDefault="000D05E5" w:rsidP="000D05E5">
      <w:pPr>
        <w:tabs>
          <w:tab w:val="left" w:pos="567"/>
        </w:tabs>
        <w:spacing w:after="0"/>
        <w:rPr>
          <w:rFonts w:ascii="Arial" w:eastAsia="Arial" w:hAnsi="Arial" w:cs="Arial"/>
          <w:bCs/>
          <w:color w:val="000000"/>
        </w:rPr>
      </w:pPr>
      <w:r>
        <w:rPr>
          <w:rFonts w:ascii="Arial" w:eastAsia="Arial" w:hAnsi="Arial" w:cs="Arial"/>
          <w:bCs/>
          <w:color w:val="000000"/>
        </w:rPr>
        <w:t xml:space="preserve">Moorfields and </w:t>
      </w:r>
      <w:r w:rsidR="00C9177D">
        <w:rPr>
          <w:rFonts w:ascii="Arial" w:eastAsia="Arial" w:hAnsi="Arial" w:cs="Arial"/>
          <w:bCs/>
          <w:color w:val="000000"/>
        </w:rPr>
        <w:t>Camden and Islington NHS Foundation Trust</w:t>
      </w:r>
      <w:r>
        <w:rPr>
          <w:rFonts w:ascii="Arial" w:eastAsia="Arial" w:hAnsi="Arial" w:cs="Arial"/>
          <w:bCs/>
          <w:color w:val="000000"/>
        </w:rPr>
        <w:t xml:space="preserve"> (C&amp;I) have entered into an option agreement on the St Pancras site, which </w:t>
      </w:r>
      <w:r w:rsidRPr="00AB287D">
        <w:rPr>
          <w:rFonts w:ascii="Arial" w:eastAsia="Arial" w:hAnsi="Arial" w:cs="Arial"/>
          <w:bCs/>
          <w:color w:val="000000"/>
        </w:rPr>
        <w:t xml:space="preserve">gives </w:t>
      </w:r>
      <w:r>
        <w:rPr>
          <w:rFonts w:ascii="Arial" w:eastAsia="Arial" w:hAnsi="Arial" w:cs="Arial"/>
          <w:bCs/>
          <w:color w:val="000000"/>
        </w:rPr>
        <w:t xml:space="preserve">Moorfields </w:t>
      </w:r>
      <w:r w:rsidRPr="00AB287D">
        <w:rPr>
          <w:rFonts w:ascii="Arial" w:eastAsia="Arial" w:hAnsi="Arial" w:cs="Arial"/>
          <w:bCs/>
          <w:color w:val="000000"/>
        </w:rPr>
        <w:t>the ability to acquire up to 2 acres of the site on pre-agreed terms</w:t>
      </w:r>
      <w:r>
        <w:rPr>
          <w:rFonts w:ascii="Arial" w:eastAsia="Arial" w:hAnsi="Arial" w:cs="Arial"/>
          <w:bCs/>
          <w:color w:val="000000"/>
        </w:rPr>
        <w:t xml:space="preserve"> (notionally indicated by the blue line on the plan below) at a price of £</w:t>
      </w:r>
      <w:r w:rsidR="002B2926">
        <w:rPr>
          <w:rFonts w:ascii="Arial" w:eastAsia="Arial" w:hAnsi="Arial" w:cs="Arial"/>
          <w:bCs/>
          <w:color w:val="000000"/>
        </w:rPr>
        <w:t>XXX</w:t>
      </w:r>
      <w:r>
        <w:rPr>
          <w:rFonts w:ascii="Arial" w:eastAsia="Arial" w:hAnsi="Arial" w:cs="Arial"/>
          <w:bCs/>
          <w:color w:val="000000"/>
        </w:rPr>
        <w:t xml:space="preserve">m per acre. The option period expires on </w:t>
      </w:r>
      <w:r w:rsidR="00B8080B">
        <w:rPr>
          <w:rFonts w:ascii="Arial" w:eastAsia="Arial" w:hAnsi="Arial" w:cs="Arial"/>
          <w:bCs/>
          <w:color w:val="000000"/>
        </w:rPr>
        <w:t>31 December 2023</w:t>
      </w:r>
      <w:r>
        <w:rPr>
          <w:rFonts w:ascii="Arial" w:eastAsia="Arial" w:hAnsi="Arial" w:cs="Arial"/>
          <w:bCs/>
          <w:color w:val="000000"/>
        </w:rPr>
        <w:t xml:space="preserve">. The option agreement is included in the site acquisition strategy at Appendix </w:t>
      </w:r>
      <w:r w:rsidR="00987E00">
        <w:rPr>
          <w:rFonts w:ascii="Arial" w:eastAsia="Arial" w:hAnsi="Arial" w:cs="Arial"/>
          <w:bCs/>
          <w:color w:val="000000"/>
        </w:rPr>
        <w:t>7C</w:t>
      </w:r>
      <w:r>
        <w:rPr>
          <w:rFonts w:ascii="Arial" w:eastAsia="Arial" w:hAnsi="Arial" w:cs="Arial"/>
          <w:bCs/>
          <w:color w:val="000000"/>
        </w:rPr>
        <w:t>.</w:t>
      </w:r>
    </w:p>
    <w:p w14:paraId="7BABF0AC" w14:textId="77777777" w:rsidR="000D05E5" w:rsidRDefault="000D05E5" w:rsidP="000D05E5">
      <w:pPr>
        <w:tabs>
          <w:tab w:val="left" w:pos="567"/>
        </w:tabs>
        <w:spacing w:after="0"/>
        <w:rPr>
          <w:rFonts w:ascii="Arial" w:eastAsia="Arial" w:hAnsi="Arial" w:cs="Arial"/>
          <w:bCs/>
          <w:color w:val="000000"/>
        </w:rPr>
      </w:pPr>
    </w:p>
    <w:p w14:paraId="0E3D0287" w14:textId="11FBC07B" w:rsidR="00691888" w:rsidRDefault="00691888" w:rsidP="001017B9">
      <w:pPr>
        <w:pStyle w:val="Caption"/>
        <w:ind w:left="1276"/>
      </w:pPr>
      <w:r>
        <w:t xml:space="preserve">Figure </w:t>
      </w:r>
      <w:r w:rsidR="00320059">
        <w:fldChar w:fldCharType="begin"/>
      </w:r>
      <w:r w:rsidR="00320059">
        <w:instrText xml:space="preserve"> SEQ Figure \* ARABIC </w:instrText>
      </w:r>
      <w:r w:rsidR="00320059">
        <w:fldChar w:fldCharType="separate"/>
      </w:r>
      <w:r w:rsidR="00A936CD">
        <w:rPr>
          <w:noProof/>
        </w:rPr>
        <w:t>19</w:t>
      </w:r>
      <w:r w:rsidR="00320059">
        <w:fldChar w:fldCharType="end"/>
      </w:r>
      <w:r>
        <w:t xml:space="preserve">: </w:t>
      </w:r>
      <w:r w:rsidRPr="00156A46">
        <w:rPr>
          <w:b w:val="0"/>
          <w:bCs w:val="0"/>
        </w:rPr>
        <w:t>St Pancras Hospital site (red boundary) with indicative Oriel site (blue boundary)</w:t>
      </w:r>
    </w:p>
    <w:p w14:paraId="5596BB40" w14:textId="77777777" w:rsidR="000D05E5" w:rsidRDefault="000D05E5" w:rsidP="001017B9">
      <w:pPr>
        <w:tabs>
          <w:tab w:val="left" w:pos="567"/>
        </w:tabs>
        <w:spacing w:after="0"/>
        <w:jc w:val="center"/>
        <w:rPr>
          <w:rFonts w:ascii="Arial" w:eastAsia="Arial" w:hAnsi="Arial" w:cs="Arial"/>
          <w:bCs/>
          <w:color w:val="000000"/>
        </w:rPr>
      </w:pPr>
      <w:r>
        <w:rPr>
          <w:noProof/>
        </w:rPr>
        <w:drawing>
          <wp:inline distT="0" distB="0" distL="0" distR="0" wp14:anchorId="263A0D6A" wp14:editId="1C215834">
            <wp:extent cx="3995192" cy="4343400"/>
            <wp:effectExtent l="0" t="0" r="5715" b="0"/>
            <wp:docPr id="1483731200" name="Picture 148373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7312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11014" cy="4360601"/>
                    </a:xfrm>
                    <a:prstGeom prst="rect">
                      <a:avLst/>
                    </a:prstGeom>
                    <a:noFill/>
                    <a:ln>
                      <a:noFill/>
                    </a:ln>
                  </pic:spPr>
                </pic:pic>
              </a:graphicData>
            </a:graphic>
          </wp:inline>
        </w:drawing>
      </w:r>
    </w:p>
    <w:p w14:paraId="129A67A9" w14:textId="77777777" w:rsidR="000D05E5" w:rsidRDefault="000D05E5" w:rsidP="000D05E5">
      <w:pPr>
        <w:tabs>
          <w:tab w:val="left" w:pos="567"/>
        </w:tabs>
        <w:spacing w:after="0"/>
        <w:rPr>
          <w:rFonts w:ascii="Arial" w:eastAsia="Arial" w:hAnsi="Arial" w:cs="Arial"/>
          <w:bCs/>
          <w:color w:val="000000"/>
        </w:rPr>
      </w:pPr>
    </w:p>
    <w:p w14:paraId="488776F7" w14:textId="21FE0019" w:rsidR="000D05E5" w:rsidRDefault="000D05E5" w:rsidP="000D05E5">
      <w:pPr>
        <w:tabs>
          <w:tab w:val="left" w:pos="567"/>
        </w:tabs>
        <w:spacing w:after="0"/>
        <w:rPr>
          <w:rFonts w:ascii="Arial" w:eastAsia="Arial" w:hAnsi="Arial" w:cs="Arial"/>
          <w:bCs/>
          <w:color w:val="000000"/>
        </w:rPr>
      </w:pPr>
      <w:r>
        <w:rPr>
          <w:rFonts w:ascii="Arial" w:eastAsia="Arial" w:hAnsi="Arial" w:cs="Arial"/>
          <w:bCs/>
          <w:color w:val="000000"/>
        </w:rPr>
        <w:t xml:space="preserve">The two parties have a co-operation agreement designed to support the option agreement, and facilitate the future working of the two parties in their subsequent relationship as adjoining parties, with a view to ensuring the best outcome for all service users, carers, tenants and other stakeholders. This states that the parties will work together to optimise the </w:t>
      </w:r>
      <w:r>
        <w:rPr>
          <w:rFonts w:ascii="Arial" w:eastAsia="Arial" w:hAnsi="Arial" w:cs="Arial"/>
          <w:bCs/>
          <w:color w:val="000000"/>
        </w:rPr>
        <w:lastRenderedPageBreak/>
        <w:t>vacant possession strategy for both parties, maximise value for money for the NHS and work together to submit a planning application for the development of the site.</w:t>
      </w:r>
    </w:p>
    <w:p w14:paraId="0FEBC0E5" w14:textId="77777777" w:rsidR="000D05E5" w:rsidRDefault="000D05E5" w:rsidP="000D05E5">
      <w:pPr>
        <w:tabs>
          <w:tab w:val="left" w:pos="567"/>
        </w:tabs>
        <w:spacing w:after="0"/>
        <w:rPr>
          <w:rFonts w:ascii="Arial" w:eastAsia="Arial" w:hAnsi="Arial" w:cs="Arial"/>
          <w:bCs/>
          <w:color w:val="000000"/>
        </w:rPr>
      </w:pPr>
    </w:p>
    <w:p w14:paraId="6253B887" w14:textId="77777777" w:rsidR="000D05E5" w:rsidRDefault="000D05E5" w:rsidP="000D05E5">
      <w:pPr>
        <w:tabs>
          <w:tab w:val="left" w:pos="567"/>
        </w:tabs>
        <w:spacing w:after="0"/>
        <w:rPr>
          <w:rFonts w:ascii="Arial" w:eastAsia="Arial" w:hAnsi="Arial" w:cs="Arial"/>
          <w:bCs/>
          <w:color w:val="000000"/>
        </w:rPr>
      </w:pPr>
      <w:r>
        <w:rPr>
          <w:rFonts w:ascii="Arial" w:eastAsia="Arial" w:hAnsi="Arial" w:cs="Arial"/>
          <w:bCs/>
          <w:color w:val="000000"/>
        </w:rPr>
        <w:t xml:space="preserve">Moorfields plan to use this option to purchase the site in Q1 2021. Vacant possession is expected in Q2 </w:t>
      </w:r>
      <w:r w:rsidRPr="00AB287D">
        <w:rPr>
          <w:rFonts w:ascii="Arial" w:eastAsia="Arial" w:hAnsi="Arial" w:cs="Arial"/>
          <w:bCs/>
          <w:color w:val="000000"/>
        </w:rPr>
        <w:t>2022</w:t>
      </w:r>
      <w:r>
        <w:rPr>
          <w:rFonts w:ascii="Arial" w:eastAsia="Arial" w:hAnsi="Arial" w:cs="Arial"/>
          <w:bCs/>
          <w:color w:val="000000"/>
        </w:rPr>
        <w:t>.</w:t>
      </w:r>
    </w:p>
    <w:p w14:paraId="40DAFABE" w14:textId="77777777" w:rsidR="000D05E5" w:rsidRDefault="000D05E5" w:rsidP="000D05E5">
      <w:pPr>
        <w:tabs>
          <w:tab w:val="left" w:pos="567"/>
        </w:tabs>
        <w:spacing w:after="0"/>
        <w:rPr>
          <w:rFonts w:ascii="Arial" w:eastAsia="Arial" w:hAnsi="Arial" w:cs="Arial"/>
          <w:bCs/>
          <w:color w:val="000000"/>
        </w:rPr>
      </w:pPr>
    </w:p>
    <w:p w14:paraId="2BD233DA" w14:textId="7BC81A95" w:rsidR="000D05E5" w:rsidRDefault="000D05E5" w:rsidP="000D05E5">
      <w:pPr>
        <w:tabs>
          <w:tab w:val="left" w:pos="567"/>
        </w:tabs>
        <w:spacing w:after="0"/>
        <w:rPr>
          <w:rFonts w:ascii="Arial" w:eastAsia="Arial" w:hAnsi="Arial" w:cs="Arial"/>
          <w:bCs/>
          <w:color w:val="000000"/>
          <w:highlight w:val="yellow"/>
        </w:rPr>
      </w:pPr>
      <w:r w:rsidRPr="00AB287D">
        <w:rPr>
          <w:rFonts w:ascii="Arial" w:eastAsia="Arial" w:hAnsi="Arial" w:cs="Arial"/>
          <w:bCs/>
          <w:color w:val="000000"/>
        </w:rPr>
        <w:t xml:space="preserve">Further information, including the due diligence planned on the site before exchange and completion, and how the transaction complies with EstateCode, is included in the acquisition strategy at Appendix </w:t>
      </w:r>
      <w:r w:rsidR="00987E00" w:rsidRPr="00987E00">
        <w:rPr>
          <w:rFonts w:ascii="Arial" w:eastAsia="Arial" w:hAnsi="Arial" w:cs="Arial"/>
          <w:bCs/>
          <w:color w:val="000000"/>
        </w:rPr>
        <w:t>7C.</w:t>
      </w:r>
    </w:p>
    <w:p w14:paraId="3A1BEA18" w14:textId="77777777" w:rsidR="000D05E5" w:rsidRDefault="000D05E5" w:rsidP="000D05E5">
      <w:pPr>
        <w:tabs>
          <w:tab w:val="left" w:pos="567"/>
        </w:tabs>
        <w:spacing w:after="0"/>
        <w:rPr>
          <w:rFonts w:ascii="Arial" w:eastAsia="Arial" w:hAnsi="Arial" w:cs="Arial"/>
          <w:bCs/>
          <w:color w:val="000000"/>
          <w:highlight w:val="yellow"/>
        </w:rPr>
      </w:pPr>
    </w:p>
    <w:p w14:paraId="5BF06186" w14:textId="77777777" w:rsidR="000D05E5" w:rsidRPr="000D05E5" w:rsidRDefault="000D05E5" w:rsidP="005E0D57">
      <w:pPr>
        <w:pStyle w:val="Heading2"/>
        <w:numPr>
          <w:ilvl w:val="2"/>
          <w:numId w:val="39"/>
        </w:numPr>
        <w:spacing w:after="240"/>
        <w:rPr>
          <w:rFonts w:ascii="Arial" w:eastAsia="Arial" w:hAnsi="Arial" w:cs="Arial"/>
          <w:sz w:val="22"/>
          <w:szCs w:val="22"/>
        </w:rPr>
      </w:pPr>
      <w:bookmarkStart w:id="455" w:name="_Toc27746747"/>
      <w:bookmarkStart w:id="456" w:name="_Ref27746848"/>
      <w:bookmarkStart w:id="457" w:name="_Toc30168803"/>
      <w:bookmarkStart w:id="458" w:name="_Toc30670752"/>
      <w:bookmarkStart w:id="459" w:name="_Toc32842771"/>
      <w:r w:rsidRPr="000D05E5">
        <w:rPr>
          <w:rFonts w:ascii="Arial" w:eastAsia="Arial" w:hAnsi="Arial" w:cs="Arial"/>
          <w:sz w:val="22"/>
          <w:szCs w:val="22"/>
        </w:rPr>
        <w:t>Town Planning</w:t>
      </w:r>
      <w:bookmarkEnd w:id="455"/>
      <w:bookmarkEnd w:id="456"/>
      <w:bookmarkEnd w:id="457"/>
      <w:bookmarkEnd w:id="458"/>
      <w:bookmarkEnd w:id="459"/>
    </w:p>
    <w:p w14:paraId="2FDA4479" w14:textId="2288D9AA" w:rsidR="000D05E5" w:rsidRPr="005E788A" w:rsidRDefault="000D05E5" w:rsidP="000D05E5">
      <w:pPr>
        <w:tabs>
          <w:tab w:val="left" w:pos="567"/>
        </w:tabs>
        <w:spacing w:after="0"/>
        <w:rPr>
          <w:rFonts w:ascii="Arial" w:eastAsia="Arial" w:hAnsi="Arial" w:cs="Arial"/>
          <w:bCs/>
          <w:color w:val="000000"/>
        </w:rPr>
      </w:pPr>
      <w:r w:rsidRPr="005E788A">
        <w:rPr>
          <w:rFonts w:ascii="Arial" w:eastAsia="Arial" w:hAnsi="Arial" w:cs="Arial"/>
          <w:bCs/>
          <w:color w:val="000000"/>
        </w:rPr>
        <w:t>The Oriel site sits within the larger historic St Pancras Hospital site, located within a conservation area in the London Borough</w:t>
      </w:r>
      <w:r>
        <w:rPr>
          <w:rFonts w:ascii="Arial" w:eastAsia="Arial" w:hAnsi="Arial" w:cs="Arial"/>
          <w:bCs/>
          <w:color w:val="000000"/>
        </w:rPr>
        <w:t xml:space="preserve"> (LB)</w:t>
      </w:r>
      <w:r w:rsidRPr="005E788A">
        <w:rPr>
          <w:rFonts w:ascii="Arial" w:eastAsia="Arial" w:hAnsi="Arial" w:cs="Arial"/>
          <w:bCs/>
          <w:color w:val="000000"/>
        </w:rPr>
        <w:t xml:space="preserve"> of Camden.  The rest of the St Pancras Hospital site will be developed by C&amp;I’s development partner. Given the scale of the overall development, LB Camden’s planning department requires a single masterplan</w:t>
      </w:r>
      <w:r w:rsidR="0021652C">
        <w:rPr>
          <w:rFonts w:ascii="Arial" w:eastAsia="Arial" w:hAnsi="Arial" w:cs="Arial"/>
          <w:bCs/>
          <w:color w:val="000000"/>
        </w:rPr>
        <w:t xml:space="preserve"> for the St Pancras site</w:t>
      </w:r>
      <w:r w:rsidRPr="005E788A">
        <w:rPr>
          <w:rFonts w:ascii="Arial" w:eastAsia="Arial" w:hAnsi="Arial" w:cs="Arial"/>
          <w:bCs/>
          <w:color w:val="000000"/>
        </w:rPr>
        <w:t xml:space="preserve">.  Within that, Oriel will form a detailed planning application. </w:t>
      </w:r>
      <w:r w:rsidR="00967C47">
        <w:rPr>
          <w:rFonts w:ascii="Arial" w:eastAsia="Arial" w:hAnsi="Arial" w:cs="Arial"/>
          <w:bCs/>
          <w:color w:val="000000"/>
        </w:rPr>
        <w:t xml:space="preserve">The partners are unable to submit an outline planning application due to the site’s location in a conservation area. </w:t>
      </w:r>
      <w:r w:rsidRPr="005E788A">
        <w:rPr>
          <w:rFonts w:ascii="Arial" w:eastAsia="Arial" w:hAnsi="Arial" w:cs="Arial"/>
          <w:bCs/>
          <w:color w:val="000000"/>
        </w:rPr>
        <w:t xml:space="preserve">This requirement is set out in the London Borough of Camden’s pre-application letter dated July 2019 (included at Appendix </w:t>
      </w:r>
      <w:r w:rsidR="00987E00">
        <w:rPr>
          <w:rFonts w:ascii="Arial" w:eastAsia="Arial" w:hAnsi="Arial" w:cs="Arial"/>
          <w:bCs/>
          <w:color w:val="000000"/>
        </w:rPr>
        <w:t>3E</w:t>
      </w:r>
      <w:r w:rsidRPr="005E788A">
        <w:rPr>
          <w:rFonts w:ascii="Arial" w:eastAsia="Arial" w:hAnsi="Arial" w:cs="Arial"/>
          <w:bCs/>
          <w:color w:val="000000"/>
        </w:rPr>
        <w:t>).</w:t>
      </w:r>
    </w:p>
    <w:p w14:paraId="638193EC" w14:textId="77777777" w:rsidR="000D05E5" w:rsidRPr="005E788A" w:rsidRDefault="000D05E5" w:rsidP="000D05E5">
      <w:pPr>
        <w:tabs>
          <w:tab w:val="left" w:pos="567"/>
        </w:tabs>
        <w:spacing w:after="0"/>
        <w:rPr>
          <w:rFonts w:ascii="Arial" w:eastAsia="Arial" w:hAnsi="Arial" w:cs="Arial"/>
          <w:bCs/>
          <w:color w:val="000000"/>
        </w:rPr>
      </w:pPr>
    </w:p>
    <w:p w14:paraId="7D14A6E3" w14:textId="2B4FA301" w:rsidR="000D05E5" w:rsidRDefault="000D05E5" w:rsidP="000D05E5">
      <w:pPr>
        <w:tabs>
          <w:tab w:val="left" w:pos="567"/>
        </w:tabs>
        <w:spacing w:after="0"/>
        <w:rPr>
          <w:rFonts w:ascii="Arial" w:eastAsia="Arial" w:hAnsi="Arial" w:cs="Arial"/>
          <w:bCs/>
          <w:color w:val="000000"/>
        </w:rPr>
      </w:pPr>
      <w:r w:rsidRPr="005E788A">
        <w:rPr>
          <w:rFonts w:ascii="Arial" w:eastAsia="Arial" w:hAnsi="Arial" w:cs="Arial"/>
          <w:bCs/>
          <w:color w:val="000000"/>
        </w:rPr>
        <w:t xml:space="preserve">The trust plan to submit </w:t>
      </w:r>
      <w:r w:rsidR="0021652C">
        <w:rPr>
          <w:rFonts w:ascii="Arial" w:eastAsia="Arial" w:hAnsi="Arial" w:cs="Arial"/>
          <w:bCs/>
          <w:color w:val="000000"/>
        </w:rPr>
        <w:t xml:space="preserve">their </w:t>
      </w:r>
      <w:r w:rsidRPr="005E788A">
        <w:rPr>
          <w:rFonts w:ascii="Arial" w:eastAsia="Arial" w:hAnsi="Arial" w:cs="Arial"/>
          <w:bCs/>
          <w:color w:val="000000"/>
        </w:rPr>
        <w:t>planning application in September 2020. Engagement with planning officers will continue throughout the RIBA Stage 2 and 3 design process to ensure that plans are progressing in line with planning policy, and to maximise the prospect of retaining their support.</w:t>
      </w:r>
    </w:p>
    <w:p w14:paraId="1C5350B9" w14:textId="77777777" w:rsidR="000D05E5" w:rsidRDefault="000D05E5" w:rsidP="000D05E5">
      <w:pPr>
        <w:tabs>
          <w:tab w:val="left" w:pos="567"/>
        </w:tabs>
        <w:spacing w:after="0"/>
        <w:rPr>
          <w:rFonts w:ascii="Arial" w:eastAsia="Arial" w:hAnsi="Arial" w:cs="Arial"/>
          <w:bCs/>
          <w:color w:val="000000"/>
        </w:rPr>
      </w:pPr>
    </w:p>
    <w:p w14:paraId="434C7F3B" w14:textId="4EF8AC8E" w:rsidR="000D05E5" w:rsidRPr="005E788A" w:rsidRDefault="000D05E5" w:rsidP="000D05E5">
      <w:pPr>
        <w:tabs>
          <w:tab w:val="left" w:pos="567"/>
        </w:tabs>
        <w:spacing w:after="0"/>
        <w:rPr>
          <w:rFonts w:ascii="Arial" w:eastAsia="Arial" w:hAnsi="Arial" w:cs="Arial"/>
          <w:bCs/>
          <w:color w:val="000000"/>
        </w:rPr>
      </w:pPr>
      <w:r w:rsidRPr="005E788A">
        <w:rPr>
          <w:rFonts w:ascii="Arial" w:eastAsia="Arial" w:hAnsi="Arial" w:cs="Arial"/>
          <w:bCs/>
          <w:color w:val="000000"/>
        </w:rPr>
        <w:t xml:space="preserve">In order to de-risk the design and planning process, the partners, supported by their design team (including Penoyre &amp; Prasad architects and JLL town planning advisors), have entered into </w:t>
      </w:r>
      <w:r w:rsidR="001017B9">
        <w:rPr>
          <w:rFonts w:ascii="Arial" w:eastAsia="Arial" w:hAnsi="Arial" w:cs="Arial"/>
          <w:bCs/>
          <w:color w:val="000000"/>
        </w:rPr>
        <w:t xml:space="preserve">a </w:t>
      </w:r>
      <w:r w:rsidRPr="005E788A">
        <w:rPr>
          <w:rFonts w:ascii="Arial" w:eastAsia="Arial" w:hAnsi="Arial" w:cs="Arial"/>
          <w:bCs/>
          <w:color w:val="000000"/>
        </w:rPr>
        <w:t>Planning Performance Agreement (PPA) with the London Borough of Camden town planning department. A pre-planning application enquiry was submitted in February 2019. Following this, a number of meetings were held with planning officers to discuss the partners’ intentions on the site, and test the design against local planning policy.</w:t>
      </w:r>
    </w:p>
    <w:p w14:paraId="68B9D2D9" w14:textId="77777777" w:rsidR="000D05E5" w:rsidRDefault="000D05E5" w:rsidP="000D05E5">
      <w:pPr>
        <w:tabs>
          <w:tab w:val="left" w:pos="567"/>
        </w:tabs>
        <w:spacing w:after="0"/>
        <w:rPr>
          <w:rFonts w:ascii="Arial" w:eastAsia="Arial" w:hAnsi="Arial" w:cs="Arial"/>
          <w:bCs/>
          <w:color w:val="000000"/>
        </w:rPr>
      </w:pPr>
    </w:p>
    <w:p w14:paraId="3BDAB58F" w14:textId="797D0A96" w:rsidR="000D05E5" w:rsidRDefault="000D05E5" w:rsidP="000D05E5">
      <w:pPr>
        <w:tabs>
          <w:tab w:val="left" w:pos="567"/>
        </w:tabs>
        <w:spacing w:after="0"/>
        <w:rPr>
          <w:rFonts w:ascii="Arial" w:eastAsia="Arial" w:hAnsi="Arial" w:cs="Arial"/>
          <w:bCs/>
          <w:color w:val="000000"/>
        </w:rPr>
      </w:pPr>
      <w:r>
        <w:rPr>
          <w:rFonts w:ascii="Arial" w:eastAsia="Arial" w:hAnsi="Arial" w:cs="Arial"/>
          <w:bCs/>
          <w:color w:val="000000"/>
        </w:rPr>
        <w:t xml:space="preserve">LB Camden wrote to the trust in July 2019 stating their support for the key principles of the proposed scheme, subject to further development. They outlined a number of issues for consideration as the scheme progresses, including refining the massing and architecture, further work on the impact on local transport conditions, and responding to the adjacent St Pancras site as plans for this develop. The trust and planning officers are confident that these are reconcilable and will be addressed through the planning application process. </w:t>
      </w:r>
      <w:r w:rsidR="00987E00">
        <w:rPr>
          <w:rFonts w:ascii="Arial" w:eastAsia="Arial" w:hAnsi="Arial" w:cs="Arial"/>
          <w:bCs/>
          <w:color w:val="000000"/>
        </w:rPr>
        <w:t>This is confirmed in their letter at Appendix 3E</w:t>
      </w:r>
      <w:r>
        <w:rPr>
          <w:rFonts w:ascii="Arial" w:eastAsia="Arial" w:hAnsi="Arial" w:cs="Arial"/>
          <w:bCs/>
          <w:color w:val="000000"/>
        </w:rPr>
        <w:t>.</w:t>
      </w:r>
    </w:p>
    <w:p w14:paraId="740BAB9C" w14:textId="790058E5" w:rsidR="001017B9" w:rsidRDefault="001017B9" w:rsidP="000D05E5">
      <w:pPr>
        <w:tabs>
          <w:tab w:val="left" w:pos="567"/>
        </w:tabs>
        <w:spacing w:after="0"/>
        <w:rPr>
          <w:rFonts w:ascii="Arial" w:eastAsia="Arial" w:hAnsi="Arial" w:cs="Arial"/>
          <w:bCs/>
          <w:color w:val="000000"/>
          <w:highlight w:val="yellow"/>
        </w:rPr>
      </w:pPr>
    </w:p>
    <w:p w14:paraId="1D5F4F64" w14:textId="6C756F17" w:rsidR="00FF6E56" w:rsidRDefault="00FF6E56" w:rsidP="000D05E5">
      <w:pPr>
        <w:tabs>
          <w:tab w:val="left" w:pos="567"/>
        </w:tabs>
        <w:spacing w:after="0"/>
        <w:rPr>
          <w:rFonts w:ascii="Arial" w:eastAsia="Arial" w:hAnsi="Arial" w:cs="Arial"/>
          <w:bCs/>
          <w:color w:val="000000"/>
          <w:highlight w:val="yellow"/>
        </w:rPr>
      </w:pPr>
    </w:p>
    <w:p w14:paraId="7033B54C" w14:textId="1344870C" w:rsidR="00FF6E56" w:rsidRDefault="00FF6E56" w:rsidP="000D05E5">
      <w:pPr>
        <w:tabs>
          <w:tab w:val="left" w:pos="567"/>
        </w:tabs>
        <w:spacing w:after="0"/>
        <w:rPr>
          <w:rFonts w:ascii="Arial" w:eastAsia="Arial" w:hAnsi="Arial" w:cs="Arial"/>
          <w:bCs/>
          <w:color w:val="000000"/>
          <w:highlight w:val="yellow"/>
        </w:rPr>
      </w:pPr>
    </w:p>
    <w:p w14:paraId="46FD9CAB" w14:textId="54ECB20A" w:rsidR="00FF6E56" w:rsidRDefault="00FF6E56" w:rsidP="000D05E5">
      <w:pPr>
        <w:tabs>
          <w:tab w:val="left" w:pos="567"/>
        </w:tabs>
        <w:spacing w:after="0"/>
        <w:rPr>
          <w:rFonts w:ascii="Arial" w:eastAsia="Arial" w:hAnsi="Arial" w:cs="Arial"/>
          <w:bCs/>
          <w:color w:val="000000"/>
          <w:highlight w:val="yellow"/>
        </w:rPr>
      </w:pPr>
    </w:p>
    <w:p w14:paraId="1776FB3C" w14:textId="77777777" w:rsidR="00FF6E56" w:rsidRDefault="00FF6E56" w:rsidP="000D05E5">
      <w:pPr>
        <w:tabs>
          <w:tab w:val="left" w:pos="567"/>
        </w:tabs>
        <w:spacing w:after="0"/>
        <w:rPr>
          <w:rFonts w:ascii="Arial" w:eastAsia="Arial" w:hAnsi="Arial" w:cs="Arial"/>
          <w:bCs/>
          <w:color w:val="000000"/>
          <w:highlight w:val="yellow"/>
        </w:rPr>
      </w:pPr>
    </w:p>
    <w:p w14:paraId="7745EA95" w14:textId="77777777" w:rsidR="000D05E5" w:rsidRDefault="000D05E5" w:rsidP="005E0D57">
      <w:pPr>
        <w:pStyle w:val="Heading2"/>
        <w:numPr>
          <w:ilvl w:val="1"/>
          <w:numId w:val="39"/>
        </w:numPr>
        <w:rPr>
          <w:rFonts w:ascii="Arial" w:eastAsia="Arial" w:hAnsi="Arial" w:cs="Arial"/>
        </w:rPr>
      </w:pPr>
      <w:bookmarkStart w:id="460" w:name="_Toc409771233"/>
      <w:bookmarkStart w:id="461" w:name="_Toc413331365"/>
      <w:bookmarkStart w:id="462" w:name="_Toc26430024"/>
      <w:bookmarkStart w:id="463" w:name="_Ref27746896"/>
      <w:bookmarkStart w:id="464" w:name="_Toc32842772"/>
      <w:r>
        <w:rPr>
          <w:rFonts w:ascii="Arial" w:eastAsia="Arial" w:hAnsi="Arial" w:cs="Arial"/>
        </w:rPr>
        <w:lastRenderedPageBreak/>
        <w:t>The City Road site – Disposal strategy</w:t>
      </w:r>
      <w:bookmarkEnd w:id="460"/>
      <w:bookmarkEnd w:id="461"/>
      <w:bookmarkEnd w:id="462"/>
      <w:bookmarkEnd w:id="463"/>
      <w:bookmarkEnd w:id="464"/>
    </w:p>
    <w:p w14:paraId="50456025" w14:textId="77777777" w:rsidR="000D05E5" w:rsidRDefault="000D05E5" w:rsidP="000D05E5">
      <w:pPr>
        <w:tabs>
          <w:tab w:val="left" w:pos="567"/>
        </w:tabs>
        <w:spacing w:after="0"/>
        <w:rPr>
          <w:rFonts w:ascii="Arial" w:eastAsia="Arial" w:hAnsi="Arial" w:cs="Arial"/>
          <w:bCs/>
          <w:color w:val="000000"/>
          <w:highlight w:val="yellow"/>
        </w:rPr>
      </w:pPr>
    </w:p>
    <w:p w14:paraId="10865BC3" w14:textId="77777777" w:rsidR="000D05E5" w:rsidRPr="000D05E5" w:rsidRDefault="000D05E5" w:rsidP="005E0D57">
      <w:pPr>
        <w:pStyle w:val="Heading2"/>
        <w:numPr>
          <w:ilvl w:val="2"/>
          <w:numId w:val="39"/>
        </w:numPr>
        <w:spacing w:after="240"/>
        <w:rPr>
          <w:rFonts w:ascii="Arial" w:eastAsia="Arial" w:hAnsi="Arial" w:cs="Arial"/>
          <w:sz w:val="22"/>
          <w:szCs w:val="22"/>
        </w:rPr>
      </w:pPr>
      <w:bookmarkStart w:id="465" w:name="_Toc27746749"/>
      <w:bookmarkStart w:id="466" w:name="_Toc30168805"/>
      <w:bookmarkStart w:id="467" w:name="_Toc30670754"/>
      <w:bookmarkStart w:id="468" w:name="_Toc32842773"/>
      <w:r w:rsidRPr="000D05E5">
        <w:rPr>
          <w:rFonts w:ascii="Arial" w:eastAsia="Arial" w:hAnsi="Arial" w:cs="Arial"/>
          <w:sz w:val="22"/>
          <w:szCs w:val="22"/>
        </w:rPr>
        <w:t>Preferred disposal route</w:t>
      </w:r>
      <w:bookmarkEnd w:id="465"/>
      <w:bookmarkEnd w:id="466"/>
      <w:bookmarkEnd w:id="467"/>
      <w:bookmarkEnd w:id="468"/>
    </w:p>
    <w:p w14:paraId="0D7B0609" w14:textId="6623B897" w:rsidR="000D05E5" w:rsidRDefault="000D05E5" w:rsidP="000D05E5">
      <w:pPr>
        <w:tabs>
          <w:tab w:val="left" w:pos="567"/>
        </w:tabs>
        <w:spacing w:after="0"/>
        <w:rPr>
          <w:rFonts w:ascii="Arial" w:eastAsia="Arial" w:hAnsi="Arial" w:cs="Arial"/>
          <w:bCs/>
          <w:color w:val="000000"/>
        </w:rPr>
      </w:pPr>
      <w:r w:rsidRPr="00531AD6">
        <w:rPr>
          <w:rFonts w:ascii="Arial" w:eastAsia="Arial" w:hAnsi="Arial" w:cs="Arial"/>
          <w:bCs/>
          <w:color w:val="000000"/>
        </w:rPr>
        <w:t xml:space="preserve">Moorfields and UCL </w:t>
      </w:r>
      <w:r>
        <w:rPr>
          <w:rFonts w:ascii="Arial" w:eastAsia="Arial" w:hAnsi="Arial" w:cs="Arial"/>
          <w:bCs/>
          <w:color w:val="000000"/>
        </w:rPr>
        <w:t xml:space="preserve">have appointed independent property advisors, CBRE, to develop a disposal strategy </w:t>
      </w:r>
      <w:r w:rsidRPr="00531AD6">
        <w:rPr>
          <w:rFonts w:ascii="Arial" w:eastAsia="Arial" w:hAnsi="Arial" w:cs="Arial"/>
          <w:bCs/>
          <w:color w:val="000000"/>
        </w:rPr>
        <w:t xml:space="preserve">in accordance with </w:t>
      </w:r>
      <w:r>
        <w:rPr>
          <w:rFonts w:ascii="Arial" w:eastAsia="Arial" w:hAnsi="Arial" w:cs="Arial"/>
          <w:bCs/>
          <w:color w:val="000000"/>
        </w:rPr>
        <w:t>EstateCode (HBN</w:t>
      </w:r>
      <w:r w:rsidRPr="00531AD6">
        <w:rPr>
          <w:rFonts w:ascii="Arial" w:eastAsia="Arial" w:hAnsi="Arial" w:cs="Arial"/>
          <w:bCs/>
          <w:color w:val="000000"/>
        </w:rPr>
        <w:t xml:space="preserve"> 00-08)</w:t>
      </w:r>
      <w:r>
        <w:rPr>
          <w:rFonts w:ascii="Arial" w:eastAsia="Arial" w:hAnsi="Arial" w:cs="Arial"/>
          <w:bCs/>
          <w:color w:val="000000"/>
        </w:rPr>
        <w:t>,</w:t>
      </w:r>
      <w:r w:rsidRPr="00531AD6">
        <w:rPr>
          <w:rFonts w:ascii="Arial" w:eastAsia="Arial" w:hAnsi="Arial" w:cs="Arial"/>
          <w:bCs/>
          <w:color w:val="000000"/>
        </w:rPr>
        <w:t xml:space="preserve"> to achieve best value from the disposal and to deliver maximum receipts to fund, in part, </w:t>
      </w:r>
      <w:r>
        <w:rPr>
          <w:rFonts w:ascii="Arial" w:eastAsia="Arial" w:hAnsi="Arial" w:cs="Arial"/>
          <w:bCs/>
          <w:color w:val="000000"/>
        </w:rPr>
        <w:t xml:space="preserve">Oriel. This disposal strategy is included </w:t>
      </w:r>
      <w:r w:rsidRPr="00987E00">
        <w:rPr>
          <w:rFonts w:ascii="Arial" w:eastAsia="Arial" w:hAnsi="Arial" w:cs="Arial"/>
          <w:bCs/>
          <w:color w:val="000000"/>
        </w:rPr>
        <w:t xml:space="preserve">at Appendix </w:t>
      </w:r>
      <w:r w:rsidR="00987E00" w:rsidRPr="00987E00">
        <w:rPr>
          <w:rFonts w:ascii="Arial" w:eastAsia="Arial" w:hAnsi="Arial" w:cs="Arial"/>
          <w:bCs/>
          <w:color w:val="000000"/>
        </w:rPr>
        <w:t>7D</w:t>
      </w:r>
      <w:r w:rsidRPr="00987E00">
        <w:rPr>
          <w:rFonts w:ascii="Arial" w:eastAsia="Arial" w:hAnsi="Arial" w:cs="Arial"/>
          <w:bCs/>
          <w:color w:val="000000"/>
        </w:rPr>
        <w:t xml:space="preserve"> and is summarised</w:t>
      </w:r>
      <w:r>
        <w:rPr>
          <w:rFonts w:ascii="Arial" w:eastAsia="Arial" w:hAnsi="Arial" w:cs="Arial"/>
          <w:bCs/>
          <w:color w:val="000000"/>
        </w:rPr>
        <w:t xml:space="preserve"> below.</w:t>
      </w:r>
    </w:p>
    <w:p w14:paraId="43A3319B" w14:textId="77777777" w:rsidR="000D05E5" w:rsidRDefault="000D05E5" w:rsidP="000D05E5">
      <w:pPr>
        <w:tabs>
          <w:tab w:val="left" w:pos="567"/>
        </w:tabs>
        <w:spacing w:after="0"/>
        <w:rPr>
          <w:rFonts w:ascii="Arial" w:eastAsia="Arial" w:hAnsi="Arial" w:cs="Arial"/>
          <w:bCs/>
          <w:color w:val="000000"/>
        </w:rPr>
      </w:pPr>
    </w:p>
    <w:p w14:paraId="66B2D2D6" w14:textId="77777777" w:rsidR="000D05E5" w:rsidRDefault="000D05E5" w:rsidP="000D05E5">
      <w:pPr>
        <w:tabs>
          <w:tab w:val="left" w:pos="567"/>
        </w:tabs>
        <w:rPr>
          <w:rFonts w:ascii="Arial" w:eastAsia="Arial" w:hAnsi="Arial" w:cs="Arial"/>
          <w:bCs/>
          <w:color w:val="000000"/>
        </w:rPr>
      </w:pPr>
      <w:r>
        <w:rPr>
          <w:rFonts w:ascii="Arial" w:eastAsia="Arial" w:hAnsi="Arial" w:cs="Arial"/>
          <w:bCs/>
          <w:color w:val="000000"/>
        </w:rPr>
        <w:t>The disposal strategy has been informed by:</w:t>
      </w:r>
    </w:p>
    <w:p w14:paraId="754F392D" w14:textId="15C4F46C" w:rsidR="000D05E5" w:rsidRDefault="000D05E5" w:rsidP="005E0D57">
      <w:pPr>
        <w:pStyle w:val="ListParagraph"/>
        <w:numPr>
          <w:ilvl w:val="0"/>
          <w:numId w:val="73"/>
        </w:numPr>
        <w:tabs>
          <w:tab w:val="left" w:pos="709"/>
        </w:tabs>
        <w:spacing w:after="0"/>
        <w:rPr>
          <w:rFonts w:ascii="Arial" w:eastAsia="Arial" w:hAnsi="Arial" w:cs="Arial"/>
          <w:bCs/>
          <w:color w:val="000000"/>
        </w:rPr>
      </w:pPr>
      <w:r>
        <w:rPr>
          <w:rFonts w:ascii="Arial" w:eastAsia="Arial" w:hAnsi="Arial" w:cs="Arial"/>
          <w:b/>
          <w:color w:val="000000"/>
        </w:rPr>
        <w:t>Town planning considerations</w:t>
      </w:r>
      <w:r>
        <w:rPr>
          <w:rFonts w:ascii="Arial" w:eastAsia="Arial" w:hAnsi="Arial" w:cs="Arial"/>
          <w:bCs/>
          <w:color w:val="000000"/>
        </w:rPr>
        <w:t xml:space="preserve"> following </w:t>
      </w:r>
      <w:r w:rsidRPr="00531AD6">
        <w:rPr>
          <w:rFonts w:ascii="Arial" w:eastAsia="Arial" w:hAnsi="Arial" w:cs="Arial"/>
          <w:bCs/>
          <w:color w:val="000000"/>
        </w:rPr>
        <w:t>detailed discussions with the</w:t>
      </w:r>
      <w:r>
        <w:rPr>
          <w:rFonts w:ascii="Arial" w:eastAsia="Arial" w:hAnsi="Arial" w:cs="Arial"/>
          <w:bCs/>
          <w:color w:val="000000"/>
        </w:rPr>
        <w:t xml:space="preserve"> London Borough of Islington and the GLA, regarding the development potential of the site which affects its likely value. Planning authorities have confirmed their support for an office-led redevelopment of the site, and LB Islington have included specific guidance on the site in their draft Local Plan. This has significantly de-risked the town planning position.</w:t>
      </w:r>
    </w:p>
    <w:p w14:paraId="7B516097" w14:textId="77777777" w:rsidR="000D05E5" w:rsidRPr="00531AD6" w:rsidRDefault="000D05E5" w:rsidP="005E0D57">
      <w:pPr>
        <w:pStyle w:val="ListParagraph"/>
        <w:numPr>
          <w:ilvl w:val="0"/>
          <w:numId w:val="73"/>
        </w:numPr>
        <w:tabs>
          <w:tab w:val="left" w:pos="709"/>
        </w:tabs>
        <w:spacing w:after="0"/>
        <w:rPr>
          <w:rFonts w:ascii="Arial" w:eastAsia="Arial" w:hAnsi="Arial" w:cs="Arial"/>
          <w:bCs/>
          <w:color w:val="000000"/>
        </w:rPr>
      </w:pPr>
      <w:r w:rsidRPr="00531AD6">
        <w:rPr>
          <w:rFonts w:ascii="Arial" w:eastAsia="Arial" w:hAnsi="Arial" w:cs="Arial"/>
          <w:b/>
          <w:color w:val="000000"/>
        </w:rPr>
        <w:t>Market testing</w:t>
      </w:r>
      <w:r w:rsidRPr="00531AD6">
        <w:rPr>
          <w:rFonts w:ascii="Arial" w:eastAsia="Arial" w:hAnsi="Arial" w:cs="Arial"/>
          <w:bCs/>
          <w:color w:val="000000"/>
        </w:rPr>
        <w:t xml:space="preserve"> undertaken in 2018 which confirmed that there would be a deep market of domestic and</w:t>
      </w:r>
      <w:r>
        <w:rPr>
          <w:rFonts w:ascii="Arial" w:eastAsia="Arial" w:hAnsi="Arial" w:cs="Arial"/>
          <w:bCs/>
          <w:color w:val="000000"/>
        </w:rPr>
        <w:t xml:space="preserve"> </w:t>
      </w:r>
      <w:r w:rsidRPr="00531AD6">
        <w:rPr>
          <w:rFonts w:ascii="Arial" w:eastAsia="Arial" w:hAnsi="Arial" w:cs="Arial"/>
          <w:bCs/>
          <w:color w:val="000000"/>
        </w:rPr>
        <w:t xml:space="preserve">international developers and investors who would be </w:t>
      </w:r>
      <w:r>
        <w:rPr>
          <w:rFonts w:ascii="Arial" w:eastAsia="Arial" w:hAnsi="Arial" w:cs="Arial"/>
          <w:bCs/>
          <w:color w:val="000000"/>
        </w:rPr>
        <w:t>interested in this project.</w:t>
      </w:r>
    </w:p>
    <w:p w14:paraId="7BF37AC3" w14:textId="54431895" w:rsidR="000D05E5" w:rsidRDefault="000D05E5" w:rsidP="005E0D57">
      <w:pPr>
        <w:pStyle w:val="ListParagraph"/>
        <w:numPr>
          <w:ilvl w:val="0"/>
          <w:numId w:val="73"/>
        </w:numPr>
        <w:tabs>
          <w:tab w:val="left" w:pos="709"/>
        </w:tabs>
        <w:spacing w:after="0"/>
        <w:rPr>
          <w:rFonts w:ascii="Arial" w:eastAsia="Arial" w:hAnsi="Arial" w:cs="Arial"/>
          <w:bCs/>
          <w:color w:val="000000"/>
        </w:rPr>
      </w:pPr>
      <w:r w:rsidRPr="00531AD6">
        <w:rPr>
          <w:rFonts w:ascii="Arial" w:eastAsia="Arial" w:hAnsi="Arial" w:cs="Arial"/>
          <w:b/>
          <w:color w:val="000000"/>
        </w:rPr>
        <w:t>Legal advice</w:t>
      </w:r>
      <w:r w:rsidRPr="00531AD6">
        <w:rPr>
          <w:rFonts w:ascii="Arial" w:eastAsia="Arial" w:hAnsi="Arial" w:cs="Arial"/>
          <w:bCs/>
          <w:color w:val="000000"/>
        </w:rPr>
        <w:t xml:space="preserve"> from DAC Beachcroft which has concluded that an OJEU-compliant sale route is not required. The trust is therefore planning to pursue a private treaty sale route to ensure maximum market engagement</w:t>
      </w:r>
      <w:r>
        <w:rPr>
          <w:rFonts w:ascii="Arial" w:eastAsia="Arial" w:hAnsi="Arial" w:cs="Arial"/>
          <w:bCs/>
          <w:color w:val="000000"/>
        </w:rPr>
        <w:t xml:space="preserve"> </w:t>
      </w:r>
      <w:r w:rsidRPr="00531AD6">
        <w:rPr>
          <w:rFonts w:ascii="Arial" w:eastAsia="Arial" w:hAnsi="Arial" w:cs="Arial"/>
          <w:bCs/>
          <w:color w:val="000000"/>
        </w:rPr>
        <w:t>and control of the process</w:t>
      </w:r>
      <w:r>
        <w:rPr>
          <w:rFonts w:ascii="Arial" w:eastAsia="Arial" w:hAnsi="Arial" w:cs="Arial"/>
          <w:bCs/>
          <w:color w:val="000000"/>
        </w:rPr>
        <w:t>.</w:t>
      </w:r>
    </w:p>
    <w:p w14:paraId="46B9790F" w14:textId="77777777" w:rsidR="000D05E5" w:rsidRPr="00531AD6" w:rsidRDefault="000D05E5" w:rsidP="005E0D57">
      <w:pPr>
        <w:pStyle w:val="ListParagraph"/>
        <w:numPr>
          <w:ilvl w:val="0"/>
          <w:numId w:val="73"/>
        </w:numPr>
        <w:tabs>
          <w:tab w:val="left" w:pos="709"/>
        </w:tabs>
        <w:spacing w:after="0"/>
        <w:rPr>
          <w:rFonts w:ascii="Arial" w:eastAsia="Arial" w:hAnsi="Arial" w:cs="Arial"/>
          <w:bCs/>
          <w:color w:val="000000"/>
        </w:rPr>
      </w:pPr>
      <w:r w:rsidRPr="00531AD6">
        <w:rPr>
          <w:rFonts w:ascii="Arial" w:eastAsia="Arial" w:hAnsi="Arial" w:cs="Arial"/>
          <w:b/>
          <w:color w:val="000000"/>
        </w:rPr>
        <w:t xml:space="preserve">Market conditions </w:t>
      </w:r>
      <w:r w:rsidRPr="00531AD6">
        <w:rPr>
          <w:rFonts w:ascii="Arial" w:eastAsia="Arial" w:hAnsi="Arial" w:cs="Arial"/>
          <w:bCs/>
          <w:color w:val="000000"/>
        </w:rPr>
        <w:t>which</w:t>
      </w:r>
      <w:r w:rsidRPr="00531AD6">
        <w:rPr>
          <w:rFonts w:ascii="Arial" w:eastAsia="Arial" w:hAnsi="Arial" w:cs="Arial"/>
          <w:b/>
          <w:color w:val="000000"/>
        </w:rPr>
        <w:t xml:space="preserve"> </w:t>
      </w:r>
      <w:r>
        <w:rPr>
          <w:rFonts w:ascii="Arial" w:eastAsia="Arial" w:hAnsi="Arial" w:cs="Arial"/>
          <w:bCs/>
          <w:color w:val="000000"/>
        </w:rPr>
        <w:t xml:space="preserve">remain strong for central London office developments </w:t>
      </w:r>
      <w:r w:rsidRPr="00531AD6">
        <w:rPr>
          <w:rFonts w:ascii="Arial" w:eastAsia="Arial" w:hAnsi="Arial" w:cs="Arial"/>
          <w:bCs/>
          <w:color w:val="000000"/>
        </w:rPr>
        <w:t>due to a lack of supply.</w:t>
      </w:r>
    </w:p>
    <w:p w14:paraId="546615C8" w14:textId="77777777" w:rsidR="000D05E5" w:rsidRPr="00531AD6" w:rsidRDefault="000D05E5" w:rsidP="005E0D57">
      <w:pPr>
        <w:pStyle w:val="ListParagraph"/>
        <w:numPr>
          <w:ilvl w:val="0"/>
          <w:numId w:val="73"/>
        </w:numPr>
        <w:tabs>
          <w:tab w:val="left" w:pos="709"/>
        </w:tabs>
        <w:spacing w:after="0"/>
        <w:rPr>
          <w:rFonts w:ascii="Arial" w:eastAsia="Arial" w:hAnsi="Arial" w:cs="Arial"/>
          <w:b/>
          <w:color w:val="000000"/>
        </w:rPr>
      </w:pPr>
      <w:r>
        <w:rPr>
          <w:rFonts w:ascii="Arial" w:eastAsia="Arial" w:hAnsi="Arial" w:cs="Arial"/>
          <w:b/>
          <w:color w:val="000000"/>
        </w:rPr>
        <w:t>The partners’ programme, appetite for risk and funding</w:t>
      </w:r>
      <w:r>
        <w:rPr>
          <w:rFonts w:ascii="Arial" w:eastAsia="Arial" w:hAnsi="Arial" w:cs="Arial"/>
          <w:bCs/>
          <w:color w:val="000000"/>
        </w:rPr>
        <w:t xml:space="preserve"> which has concluded that the partners should not pursue their own planning consent.</w:t>
      </w:r>
    </w:p>
    <w:p w14:paraId="6B5E719F" w14:textId="77777777" w:rsidR="000D05E5" w:rsidRDefault="000D05E5" w:rsidP="000D05E5">
      <w:pPr>
        <w:tabs>
          <w:tab w:val="left" w:pos="709"/>
        </w:tabs>
        <w:spacing w:after="0"/>
        <w:rPr>
          <w:rFonts w:ascii="Arial" w:eastAsia="Arial" w:hAnsi="Arial" w:cs="Arial"/>
          <w:b/>
          <w:color w:val="000000"/>
        </w:rPr>
      </w:pPr>
    </w:p>
    <w:p w14:paraId="2139C40B" w14:textId="4C9986EF" w:rsidR="000D05E5" w:rsidRPr="00156CB3" w:rsidRDefault="000D05E5" w:rsidP="000D05E5">
      <w:pPr>
        <w:tabs>
          <w:tab w:val="left" w:pos="567"/>
        </w:tabs>
        <w:spacing w:after="0"/>
        <w:rPr>
          <w:rFonts w:ascii="Arial" w:eastAsia="Arial" w:hAnsi="Arial" w:cs="Arial"/>
          <w:color w:val="000000"/>
        </w:rPr>
      </w:pPr>
      <w:r w:rsidRPr="00531AD6">
        <w:rPr>
          <w:rFonts w:ascii="Arial" w:eastAsia="Arial" w:hAnsi="Arial" w:cs="Arial"/>
          <w:bCs/>
          <w:color w:val="000000"/>
        </w:rPr>
        <w:t>The disposal</w:t>
      </w:r>
      <w:r>
        <w:rPr>
          <w:rFonts w:ascii="Arial" w:eastAsia="Arial" w:hAnsi="Arial" w:cs="Arial"/>
          <w:bCs/>
          <w:color w:val="000000"/>
        </w:rPr>
        <w:t xml:space="preserve"> strategy assesses a number of disposal routes and concludes that the site should be sold ‘subject to planning’. The estimated value of this is </w:t>
      </w:r>
      <w:r>
        <w:rPr>
          <w:rFonts w:ascii="Arial" w:eastAsia="Arial" w:hAnsi="Arial" w:cs="Arial"/>
          <w:b/>
          <w:color w:val="000000"/>
        </w:rPr>
        <w:t>£</w:t>
      </w:r>
      <w:r w:rsidR="0084544B">
        <w:rPr>
          <w:rFonts w:ascii="Arial" w:eastAsia="Arial" w:hAnsi="Arial" w:cs="Arial"/>
          <w:b/>
          <w:color w:val="000000"/>
        </w:rPr>
        <w:t xml:space="preserve">XXXm </w:t>
      </w:r>
      <w:r w:rsidR="003D0D09">
        <w:rPr>
          <w:rFonts w:ascii="Arial" w:eastAsia="Arial" w:hAnsi="Arial" w:cs="Arial"/>
          <w:b/>
          <w:color w:val="000000"/>
        </w:rPr>
        <w:t>(base case)</w:t>
      </w:r>
      <w:r>
        <w:rPr>
          <w:rFonts w:ascii="Arial" w:eastAsia="Arial" w:hAnsi="Arial" w:cs="Arial"/>
          <w:b/>
          <w:color w:val="000000"/>
        </w:rPr>
        <w:t>.</w:t>
      </w:r>
      <w:r w:rsidR="00156CB3">
        <w:rPr>
          <w:rFonts w:ascii="Arial" w:eastAsia="Arial" w:hAnsi="Arial" w:cs="Arial"/>
          <w:b/>
          <w:color w:val="000000"/>
        </w:rPr>
        <w:t xml:space="preserve">  </w:t>
      </w:r>
      <w:r w:rsidR="003D0D09">
        <w:rPr>
          <w:rFonts w:ascii="Arial" w:eastAsia="Arial" w:hAnsi="Arial" w:cs="Arial"/>
          <w:color w:val="000000"/>
        </w:rPr>
        <w:t>This is reflected in the Finance Case</w:t>
      </w:r>
      <w:r w:rsidR="00DD5DAB">
        <w:rPr>
          <w:rFonts w:ascii="Arial" w:eastAsia="Arial" w:hAnsi="Arial" w:cs="Arial"/>
          <w:color w:val="000000"/>
        </w:rPr>
        <w:t>.</w:t>
      </w:r>
    </w:p>
    <w:p w14:paraId="4022A766" w14:textId="77777777" w:rsidR="00B146F0" w:rsidRDefault="00B146F0" w:rsidP="000D05E5">
      <w:pPr>
        <w:tabs>
          <w:tab w:val="left" w:pos="567"/>
        </w:tabs>
        <w:spacing w:after="0"/>
        <w:rPr>
          <w:rFonts w:ascii="Arial" w:eastAsia="Arial" w:hAnsi="Arial" w:cs="Arial"/>
          <w:b/>
          <w:color w:val="000000"/>
        </w:rPr>
      </w:pPr>
    </w:p>
    <w:p w14:paraId="0C7CBFE3" w14:textId="34880AEC" w:rsidR="00B146F0" w:rsidRPr="00B146F0" w:rsidRDefault="00B146F0" w:rsidP="000D05E5">
      <w:pPr>
        <w:tabs>
          <w:tab w:val="left" w:pos="567"/>
        </w:tabs>
        <w:spacing w:after="0"/>
        <w:rPr>
          <w:rFonts w:ascii="Arial" w:eastAsia="Arial" w:hAnsi="Arial" w:cs="Arial"/>
          <w:bCs/>
          <w:color w:val="000000"/>
        </w:rPr>
      </w:pPr>
      <w:r>
        <w:rPr>
          <w:rFonts w:ascii="Arial" w:eastAsia="Arial" w:hAnsi="Arial" w:cs="Arial"/>
          <w:bCs/>
          <w:color w:val="000000"/>
        </w:rPr>
        <w:t xml:space="preserve">Site marketing will commence in </w:t>
      </w:r>
      <w:r w:rsidR="006477E4">
        <w:rPr>
          <w:rFonts w:ascii="Arial" w:eastAsia="Arial" w:hAnsi="Arial" w:cs="Arial"/>
          <w:bCs/>
          <w:color w:val="000000"/>
        </w:rPr>
        <w:t xml:space="preserve">March 2020, in order to secure a preferred bidder and certainty of the sale price for FBC. Under a ‘subject to planning’ sale, funds will not be received until after town planning permission has been secured. A requirement for a bridging loan is therefore described in the </w:t>
      </w:r>
      <w:r w:rsidR="00236908">
        <w:rPr>
          <w:rFonts w:ascii="Arial" w:eastAsia="Arial" w:hAnsi="Arial" w:cs="Arial"/>
          <w:bCs/>
          <w:color w:val="000000"/>
        </w:rPr>
        <w:t>Finance Case</w:t>
      </w:r>
      <w:r w:rsidR="006477E4">
        <w:rPr>
          <w:rFonts w:ascii="Arial" w:eastAsia="Arial" w:hAnsi="Arial" w:cs="Arial"/>
          <w:bCs/>
          <w:color w:val="000000"/>
        </w:rPr>
        <w:t>.</w:t>
      </w:r>
    </w:p>
    <w:p w14:paraId="28DA140D" w14:textId="77777777" w:rsidR="000D05E5" w:rsidRDefault="000D05E5" w:rsidP="000D05E5">
      <w:pPr>
        <w:tabs>
          <w:tab w:val="left" w:pos="567"/>
        </w:tabs>
        <w:spacing w:after="0"/>
        <w:rPr>
          <w:rFonts w:ascii="Arial" w:eastAsia="Arial" w:hAnsi="Arial" w:cs="Arial"/>
          <w:b/>
          <w:color w:val="000000"/>
        </w:rPr>
      </w:pPr>
    </w:p>
    <w:p w14:paraId="513FED1F" w14:textId="77777777" w:rsidR="000D05E5" w:rsidRPr="00531AD6" w:rsidRDefault="000D05E5" w:rsidP="005E0D57">
      <w:pPr>
        <w:pStyle w:val="ListParagraph"/>
        <w:numPr>
          <w:ilvl w:val="1"/>
          <w:numId w:val="22"/>
        </w:numPr>
        <w:tabs>
          <w:tab w:val="left" w:pos="567"/>
        </w:tabs>
        <w:contextualSpacing w:val="0"/>
        <w:jc w:val="both"/>
        <w:rPr>
          <w:rFonts w:ascii="Arial" w:eastAsia="Arial" w:hAnsi="Arial" w:cs="Arial"/>
          <w:b/>
          <w:vanish/>
          <w:color w:val="000000"/>
        </w:rPr>
      </w:pPr>
    </w:p>
    <w:p w14:paraId="1C789328" w14:textId="77777777" w:rsidR="000D05E5" w:rsidRPr="000D05E5" w:rsidRDefault="000D05E5" w:rsidP="005E0D57">
      <w:pPr>
        <w:pStyle w:val="Heading2"/>
        <w:numPr>
          <w:ilvl w:val="2"/>
          <w:numId w:val="39"/>
        </w:numPr>
        <w:spacing w:after="240"/>
        <w:rPr>
          <w:rFonts w:ascii="Arial" w:eastAsia="Arial" w:hAnsi="Arial" w:cs="Arial"/>
          <w:sz w:val="22"/>
          <w:szCs w:val="22"/>
        </w:rPr>
      </w:pPr>
      <w:bookmarkStart w:id="469" w:name="_Toc27746750"/>
      <w:bookmarkStart w:id="470" w:name="_Toc30168806"/>
      <w:bookmarkStart w:id="471" w:name="_Toc30670755"/>
      <w:bookmarkStart w:id="472" w:name="_Toc32842774"/>
      <w:r w:rsidRPr="000D05E5">
        <w:rPr>
          <w:rFonts w:ascii="Arial" w:eastAsia="Arial" w:hAnsi="Arial" w:cs="Arial"/>
          <w:sz w:val="22"/>
          <w:szCs w:val="22"/>
        </w:rPr>
        <w:t>Compliance with EstateCode (HBN 00-08)</w:t>
      </w:r>
      <w:bookmarkEnd w:id="469"/>
      <w:bookmarkEnd w:id="470"/>
      <w:bookmarkEnd w:id="471"/>
      <w:bookmarkEnd w:id="472"/>
    </w:p>
    <w:p w14:paraId="58B237A7" w14:textId="77777777" w:rsidR="000D05E5" w:rsidRPr="00531AD6" w:rsidRDefault="000D05E5" w:rsidP="000D05E5">
      <w:pPr>
        <w:tabs>
          <w:tab w:val="left" w:pos="567"/>
        </w:tabs>
        <w:spacing w:after="0"/>
        <w:rPr>
          <w:rFonts w:ascii="Arial" w:eastAsia="Arial" w:hAnsi="Arial" w:cs="Arial"/>
          <w:bCs/>
          <w:color w:val="000000"/>
        </w:rPr>
      </w:pPr>
      <w:r>
        <w:rPr>
          <w:rFonts w:ascii="Arial" w:eastAsia="Arial" w:hAnsi="Arial" w:cs="Arial"/>
          <w:bCs/>
          <w:color w:val="000000"/>
        </w:rPr>
        <w:t xml:space="preserve">The disposal strategy is </w:t>
      </w:r>
      <w:r w:rsidRPr="00531AD6">
        <w:rPr>
          <w:rFonts w:ascii="Arial" w:eastAsia="Arial" w:hAnsi="Arial" w:cs="Arial"/>
          <w:bCs/>
          <w:color w:val="000000"/>
        </w:rPr>
        <w:t>consistent with latest</w:t>
      </w:r>
      <w:r>
        <w:rPr>
          <w:rFonts w:ascii="Arial" w:eastAsia="Arial" w:hAnsi="Arial" w:cs="Arial"/>
          <w:bCs/>
          <w:color w:val="000000"/>
        </w:rPr>
        <w:t xml:space="preserve"> </w:t>
      </w:r>
      <w:r w:rsidRPr="00531AD6">
        <w:rPr>
          <w:rFonts w:ascii="Arial" w:eastAsia="Arial" w:hAnsi="Arial" w:cs="Arial"/>
          <w:bCs/>
          <w:color w:val="000000"/>
        </w:rPr>
        <w:t>EstateCode guidance:</w:t>
      </w:r>
    </w:p>
    <w:p w14:paraId="480DDE81" w14:textId="77777777" w:rsidR="000D05E5" w:rsidRPr="00531AD6" w:rsidRDefault="000D05E5" w:rsidP="005E0D57">
      <w:pPr>
        <w:pStyle w:val="ListParagraph"/>
        <w:numPr>
          <w:ilvl w:val="0"/>
          <w:numId w:val="73"/>
        </w:numPr>
        <w:tabs>
          <w:tab w:val="left" w:pos="709"/>
        </w:tabs>
        <w:spacing w:after="0"/>
        <w:rPr>
          <w:rFonts w:ascii="Arial" w:eastAsia="Arial" w:hAnsi="Arial" w:cs="Arial"/>
          <w:bCs/>
          <w:color w:val="000000"/>
        </w:rPr>
      </w:pPr>
      <w:r w:rsidRPr="00531AD6">
        <w:rPr>
          <w:rFonts w:ascii="Arial" w:eastAsia="Arial" w:hAnsi="Arial" w:cs="Arial"/>
          <w:b/>
          <w:color w:val="000000"/>
        </w:rPr>
        <w:t xml:space="preserve">ePIMS – </w:t>
      </w:r>
      <w:r w:rsidRPr="00531AD6">
        <w:rPr>
          <w:rFonts w:ascii="Arial" w:eastAsia="Arial" w:hAnsi="Arial" w:cs="Arial"/>
          <w:bCs/>
          <w:color w:val="000000"/>
        </w:rPr>
        <w:t>Moorfields will be required to register the City Road site on the ePIMS database for 40 working days prior to the launch of any sale process. This period will give other public sector groups an opportunity to consider a purchase of the site before open marketing. CBRE monitors such requirements closely and believe it is very unlikely</w:t>
      </w:r>
      <w:r>
        <w:rPr>
          <w:rFonts w:ascii="Arial" w:eastAsia="Arial" w:hAnsi="Arial" w:cs="Arial"/>
          <w:bCs/>
          <w:color w:val="000000"/>
        </w:rPr>
        <w:t xml:space="preserve"> </w:t>
      </w:r>
      <w:r w:rsidRPr="00531AD6">
        <w:rPr>
          <w:rFonts w:ascii="Arial" w:eastAsia="Arial" w:hAnsi="Arial" w:cs="Arial"/>
          <w:bCs/>
          <w:color w:val="000000"/>
        </w:rPr>
        <w:t>that any such interest would be received.</w:t>
      </w:r>
    </w:p>
    <w:p w14:paraId="571DD6B9" w14:textId="3DA2F346" w:rsidR="000D05E5" w:rsidRPr="00AB76DC" w:rsidRDefault="00AB76DC" w:rsidP="005E0D57">
      <w:pPr>
        <w:pStyle w:val="ListParagraph"/>
        <w:numPr>
          <w:ilvl w:val="0"/>
          <w:numId w:val="73"/>
        </w:numPr>
        <w:tabs>
          <w:tab w:val="left" w:pos="709"/>
        </w:tabs>
        <w:spacing w:after="0"/>
        <w:rPr>
          <w:rFonts w:ascii="Arial" w:eastAsia="Arial" w:hAnsi="Arial" w:cs="Arial"/>
          <w:bCs/>
          <w:color w:val="000000"/>
        </w:rPr>
      </w:pPr>
      <w:r w:rsidRPr="00531AD6">
        <w:rPr>
          <w:rFonts w:ascii="Arial" w:eastAsia="Arial" w:hAnsi="Arial" w:cs="Arial"/>
          <w:b/>
          <w:color w:val="000000"/>
        </w:rPr>
        <w:lastRenderedPageBreak/>
        <w:t xml:space="preserve">Crichel Downs rules – </w:t>
      </w:r>
      <w:r w:rsidRPr="00FE0F4C">
        <w:rPr>
          <w:rFonts w:ascii="Arial" w:eastAsia="Arial" w:hAnsi="Arial" w:cs="Arial"/>
          <w:bCs/>
          <w:color w:val="000000"/>
        </w:rPr>
        <w:t>DAC Beachcroft are considering the position in terms of Crichel Downs rules and have highlighted two positions that require further investigation. Work on this topic is ongoing</w:t>
      </w:r>
      <w:r>
        <w:rPr>
          <w:rFonts w:ascii="Arial" w:eastAsia="Arial" w:hAnsi="Arial" w:cs="Arial"/>
          <w:bCs/>
          <w:color w:val="000000"/>
        </w:rPr>
        <w:t>, but these are not expected to have a material impact on the disposal of City Road / Bath Street</w:t>
      </w:r>
      <w:r w:rsidRPr="00531AD6">
        <w:rPr>
          <w:rFonts w:ascii="Arial" w:eastAsia="Arial" w:hAnsi="Arial" w:cs="Arial"/>
          <w:bCs/>
          <w:color w:val="000000"/>
        </w:rPr>
        <w:t>.</w:t>
      </w:r>
    </w:p>
    <w:p w14:paraId="2EC36B92" w14:textId="77777777" w:rsidR="000D05E5" w:rsidRDefault="000D05E5" w:rsidP="000D05E5">
      <w:pPr>
        <w:tabs>
          <w:tab w:val="left" w:pos="567"/>
        </w:tabs>
        <w:spacing w:after="0"/>
        <w:rPr>
          <w:rFonts w:ascii="Arial" w:eastAsia="Arial" w:hAnsi="Arial" w:cs="Arial"/>
          <w:bCs/>
          <w:color w:val="000000"/>
          <w:highlight w:val="yellow"/>
        </w:rPr>
      </w:pPr>
    </w:p>
    <w:p w14:paraId="1A029D41" w14:textId="77777777" w:rsidR="000D05E5" w:rsidRPr="000D05E5" w:rsidRDefault="000D05E5" w:rsidP="005E0D57">
      <w:pPr>
        <w:pStyle w:val="Heading2"/>
        <w:numPr>
          <w:ilvl w:val="2"/>
          <w:numId w:val="39"/>
        </w:numPr>
        <w:spacing w:after="240"/>
        <w:rPr>
          <w:rFonts w:ascii="Arial" w:eastAsia="Arial" w:hAnsi="Arial" w:cs="Arial"/>
          <w:sz w:val="22"/>
          <w:szCs w:val="22"/>
        </w:rPr>
      </w:pPr>
      <w:bookmarkStart w:id="473" w:name="_Toc27746751"/>
      <w:bookmarkStart w:id="474" w:name="_Toc30168807"/>
      <w:bookmarkStart w:id="475" w:name="_Toc30670756"/>
      <w:bookmarkStart w:id="476" w:name="_Toc32842775"/>
      <w:r w:rsidRPr="000D05E5">
        <w:rPr>
          <w:rFonts w:ascii="Arial" w:eastAsia="Arial" w:hAnsi="Arial" w:cs="Arial"/>
          <w:sz w:val="22"/>
          <w:szCs w:val="22"/>
        </w:rPr>
        <w:t>Next steps</w:t>
      </w:r>
      <w:bookmarkEnd w:id="473"/>
      <w:bookmarkEnd w:id="474"/>
      <w:bookmarkEnd w:id="475"/>
      <w:bookmarkEnd w:id="476"/>
    </w:p>
    <w:p w14:paraId="71577896" w14:textId="77777777" w:rsidR="000D05E5" w:rsidRDefault="000D05E5" w:rsidP="000D05E5">
      <w:pPr>
        <w:tabs>
          <w:tab w:val="left" w:pos="567"/>
        </w:tabs>
        <w:spacing w:after="0"/>
        <w:rPr>
          <w:rFonts w:ascii="Arial" w:eastAsia="Arial" w:hAnsi="Arial" w:cs="Arial"/>
          <w:bCs/>
          <w:color w:val="000000"/>
        </w:rPr>
      </w:pPr>
      <w:r w:rsidRPr="00531AD6">
        <w:rPr>
          <w:rFonts w:ascii="Arial" w:eastAsia="Arial" w:hAnsi="Arial" w:cs="Arial"/>
          <w:bCs/>
          <w:color w:val="000000"/>
        </w:rPr>
        <w:t xml:space="preserve">The principal steps of the disposal process </w:t>
      </w:r>
      <w:r>
        <w:rPr>
          <w:rFonts w:ascii="Arial" w:eastAsia="Arial" w:hAnsi="Arial" w:cs="Arial"/>
          <w:bCs/>
          <w:color w:val="000000"/>
        </w:rPr>
        <w:t>will</w:t>
      </w:r>
      <w:r w:rsidRPr="00531AD6">
        <w:rPr>
          <w:rFonts w:ascii="Arial" w:eastAsia="Arial" w:hAnsi="Arial" w:cs="Arial"/>
          <w:bCs/>
          <w:color w:val="000000"/>
        </w:rPr>
        <w:t xml:space="preserve"> be as follows</w:t>
      </w:r>
      <w:r>
        <w:rPr>
          <w:rFonts w:ascii="Arial" w:eastAsia="Arial" w:hAnsi="Arial" w:cs="Arial"/>
          <w:bCs/>
          <w:color w:val="000000"/>
        </w:rPr>
        <w:t>:</w:t>
      </w:r>
    </w:p>
    <w:p w14:paraId="43BA189D" w14:textId="77777777" w:rsidR="000D05E5" w:rsidRDefault="000D05E5" w:rsidP="000D05E5">
      <w:pPr>
        <w:tabs>
          <w:tab w:val="left" w:pos="567"/>
        </w:tabs>
        <w:spacing w:after="0"/>
        <w:rPr>
          <w:rFonts w:ascii="Arial" w:eastAsia="Arial" w:hAnsi="Arial" w:cs="Arial"/>
          <w:bCs/>
          <w:color w:val="000000"/>
        </w:rPr>
      </w:pPr>
    </w:p>
    <w:p w14:paraId="554F1E45" w14:textId="77777777" w:rsidR="000D05E5" w:rsidRPr="003E63DF" w:rsidRDefault="000D05E5" w:rsidP="005E0D57">
      <w:pPr>
        <w:pStyle w:val="ListParagraph"/>
        <w:numPr>
          <w:ilvl w:val="0"/>
          <w:numId w:val="73"/>
        </w:numPr>
        <w:tabs>
          <w:tab w:val="left" w:pos="709"/>
        </w:tabs>
        <w:spacing w:after="0"/>
        <w:rPr>
          <w:rFonts w:ascii="Arial" w:eastAsia="Arial" w:hAnsi="Arial" w:cs="Arial"/>
          <w:b/>
          <w:color w:val="000000"/>
        </w:rPr>
      </w:pPr>
      <w:r w:rsidRPr="003E63DF">
        <w:rPr>
          <w:rFonts w:ascii="Arial" w:eastAsia="Arial" w:hAnsi="Arial" w:cs="Arial"/>
          <w:b/>
          <w:color w:val="000000"/>
        </w:rPr>
        <w:t>Pre-marketing due diligence and sale preparatio</w:t>
      </w:r>
      <w:r>
        <w:rPr>
          <w:rFonts w:ascii="Arial" w:eastAsia="Arial" w:hAnsi="Arial" w:cs="Arial"/>
          <w:b/>
          <w:color w:val="000000"/>
        </w:rPr>
        <w:t>n</w:t>
      </w:r>
      <w:r>
        <w:rPr>
          <w:rFonts w:ascii="Arial" w:eastAsia="Arial" w:hAnsi="Arial" w:cs="Arial"/>
          <w:bCs/>
          <w:color w:val="000000"/>
        </w:rPr>
        <w:t>. L</w:t>
      </w:r>
      <w:r w:rsidRPr="003E63DF">
        <w:rPr>
          <w:rFonts w:ascii="Arial" w:eastAsia="Arial" w:hAnsi="Arial" w:cs="Arial"/>
          <w:bCs/>
          <w:color w:val="000000"/>
        </w:rPr>
        <w:t>egal due diligence has been commenced and no significant title, tenure or existing</w:t>
      </w:r>
      <w:r>
        <w:rPr>
          <w:rFonts w:ascii="Arial" w:eastAsia="Arial" w:hAnsi="Arial" w:cs="Arial"/>
          <w:bCs/>
          <w:color w:val="000000"/>
        </w:rPr>
        <w:t xml:space="preserve"> </w:t>
      </w:r>
      <w:r w:rsidRPr="003E63DF">
        <w:rPr>
          <w:rFonts w:ascii="Arial" w:eastAsia="Arial" w:hAnsi="Arial" w:cs="Arial"/>
          <w:bCs/>
          <w:color w:val="000000"/>
        </w:rPr>
        <w:t>tenancy positions have been found to date that would impede the overall program</w:t>
      </w:r>
      <w:r>
        <w:rPr>
          <w:rFonts w:ascii="Arial" w:eastAsia="Arial" w:hAnsi="Arial" w:cs="Arial"/>
          <w:bCs/>
          <w:color w:val="000000"/>
        </w:rPr>
        <w:t>. This period will involve finalising due diligence and preparing marketing materials.</w:t>
      </w:r>
    </w:p>
    <w:p w14:paraId="574911BC" w14:textId="77777777" w:rsidR="000D05E5" w:rsidRPr="008C43DB" w:rsidRDefault="000D05E5" w:rsidP="005E0D57">
      <w:pPr>
        <w:pStyle w:val="ListParagraph"/>
        <w:numPr>
          <w:ilvl w:val="0"/>
          <w:numId w:val="73"/>
        </w:numPr>
        <w:tabs>
          <w:tab w:val="left" w:pos="709"/>
        </w:tabs>
        <w:spacing w:after="0"/>
        <w:rPr>
          <w:rFonts w:ascii="Arial" w:eastAsia="Arial" w:hAnsi="Arial" w:cs="Arial"/>
          <w:b/>
          <w:color w:val="000000"/>
        </w:rPr>
      </w:pPr>
      <w:r w:rsidRPr="003E63DF">
        <w:rPr>
          <w:rFonts w:ascii="Arial" w:eastAsia="Arial" w:hAnsi="Arial" w:cs="Arial"/>
          <w:b/>
          <w:color w:val="000000"/>
        </w:rPr>
        <w:t>Marketing period</w:t>
      </w:r>
      <w:r>
        <w:rPr>
          <w:rFonts w:ascii="Arial" w:eastAsia="Arial" w:hAnsi="Arial" w:cs="Arial"/>
          <w:bCs/>
          <w:color w:val="000000"/>
        </w:rPr>
        <w:t>. This will include a number of stages including at least 2 rounds of bidding to maximise competition</w:t>
      </w:r>
    </w:p>
    <w:p w14:paraId="293A3CE1" w14:textId="77777777" w:rsidR="000D05E5" w:rsidRPr="008C43DB" w:rsidRDefault="000D05E5" w:rsidP="005E0D57">
      <w:pPr>
        <w:pStyle w:val="ListParagraph"/>
        <w:numPr>
          <w:ilvl w:val="0"/>
          <w:numId w:val="73"/>
        </w:numPr>
        <w:tabs>
          <w:tab w:val="left" w:pos="709"/>
        </w:tabs>
        <w:spacing w:after="0"/>
        <w:rPr>
          <w:rFonts w:ascii="Arial" w:eastAsia="Arial" w:hAnsi="Arial" w:cs="Arial"/>
          <w:b/>
          <w:color w:val="000000"/>
        </w:rPr>
      </w:pPr>
      <w:r>
        <w:rPr>
          <w:rFonts w:ascii="Arial" w:eastAsia="Arial" w:hAnsi="Arial" w:cs="Arial"/>
          <w:b/>
          <w:color w:val="000000"/>
        </w:rPr>
        <w:t>Selection of preferred bidder</w:t>
      </w:r>
      <w:r>
        <w:rPr>
          <w:rFonts w:ascii="Arial" w:eastAsia="Arial" w:hAnsi="Arial" w:cs="Arial"/>
          <w:bCs/>
          <w:color w:val="000000"/>
        </w:rPr>
        <w:t>.</w:t>
      </w:r>
    </w:p>
    <w:p w14:paraId="3A3E4693" w14:textId="77777777" w:rsidR="000D05E5" w:rsidRPr="008C43DB" w:rsidRDefault="000D05E5" w:rsidP="005E0D57">
      <w:pPr>
        <w:pStyle w:val="ListParagraph"/>
        <w:numPr>
          <w:ilvl w:val="0"/>
          <w:numId w:val="73"/>
        </w:numPr>
        <w:tabs>
          <w:tab w:val="left" w:pos="709"/>
        </w:tabs>
        <w:spacing w:after="0"/>
        <w:rPr>
          <w:rFonts w:ascii="Arial" w:eastAsia="Arial" w:hAnsi="Arial" w:cs="Arial"/>
          <w:b/>
          <w:color w:val="000000"/>
        </w:rPr>
      </w:pPr>
      <w:r>
        <w:rPr>
          <w:rFonts w:ascii="Arial" w:eastAsia="Arial" w:hAnsi="Arial" w:cs="Arial"/>
          <w:b/>
          <w:color w:val="000000"/>
        </w:rPr>
        <w:t>Planning period</w:t>
      </w:r>
      <w:r>
        <w:rPr>
          <w:rFonts w:ascii="Arial" w:eastAsia="Arial" w:hAnsi="Arial" w:cs="Arial"/>
          <w:bCs/>
          <w:color w:val="000000"/>
        </w:rPr>
        <w:t xml:space="preserve"> – following exchange of conditional contracts, the partners will work with the preferred bidder to secure a favourable planning consent.</w:t>
      </w:r>
    </w:p>
    <w:p w14:paraId="02265025" w14:textId="77777777" w:rsidR="000D05E5" w:rsidRDefault="000D05E5" w:rsidP="000D05E5">
      <w:pPr>
        <w:tabs>
          <w:tab w:val="left" w:pos="709"/>
        </w:tabs>
        <w:spacing w:after="0"/>
        <w:rPr>
          <w:rFonts w:ascii="Arial" w:eastAsia="Arial" w:hAnsi="Arial" w:cs="Arial"/>
          <w:b/>
          <w:color w:val="000000"/>
        </w:rPr>
      </w:pPr>
    </w:p>
    <w:p w14:paraId="12DD4DA5" w14:textId="44DBFED8" w:rsidR="000D05E5" w:rsidRPr="008C43DB" w:rsidRDefault="000D05E5" w:rsidP="000D05E5">
      <w:pPr>
        <w:tabs>
          <w:tab w:val="left" w:pos="709"/>
        </w:tabs>
        <w:spacing w:after="0"/>
        <w:rPr>
          <w:rFonts w:ascii="Arial" w:eastAsia="Arial" w:hAnsi="Arial" w:cs="Arial"/>
          <w:bCs/>
          <w:color w:val="000000"/>
        </w:rPr>
      </w:pPr>
      <w:r>
        <w:rPr>
          <w:rFonts w:ascii="Arial" w:eastAsia="Arial" w:hAnsi="Arial" w:cs="Arial"/>
          <w:bCs/>
          <w:color w:val="000000"/>
        </w:rPr>
        <w:t xml:space="preserve">These stages are shown in </w:t>
      </w:r>
      <w:r w:rsidR="00FF6E56">
        <w:rPr>
          <w:rFonts w:ascii="Arial" w:eastAsia="Arial" w:hAnsi="Arial" w:cs="Arial"/>
          <w:bCs/>
          <w:color w:val="000000"/>
        </w:rPr>
        <w:t xml:space="preserve">the overall project </w:t>
      </w:r>
      <w:r>
        <w:rPr>
          <w:rFonts w:ascii="Arial" w:eastAsia="Arial" w:hAnsi="Arial" w:cs="Arial"/>
          <w:bCs/>
          <w:color w:val="000000"/>
        </w:rPr>
        <w:t xml:space="preserve">programme in </w:t>
      </w:r>
      <w:r w:rsidR="00FF6E56">
        <w:rPr>
          <w:rFonts w:ascii="Arial" w:eastAsia="Arial" w:hAnsi="Arial" w:cs="Arial"/>
          <w:bCs/>
          <w:color w:val="000000"/>
        </w:rPr>
        <w:t>Appendix</w:t>
      </w:r>
      <w:r>
        <w:rPr>
          <w:rFonts w:ascii="Arial" w:eastAsia="Arial" w:hAnsi="Arial" w:cs="Arial"/>
          <w:bCs/>
          <w:color w:val="000000"/>
        </w:rPr>
        <w:t xml:space="preserve"> </w:t>
      </w:r>
      <w:r w:rsidR="00987E00">
        <w:rPr>
          <w:rFonts w:ascii="Arial" w:eastAsia="Arial" w:hAnsi="Arial" w:cs="Arial"/>
          <w:bCs/>
          <w:color w:val="000000"/>
        </w:rPr>
        <w:t>8C</w:t>
      </w:r>
      <w:r>
        <w:rPr>
          <w:rFonts w:ascii="Arial" w:eastAsia="Arial" w:hAnsi="Arial" w:cs="Arial"/>
          <w:bCs/>
          <w:color w:val="000000"/>
        </w:rPr>
        <w:t>.</w:t>
      </w:r>
    </w:p>
    <w:p w14:paraId="4EF8813E" w14:textId="77777777" w:rsidR="000D05E5" w:rsidRDefault="000D05E5" w:rsidP="000D05E5">
      <w:pPr>
        <w:tabs>
          <w:tab w:val="left" w:pos="567"/>
        </w:tabs>
        <w:spacing w:after="0"/>
        <w:rPr>
          <w:rFonts w:ascii="Arial" w:eastAsia="Arial" w:hAnsi="Arial" w:cs="Arial"/>
          <w:bCs/>
          <w:color w:val="000000"/>
          <w:highlight w:val="yellow"/>
        </w:rPr>
      </w:pPr>
    </w:p>
    <w:p w14:paraId="2E831140" w14:textId="77777777" w:rsidR="000D05E5" w:rsidRDefault="000D05E5" w:rsidP="005E0D57">
      <w:pPr>
        <w:pStyle w:val="Heading2"/>
        <w:numPr>
          <w:ilvl w:val="1"/>
          <w:numId w:val="39"/>
        </w:numPr>
        <w:rPr>
          <w:rFonts w:ascii="Arial" w:eastAsia="Arial" w:hAnsi="Arial" w:cs="Arial"/>
        </w:rPr>
      </w:pPr>
      <w:bookmarkStart w:id="477" w:name="_Toc26430025"/>
      <w:bookmarkStart w:id="478" w:name="_Toc32842776"/>
      <w:r>
        <w:rPr>
          <w:rFonts w:ascii="Arial" w:eastAsia="Arial" w:hAnsi="Arial" w:cs="Arial"/>
        </w:rPr>
        <w:t>Commitment to Government Construction Strategy and Construction 2025</w:t>
      </w:r>
      <w:bookmarkEnd w:id="477"/>
      <w:bookmarkEnd w:id="478"/>
    </w:p>
    <w:p w14:paraId="75398309" w14:textId="77777777" w:rsidR="000D05E5" w:rsidRDefault="000D05E5" w:rsidP="000D05E5">
      <w:pPr>
        <w:tabs>
          <w:tab w:val="left" w:pos="567"/>
        </w:tabs>
        <w:spacing w:after="0"/>
        <w:rPr>
          <w:rFonts w:ascii="Arial" w:eastAsia="Arial" w:hAnsi="Arial" w:cs="Arial"/>
          <w:bCs/>
          <w:color w:val="000000"/>
          <w:highlight w:val="yellow"/>
        </w:rPr>
      </w:pPr>
    </w:p>
    <w:p w14:paraId="3A64F8B7" w14:textId="77777777" w:rsidR="000D05E5" w:rsidRDefault="000D05E5" w:rsidP="000D05E5">
      <w:pPr>
        <w:tabs>
          <w:tab w:val="left" w:pos="709"/>
        </w:tabs>
        <w:spacing w:after="0"/>
        <w:rPr>
          <w:rFonts w:ascii="Arial" w:eastAsia="Arial" w:hAnsi="Arial" w:cs="Arial"/>
          <w:bCs/>
          <w:color w:val="000000"/>
        </w:rPr>
      </w:pPr>
      <w:r w:rsidRPr="006313D6">
        <w:rPr>
          <w:rFonts w:ascii="Arial" w:eastAsia="Arial" w:hAnsi="Arial" w:cs="Arial"/>
          <w:bCs/>
          <w:color w:val="000000"/>
        </w:rPr>
        <w:t xml:space="preserve">The aim of </w:t>
      </w:r>
      <w:r>
        <w:rPr>
          <w:rFonts w:ascii="Arial" w:eastAsia="Arial" w:hAnsi="Arial" w:cs="Arial"/>
          <w:bCs/>
          <w:color w:val="000000"/>
        </w:rPr>
        <w:t>the</w:t>
      </w:r>
      <w:r w:rsidRPr="006313D6">
        <w:rPr>
          <w:rFonts w:ascii="Arial" w:eastAsia="Arial" w:hAnsi="Arial" w:cs="Arial"/>
          <w:bCs/>
          <w:color w:val="000000"/>
        </w:rPr>
        <w:t xml:space="preserve"> Government </w:t>
      </w:r>
      <w:r>
        <w:rPr>
          <w:rFonts w:ascii="Arial" w:eastAsia="Arial" w:hAnsi="Arial" w:cs="Arial"/>
          <w:bCs/>
          <w:color w:val="000000"/>
        </w:rPr>
        <w:t xml:space="preserve">Construction </w:t>
      </w:r>
      <w:r w:rsidRPr="006313D6">
        <w:rPr>
          <w:rFonts w:ascii="Arial" w:eastAsia="Arial" w:hAnsi="Arial" w:cs="Arial"/>
          <w:bCs/>
          <w:color w:val="000000"/>
        </w:rPr>
        <w:t xml:space="preserve">Strategy, launched in 2011, has been to </w:t>
      </w:r>
      <w:r w:rsidRPr="006313D6">
        <w:rPr>
          <w:rFonts w:ascii="Arial" w:eastAsia="Arial" w:hAnsi="Arial" w:cs="Arial"/>
          <w:bCs/>
          <w:i/>
          <w:iCs/>
          <w:color w:val="000000"/>
        </w:rPr>
        <w:t>“reform industry practice, reduce waste and drive better value from its procurement of construction”</w:t>
      </w:r>
      <w:r w:rsidRPr="006313D6">
        <w:rPr>
          <w:rFonts w:ascii="Arial" w:eastAsia="Arial" w:hAnsi="Arial" w:cs="Arial"/>
          <w:bCs/>
          <w:color w:val="000000"/>
        </w:rPr>
        <w:t>. Through the</w:t>
      </w:r>
      <w:r>
        <w:rPr>
          <w:rFonts w:ascii="Arial" w:eastAsia="Arial" w:hAnsi="Arial" w:cs="Arial"/>
          <w:bCs/>
          <w:color w:val="000000"/>
        </w:rPr>
        <w:t xml:space="preserve"> </w:t>
      </w:r>
      <w:r w:rsidRPr="006313D6">
        <w:rPr>
          <w:rFonts w:ascii="Arial" w:eastAsia="Arial" w:hAnsi="Arial" w:cs="Arial"/>
          <w:bCs/>
          <w:color w:val="000000"/>
        </w:rPr>
        <w:t xml:space="preserve">implementation of this reform, specific targets have been set with an overall aim </w:t>
      </w:r>
      <w:r w:rsidRPr="006313D6">
        <w:rPr>
          <w:rFonts w:ascii="Arial" w:eastAsia="Arial" w:hAnsi="Arial" w:cs="Arial"/>
          <w:bCs/>
          <w:i/>
          <w:iCs/>
          <w:color w:val="000000"/>
        </w:rPr>
        <w:t>“to reduce costs of Government construction projects by 15-20%”</w:t>
      </w:r>
      <w:r w:rsidRPr="006313D6">
        <w:rPr>
          <w:rFonts w:ascii="Arial" w:eastAsia="Arial" w:hAnsi="Arial" w:cs="Arial"/>
          <w:bCs/>
          <w:color w:val="000000"/>
        </w:rPr>
        <w:t>.</w:t>
      </w:r>
    </w:p>
    <w:p w14:paraId="4EA6557A" w14:textId="77777777" w:rsidR="000D05E5" w:rsidRDefault="000D05E5" w:rsidP="000D05E5">
      <w:pPr>
        <w:tabs>
          <w:tab w:val="left" w:pos="709"/>
        </w:tabs>
        <w:spacing w:after="0"/>
        <w:rPr>
          <w:rFonts w:ascii="Arial" w:eastAsia="Arial" w:hAnsi="Arial" w:cs="Arial"/>
          <w:bCs/>
          <w:color w:val="000000"/>
        </w:rPr>
      </w:pPr>
    </w:p>
    <w:p w14:paraId="5E2A10B8" w14:textId="77777777" w:rsidR="000D05E5" w:rsidRDefault="000D05E5" w:rsidP="000D05E5">
      <w:pPr>
        <w:tabs>
          <w:tab w:val="left" w:pos="709"/>
        </w:tabs>
        <w:spacing w:after="0"/>
        <w:rPr>
          <w:rFonts w:ascii="Arial" w:eastAsia="Arial" w:hAnsi="Arial" w:cs="Arial"/>
          <w:bCs/>
          <w:color w:val="000000"/>
        </w:rPr>
      </w:pPr>
      <w:r>
        <w:rPr>
          <w:rFonts w:ascii="Arial" w:eastAsia="Arial" w:hAnsi="Arial" w:cs="Arial"/>
          <w:bCs/>
          <w:color w:val="000000"/>
        </w:rPr>
        <w:t xml:space="preserve">The UK Construction 2025 strategy, launched in 2013, </w:t>
      </w:r>
      <w:r>
        <w:rPr>
          <w:rFonts w:ascii="Arial" w:hAnsi="Arial" w:cs="Arial"/>
        </w:rPr>
        <w:t>set out four goals that it sought to achieve by 2025 by working in partnership with the construction industry and government jointly. These are to reduce cost, time, greenhouse gas emissions and the trade gap in both upfront construction of built assets, and throughout their lifecycle.</w:t>
      </w:r>
    </w:p>
    <w:p w14:paraId="0ED05629" w14:textId="77777777" w:rsidR="000D05E5" w:rsidRDefault="000D05E5" w:rsidP="000D05E5">
      <w:pPr>
        <w:tabs>
          <w:tab w:val="left" w:pos="709"/>
        </w:tabs>
        <w:spacing w:after="0"/>
        <w:rPr>
          <w:rFonts w:ascii="Arial" w:eastAsia="Arial" w:hAnsi="Arial" w:cs="Arial"/>
          <w:bCs/>
          <w:color w:val="000000"/>
        </w:rPr>
      </w:pPr>
    </w:p>
    <w:p w14:paraId="69862B46" w14:textId="77777777" w:rsidR="000D05E5" w:rsidRPr="006313D6" w:rsidRDefault="000D05E5" w:rsidP="000D05E5">
      <w:pPr>
        <w:tabs>
          <w:tab w:val="left" w:pos="709"/>
        </w:tabs>
        <w:spacing w:after="0"/>
        <w:rPr>
          <w:rFonts w:ascii="Arial" w:eastAsia="Arial" w:hAnsi="Arial" w:cs="Arial"/>
          <w:bCs/>
          <w:color w:val="000000"/>
        </w:rPr>
      </w:pPr>
      <w:r>
        <w:rPr>
          <w:rFonts w:ascii="Arial" w:eastAsia="Arial" w:hAnsi="Arial" w:cs="Arial"/>
          <w:bCs/>
          <w:color w:val="000000"/>
        </w:rPr>
        <w:t>The Oriel partners</w:t>
      </w:r>
      <w:r w:rsidRPr="006313D6">
        <w:rPr>
          <w:rFonts w:ascii="Arial" w:eastAsia="Arial" w:hAnsi="Arial" w:cs="Arial"/>
          <w:bCs/>
          <w:color w:val="000000"/>
        </w:rPr>
        <w:t xml:space="preserve"> are committed to supporting</w:t>
      </w:r>
      <w:r>
        <w:rPr>
          <w:rFonts w:ascii="Arial" w:eastAsia="Arial" w:hAnsi="Arial" w:cs="Arial"/>
          <w:bCs/>
          <w:color w:val="000000"/>
        </w:rPr>
        <w:t xml:space="preserve"> these strategies in the following ways</w:t>
      </w:r>
      <w:r w:rsidRPr="006313D6">
        <w:rPr>
          <w:rFonts w:ascii="Arial" w:eastAsia="Arial" w:hAnsi="Arial" w:cs="Arial"/>
          <w:bCs/>
          <w:color w:val="000000"/>
        </w:rPr>
        <w:t>.</w:t>
      </w:r>
    </w:p>
    <w:p w14:paraId="5B37081A" w14:textId="77777777" w:rsidR="000D05E5" w:rsidRDefault="000D05E5" w:rsidP="000D05E5">
      <w:pPr>
        <w:tabs>
          <w:tab w:val="left" w:pos="709"/>
        </w:tabs>
        <w:spacing w:after="0"/>
        <w:rPr>
          <w:rFonts w:ascii="Arial" w:eastAsia="Arial" w:hAnsi="Arial" w:cs="Arial"/>
          <w:bCs/>
          <w:color w:val="000000"/>
        </w:rPr>
      </w:pPr>
    </w:p>
    <w:p w14:paraId="693EA7F5" w14:textId="77777777" w:rsidR="000D05E5" w:rsidRPr="006313D6" w:rsidRDefault="000D05E5" w:rsidP="000D05E5">
      <w:pPr>
        <w:tabs>
          <w:tab w:val="left" w:pos="709"/>
        </w:tabs>
        <w:spacing w:after="0"/>
        <w:rPr>
          <w:rFonts w:ascii="Arial" w:eastAsia="Arial" w:hAnsi="Arial" w:cs="Arial"/>
          <w:bCs/>
          <w:color w:val="000000"/>
        </w:rPr>
      </w:pPr>
      <w:r w:rsidRPr="006313D6">
        <w:rPr>
          <w:rFonts w:ascii="Arial" w:eastAsia="Arial" w:hAnsi="Arial" w:cs="Arial"/>
          <w:b/>
          <w:color w:val="000000"/>
        </w:rPr>
        <w:t>Cost Reduction</w:t>
      </w:r>
    </w:p>
    <w:p w14:paraId="23BE4C08" w14:textId="77777777" w:rsidR="000D05E5" w:rsidRPr="006313D6" w:rsidRDefault="000D05E5" w:rsidP="000D05E5">
      <w:pPr>
        <w:tabs>
          <w:tab w:val="left" w:pos="709"/>
        </w:tabs>
        <w:spacing w:after="0"/>
        <w:rPr>
          <w:rFonts w:ascii="Arial" w:eastAsia="Arial" w:hAnsi="Arial" w:cs="Arial"/>
          <w:bCs/>
          <w:color w:val="000000"/>
        </w:rPr>
      </w:pPr>
      <w:r w:rsidRPr="006313D6">
        <w:rPr>
          <w:rFonts w:ascii="Arial" w:eastAsia="Arial" w:hAnsi="Arial" w:cs="Arial"/>
          <w:bCs/>
          <w:color w:val="000000"/>
        </w:rPr>
        <w:t xml:space="preserve">Items identified below illustrate some examples of </w:t>
      </w:r>
      <w:r>
        <w:rPr>
          <w:rFonts w:ascii="Arial" w:eastAsia="Arial" w:hAnsi="Arial" w:cs="Arial"/>
          <w:bCs/>
          <w:color w:val="000000"/>
        </w:rPr>
        <w:t>the</w:t>
      </w:r>
      <w:r w:rsidRPr="006313D6">
        <w:rPr>
          <w:rFonts w:ascii="Arial" w:eastAsia="Arial" w:hAnsi="Arial" w:cs="Arial"/>
          <w:bCs/>
          <w:color w:val="000000"/>
        </w:rPr>
        <w:t xml:space="preserve"> strategies </w:t>
      </w:r>
      <w:r>
        <w:rPr>
          <w:rFonts w:ascii="Arial" w:eastAsia="Arial" w:hAnsi="Arial" w:cs="Arial"/>
          <w:bCs/>
          <w:color w:val="000000"/>
        </w:rPr>
        <w:t>to</w:t>
      </w:r>
      <w:r w:rsidRPr="006313D6">
        <w:rPr>
          <w:rFonts w:ascii="Arial" w:eastAsia="Arial" w:hAnsi="Arial" w:cs="Arial"/>
          <w:bCs/>
          <w:color w:val="000000"/>
        </w:rPr>
        <w:t xml:space="preserve"> target cost reductions</w:t>
      </w:r>
      <w:r>
        <w:rPr>
          <w:rFonts w:ascii="Arial" w:eastAsia="Arial" w:hAnsi="Arial" w:cs="Arial"/>
          <w:bCs/>
          <w:color w:val="000000"/>
        </w:rPr>
        <w:t>:</w:t>
      </w:r>
    </w:p>
    <w:p w14:paraId="56778335" w14:textId="77777777" w:rsidR="000D05E5" w:rsidRPr="006313D6" w:rsidRDefault="000D05E5" w:rsidP="005E0D57">
      <w:pPr>
        <w:pStyle w:val="ListParagraph"/>
        <w:numPr>
          <w:ilvl w:val="0"/>
          <w:numId w:val="74"/>
        </w:numPr>
        <w:tabs>
          <w:tab w:val="left" w:pos="709"/>
        </w:tabs>
        <w:spacing w:after="0"/>
        <w:rPr>
          <w:rFonts w:ascii="Arial" w:eastAsia="Arial" w:hAnsi="Arial" w:cs="Arial"/>
          <w:bCs/>
          <w:color w:val="000000"/>
        </w:rPr>
      </w:pPr>
      <w:r w:rsidRPr="006313D6">
        <w:rPr>
          <w:rFonts w:ascii="Arial" w:eastAsia="Arial" w:hAnsi="Arial" w:cs="Arial"/>
          <w:bCs/>
          <w:color w:val="000000"/>
        </w:rPr>
        <w:t>Design Team: A multi-disciplinary team has been selected through a competitive OJEU</w:t>
      </w:r>
      <w:r>
        <w:rPr>
          <w:rFonts w:ascii="Arial" w:eastAsia="Arial" w:hAnsi="Arial" w:cs="Arial"/>
          <w:bCs/>
          <w:color w:val="000000"/>
        </w:rPr>
        <w:t xml:space="preserve"> </w:t>
      </w:r>
      <w:r w:rsidRPr="006313D6">
        <w:rPr>
          <w:rFonts w:ascii="Arial" w:eastAsia="Arial" w:hAnsi="Arial" w:cs="Arial"/>
          <w:bCs/>
          <w:color w:val="000000"/>
        </w:rPr>
        <w:t>consultant tender with commercial (and quality) a scored component.</w:t>
      </w:r>
    </w:p>
    <w:p w14:paraId="41F159DA" w14:textId="77777777" w:rsidR="000D05E5" w:rsidRPr="006313D6" w:rsidRDefault="000D05E5" w:rsidP="005E0D57">
      <w:pPr>
        <w:pStyle w:val="ListParagraph"/>
        <w:numPr>
          <w:ilvl w:val="0"/>
          <w:numId w:val="74"/>
        </w:numPr>
        <w:tabs>
          <w:tab w:val="left" w:pos="709"/>
        </w:tabs>
        <w:spacing w:after="0"/>
        <w:rPr>
          <w:rFonts w:ascii="Arial" w:eastAsia="Arial" w:hAnsi="Arial" w:cs="Arial"/>
          <w:bCs/>
          <w:color w:val="000000"/>
        </w:rPr>
      </w:pPr>
      <w:r w:rsidRPr="006313D6">
        <w:rPr>
          <w:rFonts w:ascii="Arial" w:eastAsia="Arial" w:hAnsi="Arial" w:cs="Arial"/>
          <w:bCs/>
          <w:color w:val="000000"/>
        </w:rPr>
        <w:t>PM &amp; QS Appointments: A mini competition process was run through the NHS SBS Consultant Framework, again with commercial (and quality) a scored component.</w:t>
      </w:r>
    </w:p>
    <w:p w14:paraId="6310D29D" w14:textId="77777777" w:rsidR="000D05E5" w:rsidRPr="006313D6" w:rsidRDefault="000D05E5" w:rsidP="005E0D57">
      <w:pPr>
        <w:pStyle w:val="ListParagraph"/>
        <w:numPr>
          <w:ilvl w:val="0"/>
          <w:numId w:val="74"/>
        </w:numPr>
        <w:tabs>
          <w:tab w:val="left" w:pos="709"/>
        </w:tabs>
        <w:spacing w:after="0"/>
        <w:rPr>
          <w:rFonts w:ascii="Arial" w:eastAsia="Arial" w:hAnsi="Arial" w:cs="Arial"/>
          <w:bCs/>
          <w:color w:val="000000"/>
        </w:rPr>
      </w:pPr>
      <w:r w:rsidRPr="006313D6">
        <w:rPr>
          <w:rFonts w:ascii="Arial" w:eastAsia="Arial" w:hAnsi="Arial" w:cs="Arial"/>
          <w:bCs/>
          <w:color w:val="000000"/>
        </w:rPr>
        <w:t xml:space="preserve">Existing Agreements: Although the project is not planned to be procured through the </w:t>
      </w:r>
      <w:r>
        <w:rPr>
          <w:rFonts w:ascii="Arial" w:eastAsia="Arial" w:hAnsi="Arial" w:cs="Arial"/>
          <w:bCs/>
          <w:color w:val="000000"/>
        </w:rPr>
        <w:t>P2020</w:t>
      </w:r>
      <w:r w:rsidRPr="006313D6">
        <w:rPr>
          <w:rFonts w:ascii="Arial" w:eastAsia="Arial" w:hAnsi="Arial" w:cs="Arial"/>
          <w:bCs/>
          <w:color w:val="000000"/>
        </w:rPr>
        <w:t xml:space="preserve"> Framework, the project can still benefit from main contractors accessing the Standard Component Agreement and/or to challenge any</w:t>
      </w:r>
      <w:r>
        <w:rPr>
          <w:rFonts w:ascii="Arial" w:eastAsia="Arial" w:hAnsi="Arial" w:cs="Arial"/>
          <w:bCs/>
          <w:color w:val="000000"/>
        </w:rPr>
        <w:t xml:space="preserve"> </w:t>
      </w:r>
      <w:r w:rsidRPr="006313D6">
        <w:rPr>
          <w:rFonts w:ascii="Arial" w:eastAsia="Arial" w:hAnsi="Arial" w:cs="Arial"/>
          <w:bCs/>
          <w:color w:val="000000"/>
        </w:rPr>
        <w:t>identified potential suppliers to match such agreements.</w:t>
      </w:r>
    </w:p>
    <w:p w14:paraId="176CC9BF" w14:textId="77777777" w:rsidR="000D05E5" w:rsidRPr="006313D6" w:rsidRDefault="000D05E5" w:rsidP="005E0D57">
      <w:pPr>
        <w:pStyle w:val="ListParagraph"/>
        <w:numPr>
          <w:ilvl w:val="0"/>
          <w:numId w:val="74"/>
        </w:numPr>
        <w:tabs>
          <w:tab w:val="left" w:pos="709"/>
        </w:tabs>
        <w:spacing w:after="0"/>
        <w:rPr>
          <w:rFonts w:ascii="Arial" w:eastAsia="Arial" w:hAnsi="Arial" w:cs="Arial"/>
          <w:bCs/>
          <w:color w:val="000000"/>
        </w:rPr>
      </w:pPr>
      <w:r w:rsidRPr="006313D6">
        <w:rPr>
          <w:rFonts w:ascii="Arial" w:eastAsia="Arial" w:hAnsi="Arial" w:cs="Arial"/>
          <w:bCs/>
          <w:color w:val="000000"/>
        </w:rPr>
        <w:lastRenderedPageBreak/>
        <w:t>FF&amp;E: The partners will continue to evaluate the strategy for re-use and transfer of existing</w:t>
      </w:r>
      <w:r>
        <w:rPr>
          <w:rFonts w:ascii="Arial" w:eastAsia="Arial" w:hAnsi="Arial" w:cs="Arial"/>
          <w:bCs/>
          <w:color w:val="000000"/>
        </w:rPr>
        <w:t xml:space="preserve"> equipment</w:t>
      </w:r>
      <w:r w:rsidRPr="006313D6">
        <w:rPr>
          <w:rFonts w:ascii="Arial" w:eastAsia="Arial" w:hAnsi="Arial" w:cs="Arial"/>
          <w:bCs/>
          <w:color w:val="000000"/>
        </w:rPr>
        <w:t>.</w:t>
      </w:r>
    </w:p>
    <w:p w14:paraId="43846FC4" w14:textId="77777777" w:rsidR="000D05E5" w:rsidRPr="006313D6" w:rsidRDefault="000D05E5" w:rsidP="005E0D57">
      <w:pPr>
        <w:pStyle w:val="ListParagraph"/>
        <w:numPr>
          <w:ilvl w:val="0"/>
          <w:numId w:val="74"/>
        </w:numPr>
        <w:tabs>
          <w:tab w:val="left" w:pos="709"/>
        </w:tabs>
        <w:spacing w:after="0"/>
        <w:rPr>
          <w:rFonts w:ascii="Arial" w:eastAsia="Arial" w:hAnsi="Arial" w:cs="Arial"/>
          <w:bCs/>
          <w:color w:val="000000"/>
        </w:rPr>
      </w:pPr>
      <w:r w:rsidRPr="006313D6">
        <w:rPr>
          <w:rFonts w:ascii="Arial" w:eastAsia="Arial" w:hAnsi="Arial" w:cs="Arial"/>
          <w:bCs/>
          <w:color w:val="000000"/>
        </w:rPr>
        <w:t>Life</w:t>
      </w:r>
      <w:r>
        <w:rPr>
          <w:rFonts w:ascii="Arial" w:eastAsia="Arial" w:hAnsi="Arial" w:cs="Arial"/>
          <w:bCs/>
          <w:color w:val="000000"/>
        </w:rPr>
        <w:t>c</w:t>
      </w:r>
      <w:r w:rsidRPr="006313D6">
        <w:rPr>
          <w:rFonts w:ascii="Arial" w:eastAsia="Arial" w:hAnsi="Arial" w:cs="Arial"/>
          <w:bCs/>
          <w:color w:val="000000"/>
        </w:rPr>
        <w:t>ycle</w:t>
      </w:r>
      <w:r>
        <w:rPr>
          <w:rFonts w:ascii="Arial" w:eastAsia="Arial" w:hAnsi="Arial" w:cs="Arial"/>
          <w:bCs/>
          <w:color w:val="000000"/>
        </w:rPr>
        <w:t xml:space="preserve"> costing</w:t>
      </w:r>
      <w:r w:rsidRPr="006313D6">
        <w:rPr>
          <w:rFonts w:ascii="Arial" w:eastAsia="Arial" w:hAnsi="Arial" w:cs="Arial"/>
          <w:bCs/>
          <w:color w:val="000000"/>
        </w:rPr>
        <w:t xml:space="preserve">: </w:t>
      </w:r>
      <w:r>
        <w:rPr>
          <w:rFonts w:ascii="Arial" w:eastAsia="Arial" w:hAnsi="Arial" w:cs="Arial"/>
          <w:bCs/>
          <w:color w:val="000000"/>
        </w:rPr>
        <w:t>Whole life</w:t>
      </w:r>
      <w:r w:rsidRPr="006313D6">
        <w:rPr>
          <w:rFonts w:ascii="Arial" w:eastAsia="Arial" w:hAnsi="Arial" w:cs="Arial"/>
          <w:bCs/>
          <w:color w:val="000000"/>
        </w:rPr>
        <w:t xml:space="preserve"> cost</w:t>
      </w:r>
      <w:r>
        <w:rPr>
          <w:rFonts w:ascii="Arial" w:eastAsia="Arial" w:hAnsi="Arial" w:cs="Arial"/>
          <w:bCs/>
          <w:color w:val="000000"/>
        </w:rPr>
        <w:t>s</w:t>
      </w:r>
      <w:r w:rsidRPr="006313D6">
        <w:rPr>
          <w:rFonts w:ascii="Arial" w:eastAsia="Arial" w:hAnsi="Arial" w:cs="Arial"/>
          <w:bCs/>
          <w:color w:val="000000"/>
        </w:rPr>
        <w:t xml:space="preserve"> will be </w:t>
      </w:r>
      <w:r>
        <w:rPr>
          <w:rFonts w:ascii="Arial" w:eastAsia="Arial" w:hAnsi="Arial" w:cs="Arial"/>
          <w:bCs/>
          <w:color w:val="000000"/>
        </w:rPr>
        <w:t>considered when selecting materials</w:t>
      </w:r>
      <w:r w:rsidRPr="006313D6">
        <w:rPr>
          <w:rFonts w:ascii="Arial" w:eastAsia="Arial" w:hAnsi="Arial" w:cs="Arial"/>
          <w:bCs/>
          <w:color w:val="000000"/>
        </w:rPr>
        <w:t>.</w:t>
      </w:r>
    </w:p>
    <w:p w14:paraId="4AC081B4" w14:textId="529850E1" w:rsidR="000D05E5" w:rsidRDefault="000D05E5" w:rsidP="005E0D57">
      <w:pPr>
        <w:pStyle w:val="ListParagraph"/>
        <w:numPr>
          <w:ilvl w:val="0"/>
          <w:numId w:val="74"/>
        </w:numPr>
        <w:tabs>
          <w:tab w:val="left" w:pos="709"/>
        </w:tabs>
        <w:spacing w:after="0"/>
        <w:rPr>
          <w:rFonts w:ascii="Arial" w:eastAsia="Arial" w:hAnsi="Arial" w:cs="Arial"/>
          <w:bCs/>
          <w:color w:val="000000"/>
        </w:rPr>
      </w:pPr>
      <w:r w:rsidRPr="006313D6">
        <w:rPr>
          <w:rFonts w:ascii="Arial" w:eastAsia="Arial" w:hAnsi="Arial" w:cs="Arial"/>
          <w:bCs/>
          <w:color w:val="000000"/>
        </w:rPr>
        <w:t xml:space="preserve">Standardisation: Although the project is not planned to be procured through the </w:t>
      </w:r>
      <w:r>
        <w:rPr>
          <w:rFonts w:ascii="Arial" w:eastAsia="Arial" w:hAnsi="Arial" w:cs="Arial"/>
          <w:bCs/>
          <w:color w:val="000000"/>
        </w:rPr>
        <w:t>P2020</w:t>
      </w:r>
      <w:r w:rsidRPr="006313D6">
        <w:rPr>
          <w:rFonts w:ascii="Arial" w:eastAsia="Arial" w:hAnsi="Arial" w:cs="Arial"/>
          <w:bCs/>
          <w:color w:val="000000"/>
        </w:rPr>
        <w:t xml:space="preserve"> Framework</w:t>
      </w:r>
      <w:r>
        <w:rPr>
          <w:rFonts w:ascii="Arial" w:eastAsia="Arial" w:hAnsi="Arial" w:cs="Arial"/>
          <w:bCs/>
          <w:color w:val="000000"/>
        </w:rPr>
        <w:t>,</w:t>
      </w:r>
      <w:r w:rsidRPr="006313D6">
        <w:rPr>
          <w:rFonts w:ascii="Arial" w:eastAsia="Arial" w:hAnsi="Arial" w:cs="Arial"/>
          <w:bCs/>
          <w:color w:val="000000"/>
        </w:rPr>
        <w:t xml:space="preserve"> </w:t>
      </w:r>
      <w:r>
        <w:rPr>
          <w:rFonts w:ascii="Arial" w:eastAsia="Arial" w:hAnsi="Arial" w:cs="Arial"/>
          <w:bCs/>
          <w:color w:val="000000"/>
        </w:rPr>
        <w:t xml:space="preserve">the principles of repeatable rooms are being adopted (described in section </w:t>
      </w:r>
      <w:r w:rsidR="0004407D">
        <w:rPr>
          <w:rFonts w:ascii="Arial" w:eastAsia="Arial" w:hAnsi="Arial" w:cs="Arial"/>
          <w:bCs/>
          <w:color w:val="000000"/>
        </w:rPr>
        <w:fldChar w:fldCharType="begin"/>
      </w:r>
      <w:r w:rsidR="0004407D">
        <w:rPr>
          <w:rFonts w:ascii="Arial" w:eastAsia="Arial" w:hAnsi="Arial" w:cs="Arial"/>
          <w:bCs/>
          <w:color w:val="000000"/>
        </w:rPr>
        <w:instrText xml:space="preserve"> REF _Ref29545716 \r \h </w:instrText>
      </w:r>
      <w:r w:rsidR="0004407D">
        <w:rPr>
          <w:rFonts w:ascii="Arial" w:eastAsia="Arial" w:hAnsi="Arial" w:cs="Arial"/>
          <w:bCs/>
          <w:color w:val="000000"/>
        </w:rPr>
      </w:r>
      <w:r w:rsidR="0004407D">
        <w:rPr>
          <w:rFonts w:ascii="Arial" w:eastAsia="Arial" w:hAnsi="Arial" w:cs="Arial"/>
          <w:bCs/>
          <w:color w:val="000000"/>
        </w:rPr>
        <w:fldChar w:fldCharType="separate"/>
      </w:r>
      <w:r w:rsidR="00A936CD">
        <w:rPr>
          <w:rFonts w:ascii="Arial" w:eastAsia="Arial" w:hAnsi="Arial" w:cs="Arial"/>
          <w:bCs/>
          <w:color w:val="000000"/>
        </w:rPr>
        <w:t>5.8</w:t>
      </w:r>
      <w:r w:rsidR="0004407D">
        <w:rPr>
          <w:rFonts w:ascii="Arial" w:eastAsia="Arial" w:hAnsi="Arial" w:cs="Arial"/>
          <w:bCs/>
          <w:color w:val="000000"/>
        </w:rPr>
        <w:fldChar w:fldCharType="end"/>
      </w:r>
      <w:r>
        <w:rPr>
          <w:rFonts w:ascii="Arial" w:eastAsia="Arial" w:hAnsi="Arial" w:cs="Arial"/>
          <w:bCs/>
          <w:color w:val="000000"/>
        </w:rPr>
        <w:t>).</w:t>
      </w:r>
    </w:p>
    <w:p w14:paraId="563CA584" w14:textId="77777777" w:rsidR="000D05E5" w:rsidRDefault="000D05E5" w:rsidP="005E0D57">
      <w:pPr>
        <w:pStyle w:val="ListParagraph"/>
        <w:numPr>
          <w:ilvl w:val="0"/>
          <w:numId w:val="74"/>
        </w:numPr>
        <w:tabs>
          <w:tab w:val="left" w:pos="709"/>
        </w:tabs>
        <w:spacing w:after="0"/>
        <w:rPr>
          <w:rFonts w:ascii="Arial" w:eastAsia="Arial" w:hAnsi="Arial" w:cs="Arial"/>
          <w:bCs/>
          <w:color w:val="000000"/>
        </w:rPr>
      </w:pPr>
      <w:r>
        <w:rPr>
          <w:rFonts w:ascii="Arial" w:eastAsia="Arial" w:hAnsi="Arial" w:cs="Arial"/>
          <w:bCs/>
          <w:color w:val="000000"/>
        </w:rPr>
        <w:t>Sustainability measures: These will also reduce cost over the life of the building.</w:t>
      </w:r>
    </w:p>
    <w:p w14:paraId="6FA68B99" w14:textId="77777777" w:rsidR="000D05E5" w:rsidRDefault="000D05E5" w:rsidP="005E0D57">
      <w:pPr>
        <w:pStyle w:val="ListParagraph"/>
        <w:numPr>
          <w:ilvl w:val="0"/>
          <w:numId w:val="74"/>
        </w:numPr>
        <w:tabs>
          <w:tab w:val="left" w:pos="709"/>
        </w:tabs>
        <w:spacing w:after="0"/>
        <w:rPr>
          <w:rFonts w:ascii="Arial" w:eastAsia="Arial" w:hAnsi="Arial" w:cs="Arial"/>
          <w:bCs/>
          <w:color w:val="000000"/>
        </w:rPr>
      </w:pPr>
      <w:r w:rsidRPr="006313D6">
        <w:rPr>
          <w:rFonts w:ascii="Arial" w:eastAsia="Arial" w:hAnsi="Arial" w:cs="Arial"/>
          <w:bCs/>
          <w:color w:val="000000"/>
        </w:rPr>
        <w:t>Procurement: The procurement route seeks to retain competition up to Financial Close. A tender at RIBA Stage 3 allows the market an opportunity to engage and integrate innovative solutions, rather than a more completed design at Stage 4; Soft marketing testing has indicated cost savings will be achieved from the M&amp;E subcontractor market who can take responsibility earlier in the design process with reduced design assessments / reduced risk transfer and the ability to integrate preferred (and acceptable) alternative cost efficient solutions.</w:t>
      </w:r>
    </w:p>
    <w:p w14:paraId="634653D5" w14:textId="77777777" w:rsidR="000D05E5" w:rsidRDefault="000D05E5" w:rsidP="000D05E5">
      <w:pPr>
        <w:tabs>
          <w:tab w:val="left" w:pos="709"/>
        </w:tabs>
        <w:spacing w:after="0"/>
        <w:rPr>
          <w:rFonts w:ascii="Arial" w:eastAsia="Arial" w:hAnsi="Arial" w:cs="Arial"/>
          <w:bCs/>
          <w:color w:val="000000"/>
        </w:rPr>
      </w:pPr>
    </w:p>
    <w:p w14:paraId="1C0AF7E9" w14:textId="77777777" w:rsidR="000D05E5" w:rsidRPr="006313D6" w:rsidRDefault="000D05E5" w:rsidP="000D05E5">
      <w:pPr>
        <w:tabs>
          <w:tab w:val="left" w:pos="709"/>
        </w:tabs>
        <w:spacing w:after="0"/>
        <w:rPr>
          <w:rFonts w:ascii="Arial" w:eastAsia="Arial" w:hAnsi="Arial" w:cs="Arial"/>
          <w:b/>
          <w:color w:val="000000"/>
        </w:rPr>
      </w:pPr>
      <w:r>
        <w:rPr>
          <w:rFonts w:ascii="Arial" w:eastAsia="Arial" w:hAnsi="Arial" w:cs="Arial"/>
          <w:b/>
          <w:color w:val="000000"/>
        </w:rPr>
        <w:t>Procurement reform</w:t>
      </w:r>
    </w:p>
    <w:p w14:paraId="6BD55DD7" w14:textId="77777777" w:rsidR="000D05E5" w:rsidRPr="006313D6" w:rsidRDefault="000D05E5" w:rsidP="000D05E5">
      <w:pPr>
        <w:tabs>
          <w:tab w:val="left" w:pos="567"/>
        </w:tabs>
        <w:spacing w:after="0"/>
        <w:rPr>
          <w:rFonts w:ascii="Arial" w:eastAsia="Arial" w:hAnsi="Arial" w:cs="Arial"/>
          <w:bCs/>
          <w:color w:val="000000"/>
        </w:rPr>
      </w:pPr>
      <w:r w:rsidRPr="006313D6">
        <w:rPr>
          <w:rFonts w:ascii="Arial" w:eastAsia="Arial" w:hAnsi="Arial" w:cs="Arial"/>
          <w:bCs/>
          <w:color w:val="000000"/>
        </w:rPr>
        <w:t xml:space="preserve">The Government Construction Strategy notes that it is </w:t>
      </w:r>
      <w:r w:rsidRPr="006313D6">
        <w:rPr>
          <w:rFonts w:ascii="Arial" w:eastAsia="Arial" w:hAnsi="Arial" w:cs="Arial"/>
          <w:bCs/>
          <w:i/>
          <w:iCs/>
          <w:color w:val="000000"/>
        </w:rPr>
        <w:t>‘seeking a more collaborative, integrated model that nonetheless maintains competitive tension and the ability to demonstrate value for money’</w:t>
      </w:r>
      <w:r w:rsidRPr="006313D6">
        <w:rPr>
          <w:rFonts w:ascii="Arial" w:eastAsia="Arial" w:hAnsi="Arial" w:cs="Arial"/>
          <w:bCs/>
          <w:color w:val="000000"/>
        </w:rPr>
        <w:t>.</w:t>
      </w:r>
      <w:r>
        <w:rPr>
          <w:rFonts w:ascii="Arial" w:eastAsia="Arial" w:hAnsi="Arial" w:cs="Arial"/>
          <w:bCs/>
          <w:color w:val="000000"/>
        </w:rPr>
        <w:t xml:space="preserve"> Under Oriel’s procurement strategy:</w:t>
      </w:r>
    </w:p>
    <w:p w14:paraId="737DE3C9" w14:textId="77777777" w:rsidR="000D05E5" w:rsidRPr="00D646CE" w:rsidRDefault="000D05E5" w:rsidP="005E0D57">
      <w:pPr>
        <w:pStyle w:val="ListParagraph"/>
        <w:numPr>
          <w:ilvl w:val="0"/>
          <w:numId w:val="75"/>
        </w:numPr>
        <w:tabs>
          <w:tab w:val="left" w:pos="709"/>
        </w:tabs>
        <w:spacing w:after="0"/>
        <w:rPr>
          <w:rFonts w:ascii="Arial" w:eastAsia="Arial" w:hAnsi="Arial" w:cs="Arial"/>
          <w:bCs/>
          <w:color w:val="000000"/>
        </w:rPr>
      </w:pPr>
      <w:r w:rsidRPr="00D646CE">
        <w:rPr>
          <w:rFonts w:ascii="Arial" w:eastAsia="Arial" w:hAnsi="Arial" w:cs="Arial"/>
          <w:bCs/>
          <w:color w:val="000000"/>
        </w:rPr>
        <w:t>Tendering with RIBA Stage 3 design will encourage a genuinely integrated supply-side proposition</w:t>
      </w:r>
      <w:r>
        <w:rPr>
          <w:rFonts w:ascii="Arial" w:eastAsia="Arial" w:hAnsi="Arial" w:cs="Arial"/>
          <w:bCs/>
          <w:color w:val="000000"/>
        </w:rPr>
        <w:t>.</w:t>
      </w:r>
    </w:p>
    <w:p w14:paraId="3F987867" w14:textId="77777777" w:rsidR="000D05E5" w:rsidRPr="00D646CE" w:rsidRDefault="000D05E5" w:rsidP="005E0D57">
      <w:pPr>
        <w:pStyle w:val="ListParagraph"/>
        <w:numPr>
          <w:ilvl w:val="0"/>
          <w:numId w:val="75"/>
        </w:numPr>
        <w:tabs>
          <w:tab w:val="left" w:pos="709"/>
        </w:tabs>
        <w:spacing w:after="0"/>
        <w:rPr>
          <w:rFonts w:ascii="Arial" w:eastAsia="Arial" w:hAnsi="Arial" w:cs="Arial"/>
          <w:bCs/>
          <w:color w:val="000000"/>
        </w:rPr>
      </w:pPr>
      <w:r w:rsidRPr="00D646CE">
        <w:rPr>
          <w:rFonts w:ascii="Arial" w:eastAsia="Arial" w:hAnsi="Arial" w:cs="Arial"/>
          <w:bCs/>
          <w:color w:val="000000"/>
        </w:rPr>
        <w:t>Early contractor involvement will encourage offsite</w:t>
      </w:r>
      <w:r>
        <w:rPr>
          <w:rFonts w:ascii="Arial" w:eastAsia="Arial" w:hAnsi="Arial" w:cs="Arial"/>
          <w:bCs/>
          <w:color w:val="000000"/>
        </w:rPr>
        <w:t xml:space="preserve"> </w:t>
      </w:r>
      <w:r w:rsidRPr="00D646CE">
        <w:rPr>
          <w:rFonts w:ascii="Arial" w:eastAsia="Arial" w:hAnsi="Arial" w:cs="Arial"/>
          <w:bCs/>
          <w:color w:val="000000"/>
        </w:rPr>
        <w:t>fabrication of buildings, systems or components’</w:t>
      </w:r>
      <w:r>
        <w:rPr>
          <w:rFonts w:ascii="Arial" w:eastAsia="Arial" w:hAnsi="Arial" w:cs="Arial"/>
          <w:bCs/>
          <w:color w:val="000000"/>
        </w:rPr>
        <w:t>.</w:t>
      </w:r>
    </w:p>
    <w:p w14:paraId="574FCDED" w14:textId="77777777" w:rsidR="000D05E5" w:rsidRPr="00D646CE" w:rsidRDefault="000D05E5" w:rsidP="005E0D57">
      <w:pPr>
        <w:pStyle w:val="ListParagraph"/>
        <w:numPr>
          <w:ilvl w:val="0"/>
          <w:numId w:val="75"/>
        </w:numPr>
        <w:tabs>
          <w:tab w:val="left" w:pos="709"/>
        </w:tabs>
        <w:spacing w:after="0"/>
        <w:rPr>
          <w:rFonts w:ascii="Arial" w:eastAsia="Arial" w:hAnsi="Arial" w:cs="Arial"/>
          <w:bCs/>
          <w:color w:val="000000"/>
        </w:rPr>
      </w:pPr>
      <w:r w:rsidRPr="00D646CE">
        <w:rPr>
          <w:rFonts w:ascii="Arial" w:eastAsia="Arial" w:hAnsi="Arial" w:cs="Arial"/>
          <w:bCs/>
          <w:color w:val="000000"/>
        </w:rPr>
        <w:t>Retaining competition with two contractors during the second stage tender will incentivise cost and programme efficienc</w:t>
      </w:r>
      <w:r w:rsidR="00E830A1">
        <w:rPr>
          <w:rFonts w:ascii="Arial" w:eastAsia="Arial" w:hAnsi="Arial" w:cs="Arial"/>
          <w:bCs/>
          <w:color w:val="000000"/>
        </w:rPr>
        <w:t>ies</w:t>
      </w:r>
      <w:r w:rsidRPr="00D646CE">
        <w:rPr>
          <w:rFonts w:ascii="Arial" w:eastAsia="Arial" w:hAnsi="Arial" w:cs="Arial"/>
          <w:bCs/>
          <w:color w:val="000000"/>
        </w:rPr>
        <w:t>. It will maintain competitive tension, and make cost (derived from agreed principles of value for money) a key driver, rather than an outcome</w:t>
      </w:r>
      <w:r>
        <w:rPr>
          <w:rFonts w:ascii="Arial" w:eastAsia="Arial" w:hAnsi="Arial" w:cs="Arial"/>
          <w:bCs/>
          <w:color w:val="000000"/>
        </w:rPr>
        <w:t>.</w:t>
      </w:r>
    </w:p>
    <w:p w14:paraId="2B9BD404" w14:textId="60DAEA2A" w:rsidR="000D05E5" w:rsidRPr="00987E00" w:rsidRDefault="000D05E5" w:rsidP="000D05E5">
      <w:pPr>
        <w:tabs>
          <w:tab w:val="left" w:pos="567"/>
        </w:tabs>
        <w:spacing w:after="0"/>
        <w:rPr>
          <w:rFonts w:ascii="Arial" w:eastAsia="Arial" w:hAnsi="Arial" w:cs="Arial"/>
          <w:bCs/>
          <w:color w:val="000000"/>
        </w:rPr>
      </w:pPr>
      <w:r w:rsidRPr="00D646CE">
        <w:rPr>
          <w:rFonts w:ascii="Arial" w:eastAsia="Arial" w:hAnsi="Arial" w:cs="Arial"/>
          <w:bCs/>
          <w:color w:val="000000"/>
        </w:rPr>
        <w:t xml:space="preserve">Further details is provided in the procurement strategy </w:t>
      </w:r>
      <w:r w:rsidRPr="00987E00">
        <w:rPr>
          <w:rFonts w:ascii="Arial" w:eastAsia="Arial" w:hAnsi="Arial" w:cs="Arial"/>
          <w:bCs/>
          <w:color w:val="000000"/>
        </w:rPr>
        <w:t xml:space="preserve">at Appendix </w:t>
      </w:r>
      <w:r w:rsidR="00987E00" w:rsidRPr="00987E00">
        <w:rPr>
          <w:rFonts w:ascii="Arial" w:eastAsia="Arial" w:hAnsi="Arial" w:cs="Arial"/>
          <w:bCs/>
          <w:color w:val="000000"/>
        </w:rPr>
        <w:t>7A</w:t>
      </w:r>
      <w:r w:rsidRPr="00987E00">
        <w:rPr>
          <w:rFonts w:ascii="Arial" w:eastAsia="Arial" w:hAnsi="Arial" w:cs="Arial"/>
          <w:bCs/>
          <w:color w:val="000000"/>
        </w:rPr>
        <w:t>.</w:t>
      </w:r>
    </w:p>
    <w:p w14:paraId="14216BE8" w14:textId="77777777" w:rsidR="000D05E5" w:rsidRDefault="000D05E5" w:rsidP="000D05E5">
      <w:pPr>
        <w:tabs>
          <w:tab w:val="left" w:pos="567"/>
        </w:tabs>
        <w:spacing w:after="0"/>
        <w:rPr>
          <w:rFonts w:ascii="Arial" w:eastAsia="Arial" w:hAnsi="Arial" w:cs="Arial"/>
          <w:bCs/>
          <w:color w:val="000000"/>
          <w:highlight w:val="yellow"/>
        </w:rPr>
      </w:pPr>
    </w:p>
    <w:p w14:paraId="61355D93" w14:textId="77777777" w:rsidR="000D05E5" w:rsidRPr="00D646CE" w:rsidRDefault="000D05E5" w:rsidP="000D05E5">
      <w:pPr>
        <w:tabs>
          <w:tab w:val="left" w:pos="567"/>
        </w:tabs>
        <w:spacing w:after="0"/>
        <w:rPr>
          <w:rFonts w:ascii="Arial" w:eastAsia="Arial" w:hAnsi="Arial" w:cs="Arial"/>
          <w:b/>
          <w:color w:val="000000"/>
        </w:rPr>
      </w:pPr>
      <w:r w:rsidRPr="00D646CE">
        <w:rPr>
          <w:rFonts w:ascii="Arial" w:eastAsia="Arial" w:hAnsi="Arial" w:cs="Arial"/>
          <w:b/>
          <w:color w:val="000000"/>
        </w:rPr>
        <w:t>BIM</w:t>
      </w:r>
    </w:p>
    <w:p w14:paraId="5753B661" w14:textId="3EE9B78B" w:rsidR="000D05E5" w:rsidRDefault="000D05E5" w:rsidP="000D05E5">
      <w:pPr>
        <w:tabs>
          <w:tab w:val="left" w:pos="567"/>
        </w:tabs>
        <w:spacing w:after="0"/>
        <w:rPr>
          <w:rFonts w:ascii="Arial" w:eastAsia="Arial" w:hAnsi="Arial" w:cs="Arial"/>
          <w:bCs/>
          <w:color w:val="000000"/>
        </w:rPr>
      </w:pPr>
      <w:r w:rsidRPr="00D646CE">
        <w:rPr>
          <w:rFonts w:ascii="Arial" w:eastAsia="Arial" w:hAnsi="Arial" w:cs="Arial"/>
          <w:bCs/>
          <w:color w:val="000000"/>
        </w:rPr>
        <w:t>All publicly procured projects since 2016 are required to deliver schemes using Building Information</w:t>
      </w:r>
      <w:r>
        <w:rPr>
          <w:rFonts w:ascii="Arial" w:eastAsia="Arial" w:hAnsi="Arial" w:cs="Arial"/>
          <w:bCs/>
          <w:color w:val="000000"/>
        </w:rPr>
        <w:t xml:space="preserve"> </w:t>
      </w:r>
      <w:r w:rsidRPr="00D646CE">
        <w:rPr>
          <w:rFonts w:ascii="Arial" w:eastAsia="Arial" w:hAnsi="Arial" w:cs="Arial"/>
          <w:bCs/>
          <w:color w:val="000000"/>
        </w:rPr>
        <w:t>Modelling (BIM). This will enable multiple benefits in quality of buildings and efficiency of delivery</w:t>
      </w:r>
      <w:r>
        <w:rPr>
          <w:rFonts w:ascii="Arial" w:eastAsia="Arial" w:hAnsi="Arial" w:cs="Arial"/>
          <w:bCs/>
          <w:color w:val="000000"/>
        </w:rPr>
        <w:t xml:space="preserve"> </w:t>
      </w:r>
      <w:r w:rsidRPr="00D646CE">
        <w:rPr>
          <w:rFonts w:ascii="Arial" w:eastAsia="Arial" w:hAnsi="Arial" w:cs="Arial"/>
          <w:bCs/>
          <w:color w:val="000000"/>
        </w:rPr>
        <w:t>including reduced waste, more coordinated design, clarity of stakeholder and</w:t>
      </w:r>
      <w:r>
        <w:rPr>
          <w:rFonts w:ascii="Arial" w:eastAsia="Arial" w:hAnsi="Arial" w:cs="Arial"/>
          <w:bCs/>
          <w:color w:val="000000"/>
        </w:rPr>
        <w:t xml:space="preserve"> </w:t>
      </w:r>
      <w:r w:rsidRPr="00D646CE">
        <w:rPr>
          <w:rFonts w:ascii="Arial" w:eastAsia="Arial" w:hAnsi="Arial" w:cs="Arial"/>
          <w:bCs/>
          <w:color w:val="000000"/>
        </w:rPr>
        <w:t>end user sign off, ease of programming, phasing, and potential for asset management.</w:t>
      </w:r>
    </w:p>
    <w:p w14:paraId="4188893F" w14:textId="77777777" w:rsidR="000D05E5" w:rsidRDefault="000D05E5" w:rsidP="000D05E5">
      <w:pPr>
        <w:tabs>
          <w:tab w:val="left" w:pos="567"/>
        </w:tabs>
        <w:spacing w:after="0"/>
        <w:rPr>
          <w:rFonts w:ascii="Arial" w:eastAsia="Arial" w:hAnsi="Arial" w:cs="Arial"/>
          <w:bCs/>
          <w:color w:val="000000"/>
        </w:rPr>
      </w:pPr>
    </w:p>
    <w:p w14:paraId="2E05FFD8" w14:textId="77777777" w:rsidR="000D05E5" w:rsidRDefault="000D05E5" w:rsidP="000D05E5">
      <w:pPr>
        <w:tabs>
          <w:tab w:val="left" w:pos="567"/>
        </w:tabs>
        <w:spacing w:after="0"/>
        <w:rPr>
          <w:rFonts w:ascii="Arial" w:eastAsia="Arial" w:hAnsi="Arial" w:cs="Arial"/>
          <w:bCs/>
          <w:color w:val="000000"/>
        </w:rPr>
      </w:pPr>
      <w:r w:rsidRPr="00D646CE">
        <w:rPr>
          <w:rFonts w:ascii="Arial" w:eastAsia="Arial" w:hAnsi="Arial" w:cs="Arial"/>
          <w:bCs/>
          <w:color w:val="000000"/>
        </w:rPr>
        <w:t>BIM is being used on the project to provide a single common platform that will provide information to the construction teams for tender. This platform, and the corresponding stage 3 report, will help reduce project risks. By maintaining a competitive contractor process for as long as possible it is anticipated that the initial cost of construction will be optimized. Strategic whole life costs are being considered as the design progresses to ensure that the operational and whole life costs are minimi</w:t>
      </w:r>
      <w:r>
        <w:rPr>
          <w:rFonts w:ascii="Arial" w:eastAsia="Arial" w:hAnsi="Arial" w:cs="Arial"/>
          <w:bCs/>
          <w:color w:val="000000"/>
        </w:rPr>
        <w:t>s</w:t>
      </w:r>
      <w:r w:rsidRPr="00D646CE">
        <w:rPr>
          <w:rFonts w:ascii="Arial" w:eastAsia="Arial" w:hAnsi="Arial" w:cs="Arial"/>
          <w:bCs/>
          <w:color w:val="000000"/>
        </w:rPr>
        <w:t>ed once the building comes into use. In addition, a soft landings process will be initiated at handover to help optimize the buildings performance.</w:t>
      </w:r>
    </w:p>
    <w:p w14:paraId="3734BFA9" w14:textId="77777777" w:rsidR="000D05E5" w:rsidRDefault="000D05E5" w:rsidP="000D05E5">
      <w:pPr>
        <w:tabs>
          <w:tab w:val="left" w:pos="567"/>
        </w:tabs>
        <w:spacing w:after="0"/>
        <w:rPr>
          <w:rFonts w:ascii="Arial" w:eastAsia="Arial" w:hAnsi="Arial" w:cs="Arial"/>
          <w:bCs/>
          <w:color w:val="000000"/>
          <w:highlight w:val="yellow"/>
        </w:rPr>
      </w:pPr>
    </w:p>
    <w:p w14:paraId="7DA98717" w14:textId="77777777" w:rsidR="000D05E5" w:rsidRPr="00D646CE" w:rsidRDefault="000D05E5" w:rsidP="000D05E5">
      <w:pPr>
        <w:tabs>
          <w:tab w:val="left" w:pos="567"/>
        </w:tabs>
        <w:spacing w:after="0"/>
        <w:rPr>
          <w:rFonts w:ascii="Arial" w:eastAsia="Arial" w:hAnsi="Arial" w:cs="Arial"/>
          <w:b/>
          <w:color w:val="000000"/>
        </w:rPr>
      </w:pPr>
      <w:r w:rsidRPr="00D646CE">
        <w:rPr>
          <w:rFonts w:ascii="Arial" w:eastAsia="Arial" w:hAnsi="Arial" w:cs="Arial"/>
          <w:b/>
          <w:color w:val="000000"/>
        </w:rPr>
        <w:lastRenderedPageBreak/>
        <w:t>Government soft landings (GSL)</w:t>
      </w:r>
    </w:p>
    <w:p w14:paraId="6BB06F3E" w14:textId="77777777" w:rsidR="000D05E5" w:rsidRPr="00D646CE" w:rsidRDefault="000D05E5" w:rsidP="000D05E5">
      <w:pPr>
        <w:tabs>
          <w:tab w:val="left" w:pos="567"/>
        </w:tabs>
        <w:spacing w:after="0"/>
        <w:rPr>
          <w:rFonts w:ascii="Arial" w:eastAsia="Arial" w:hAnsi="Arial" w:cs="Arial"/>
          <w:bCs/>
          <w:color w:val="000000"/>
        </w:rPr>
      </w:pPr>
      <w:r>
        <w:rPr>
          <w:rFonts w:ascii="Arial" w:eastAsia="Arial" w:hAnsi="Arial" w:cs="Arial"/>
          <w:bCs/>
          <w:color w:val="000000"/>
        </w:rPr>
        <w:t>GSL</w:t>
      </w:r>
      <w:r w:rsidRPr="00D646CE">
        <w:rPr>
          <w:rFonts w:ascii="Arial" w:eastAsia="Arial" w:hAnsi="Arial" w:cs="Arial"/>
          <w:bCs/>
          <w:color w:val="000000"/>
        </w:rPr>
        <w:t xml:space="preserve"> enhances post completion operational efficiency </w:t>
      </w:r>
      <w:r>
        <w:rPr>
          <w:rFonts w:ascii="Arial" w:eastAsia="Arial" w:hAnsi="Arial" w:cs="Arial"/>
          <w:bCs/>
          <w:color w:val="000000"/>
        </w:rPr>
        <w:t xml:space="preserve">through </w:t>
      </w:r>
      <w:r w:rsidRPr="00D646CE">
        <w:rPr>
          <w:rFonts w:ascii="Arial" w:eastAsia="Arial" w:hAnsi="Arial" w:cs="Arial"/>
          <w:bCs/>
          <w:color w:val="000000"/>
        </w:rPr>
        <w:t>effective handover, training, monitoring and aftercare from the designers and contractors.</w:t>
      </w:r>
      <w:r>
        <w:rPr>
          <w:rFonts w:ascii="Arial" w:eastAsia="Arial" w:hAnsi="Arial" w:cs="Arial"/>
          <w:bCs/>
          <w:color w:val="000000"/>
        </w:rPr>
        <w:t xml:space="preserve"> </w:t>
      </w:r>
      <w:r w:rsidRPr="00D646CE">
        <w:rPr>
          <w:rFonts w:ascii="Arial" w:eastAsia="Arial" w:hAnsi="Arial" w:cs="Arial"/>
          <w:bCs/>
          <w:color w:val="000000"/>
        </w:rPr>
        <w:t xml:space="preserve">The Oriel design team has continued to integrate with both </w:t>
      </w:r>
      <w:r>
        <w:rPr>
          <w:rFonts w:ascii="Arial" w:eastAsia="Arial" w:hAnsi="Arial" w:cs="Arial"/>
          <w:bCs/>
          <w:color w:val="000000"/>
        </w:rPr>
        <w:t>Moorfields’</w:t>
      </w:r>
      <w:r w:rsidRPr="00D646CE">
        <w:rPr>
          <w:rFonts w:ascii="Arial" w:eastAsia="Arial" w:hAnsi="Arial" w:cs="Arial"/>
          <w:bCs/>
          <w:color w:val="000000"/>
        </w:rPr>
        <w:t xml:space="preserve"> and UCL’s FM teams on design</w:t>
      </w:r>
      <w:r>
        <w:rPr>
          <w:rFonts w:ascii="Arial" w:eastAsia="Arial" w:hAnsi="Arial" w:cs="Arial"/>
          <w:bCs/>
          <w:color w:val="000000"/>
        </w:rPr>
        <w:t xml:space="preserve"> </w:t>
      </w:r>
      <w:r w:rsidRPr="00D646CE">
        <w:rPr>
          <w:rFonts w:ascii="Arial" w:eastAsia="Arial" w:hAnsi="Arial" w:cs="Arial"/>
          <w:bCs/>
          <w:color w:val="000000"/>
        </w:rPr>
        <w:t>choices</w:t>
      </w:r>
      <w:r>
        <w:rPr>
          <w:rFonts w:ascii="Arial" w:eastAsia="Arial" w:hAnsi="Arial" w:cs="Arial"/>
          <w:bCs/>
          <w:color w:val="000000"/>
        </w:rPr>
        <w:t>,</w:t>
      </w:r>
      <w:r w:rsidRPr="00D646CE">
        <w:rPr>
          <w:rFonts w:ascii="Arial" w:eastAsia="Arial" w:hAnsi="Arial" w:cs="Arial"/>
          <w:bCs/>
          <w:color w:val="000000"/>
        </w:rPr>
        <w:t xml:space="preserve"> reflecting their operational efficiency aspirations. RIBA design stage sign-offs</w:t>
      </w:r>
      <w:r>
        <w:rPr>
          <w:rFonts w:ascii="Arial" w:eastAsia="Arial" w:hAnsi="Arial" w:cs="Arial"/>
          <w:bCs/>
          <w:color w:val="000000"/>
        </w:rPr>
        <w:t xml:space="preserve"> </w:t>
      </w:r>
      <w:r w:rsidRPr="00D646CE">
        <w:rPr>
          <w:rFonts w:ascii="Arial" w:eastAsia="Arial" w:hAnsi="Arial" w:cs="Arial"/>
          <w:bCs/>
          <w:color w:val="000000"/>
        </w:rPr>
        <w:t xml:space="preserve">will incorporate </w:t>
      </w:r>
      <w:r>
        <w:rPr>
          <w:rFonts w:ascii="Arial" w:eastAsia="Arial" w:hAnsi="Arial" w:cs="Arial"/>
          <w:bCs/>
          <w:color w:val="000000"/>
        </w:rPr>
        <w:t>both partners’</w:t>
      </w:r>
      <w:r w:rsidRPr="00D646CE">
        <w:rPr>
          <w:rFonts w:ascii="Arial" w:eastAsia="Arial" w:hAnsi="Arial" w:cs="Arial"/>
          <w:bCs/>
          <w:color w:val="000000"/>
        </w:rPr>
        <w:t xml:space="preserve"> FM teams. This close integration is planned to continue throughout the</w:t>
      </w:r>
    </w:p>
    <w:p w14:paraId="6AA8A152" w14:textId="77777777" w:rsidR="000D05E5" w:rsidRDefault="000D05E5" w:rsidP="000D05E5">
      <w:pPr>
        <w:tabs>
          <w:tab w:val="left" w:pos="567"/>
        </w:tabs>
        <w:spacing w:after="0"/>
        <w:rPr>
          <w:rFonts w:ascii="Arial" w:eastAsia="Arial" w:hAnsi="Arial" w:cs="Arial"/>
          <w:bCs/>
          <w:color w:val="000000"/>
        </w:rPr>
      </w:pPr>
      <w:r w:rsidRPr="00D646CE">
        <w:rPr>
          <w:rFonts w:ascii="Arial" w:eastAsia="Arial" w:hAnsi="Arial" w:cs="Arial"/>
          <w:bCs/>
          <w:color w:val="000000"/>
        </w:rPr>
        <w:t>development of the project to offer a greater opportunity to deliver a building of the highest quality</w:t>
      </w:r>
      <w:r>
        <w:rPr>
          <w:rFonts w:ascii="Arial" w:eastAsia="Arial" w:hAnsi="Arial" w:cs="Arial"/>
          <w:bCs/>
          <w:color w:val="000000"/>
        </w:rPr>
        <w:t xml:space="preserve"> </w:t>
      </w:r>
      <w:r w:rsidRPr="00D646CE">
        <w:rPr>
          <w:rFonts w:ascii="Arial" w:eastAsia="Arial" w:hAnsi="Arial" w:cs="Arial"/>
          <w:bCs/>
          <w:color w:val="000000"/>
        </w:rPr>
        <w:t xml:space="preserve">and an asset reflecting the </w:t>
      </w:r>
      <w:r>
        <w:rPr>
          <w:rFonts w:ascii="Arial" w:eastAsia="Arial" w:hAnsi="Arial" w:cs="Arial"/>
          <w:bCs/>
          <w:color w:val="000000"/>
        </w:rPr>
        <w:t>partners’</w:t>
      </w:r>
      <w:r w:rsidRPr="00D646CE">
        <w:rPr>
          <w:rFonts w:ascii="Arial" w:eastAsia="Arial" w:hAnsi="Arial" w:cs="Arial"/>
          <w:bCs/>
          <w:color w:val="000000"/>
        </w:rPr>
        <w:t xml:space="preserve"> long term needs.</w:t>
      </w:r>
    </w:p>
    <w:p w14:paraId="6241B41C" w14:textId="77777777" w:rsidR="000D05E5" w:rsidRPr="00D646CE" w:rsidRDefault="000D05E5" w:rsidP="000D05E5">
      <w:pPr>
        <w:tabs>
          <w:tab w:val="left" w:pos="567"/>
        </w:tabs>
        <w:spacing w:after="0"/>
        <w:rPr>
          <w:rFonts w:ascii="Arial" w:eastAsia="Arial" w:hAnsi="Arial" w:cs="Arial"/>
          <w:bCs/>
          <w:color w:val="000000"/>
        </w:rPr>
      </w:pPr>
    </w:p>
    <w:p w14:paraId="0DA7708A" w14:textId="77777777" w:rsidR="000D05E5" w:rsidRDefault="000D05E5" w:rsidP="000D05E5">
      <w:pPr>
        <w:tabs>
          <w:tab w:val="left" w:pos="567"/>
        </w:tabs>
        <w:spacing w:after="0"/>
        <w:rPr>
          <w:rFonts w:ascii="Arial" w:eastAsia="Arial" w:hAnsi="Arial" w:cs="Arial"/>
          <w:bCs/>
          <w:color w:val="000000"/>
        </w:rPr>
      </w:pPr>
      <w:r>
        <w:rPr>
          <w:rFonts w:ascii="Arial" w:eastAsia="Arial" w:hAnsi="Arial" w:cs="Arial"/>
          <w:bCs/>
          <w:color w:val="000000"/>
        </w:rPr>
        <w:t>E</w:t>
      </w:r>
      <w:r w:rsidRPr="00D646CE">
        <w:rPr>
          <w:rFonts w:ascii="Arial" w:eastAsia="Arial" w:hAnsi="Arial" w:cs="Arial"/>
          <w:bCs/>
          <w:color w:val="000000"/>
        </w:rPr>
        <w:t>arly and continued FM integration will play a key part for the</w:t>
      </w:r>
      <w:r>
        <w:rPr>
          <w:rFonts w:ascii="Arial" w:eastAsia="Arial" w:hAnsi="Arial" w:cs="Arial"/>
          <w:bCs/>
          <w:color w:val="000000"/>
        </w:rPr>
        <w:t xml:space="preserve"> </w:t>
      </w:r>
      <w:r w:rsidRPr="00D646CE">
        <w:rPr>
          <w:rFonts w:ascii="Arial" w:eastAsia="Arial" w:hAnsi="Arial" w:cs="Arial"/>
          <w:bCs/>
          <w:color w:val="000000"/>
        </w:rPr>
        <w:t>smooth transition from design, construction and operation.</w:t>
      </w:r>
    </w:p>
    <w:p w14:paraId="6B9513DB" w14:textId="77777777" w:rsidR="000D05E5" w:rsidRDefault="000D05E5" w:rsidP="000D05E5">
      <w:pPr>
        <w:tabs>
          <w:tab w:val="left" w:pos="567"/>
        </w:tabs>
        <w:spacing w:after="0"/>
        <w:rPr>
          <w:rFonts w:ascii="Arial" w:eastAsia="Arial" w:hAnsi="Arial" w:cs="Arial"/>
          <w:bCs/>
          <w:color w:val="000000"/>
        </w:rPr>
      </w:pPr>
    </w:p>
    <w:p w14:paraId="51279B77" w14:textId="77777777" w:rsidR="000D05E5" w:rsidRDefault="000D05E5" w:rsidP="000D05E5">
      <w:pPr>
        <w:tabs>
          <w:tab w:val="left" w:pos="567"/>
        </w:tabs>
        <w:spacing w:after="0"/>
        <w:rPr>
          <w:rFonts w:ascii="Arial" w:eastAsia="Arial" w:hAnsi="Arial" w:cs="Arial"/>
          <w:b/>
          <w:color w:val="000000"/>
        </w:rPr>
      </w:pPr>
      <w:r>
        <w:rPr>
          <w:rFonts w:ascii="Arial" w:eastAsia="Arial" w:hAnsi="Arial" w:cs="Arial"/>
          <w:b/>
          <w:color w:val="000000"/>
        </w:rPr>
        <w:t>Greenhouse gas emissions and the trade gap</w:t>
      </w:r>
    </w:p>
    <w:p w14:paraId="7783F513" w14:textId="77777777" w:rsidR="00E830A1" w:rsidRDefault="00E830A1" w:rsidP="00E830A1">
      <w:pPr>
        <w:tabs>
          <w:tab w:val="left" w:pos="567"/>
        </w:tabs>
        <w:spacing w:after="0"/>
        <w:rPr>
          <w:rFonts w:ascii="Arial" w:eastAsia="Arial" w:hAnsi="Arial" w:cs="Arial"/>
          <w:bCs/>
          <w:color w:val="000000"/>
        </w:rPr>
      </w:pPr>
      <w:r>
        <w:rPr>
          <w:rFonts w:ascii="Arial" w:eastAsia="Arial" w:hAnsi="Arial" w:cs="Arial"/>
          <w:bCs/>
          <w:color w:val="000000"/>
        </w:rPr>
        <w:t xml:space="preserve">The project will seek to adhere to the sustainability requirements in </w:t>
      </w:r>
      <w:r w:rsidRPr="00D646CE">
        <w:rPr>
          <w:rFonts w:ascii="Arial" w:eastAsia="Arial" w:hAnsi="Arial" w:cs="Arial"/>
          <w:bCs/>
          <w:color w:val="000000"/>
        </w:rPr>
        <w:t>the new London Plan</w:t>
      </w:r>
      <w:r>
        <w:rPr>
          <w:rFonts w:ascii="Arial" w:eastAsia="Arial" w:hAnsi="Arial" w:cs="Arial"/>
          <w:bCs/>
          <w:color w:val="000000"/>
        </w:rPr>
        <w:t xml:space="preserve">, expected to be published March 2020, and is targeting a </w:t>
      </w:r>
      <w:r w:rsidRPr="00D646CE">
        <w:rPr>
          <w:rFonts w:ascii="Arial" w:eastAsia="Arial" w:hAnsi="Arial" w:cs="Arial"/>
          <w:bCs/>
          <w:color w:val="000000"/>
        </w:rPr>
        <w:t>BREEAM Excellent rating. These initiatives will substantially reduce greenhouse gas emissions.</w:t>
      </w:r>
    </w:p>
    <w:p w14:paraId="1C5DD9BC" w14:textId="77777777" w:rsidR="000D05E5" w:rsidRPr="00D646CE" w:rsidRDefault="000D05E5" w:rsidP="000D05E5">
      <w:pPr>
        <w:tabs>
          <w:tab w:val="left" w:pos="567"/>
        </w:tabs>
        <w:spacing w:after="0"/>
        <w:rPr>
          <w:rFonts w:ascii="Arial" w:eastAsia="Arial" w:hAnsi="Arial" w:cs="Arial"/>
          <w:bCs/>
          <w:color w:val="000000"/>
        </w:rPr>
      </w:pPr>
    </w:p>
    <w:p w14:paraId="5776B047" w14:textId="77777777" w:rsidR="000D05E5" w:rsidRPr="00D646CE" w:rsidRDefault="000D05E5" w:rsidP="000D05E5">
      <w:pPr>
        <w:tabs>
          <w:tab w:val="left" w:pos="567"/>
        </w:tabs>
        <w:spacing w:after="0"/>
        <w:rPr>
          <w:rFonts w:ascii="Arial" w:eastAsia="Arial" w:hAnsi="Arial" w:cs="Arial"/>
          <w:bCs/>
          <w:color w:val="000000"/>
          <w:highlight w:val="yellow"/>
        </w:rPr>
      </w:pPr>
      <w:r w:rsidRPr="00D646CE">
        <w:rPr>
          <w:rFonts w:ascii="Arial" w:eastAsia="Arial" w:hAnsi="Arial" w:cs="Arial"/>
          <w:bCs/>
          <w:color w:val="000000"/>
        </w:rPr>
        <w:t xml:space="preserve">Where feasible, UK manufactured products will be specified on the project. Furthermore, the construction strategy will consider increasing the amount of manufactured content on the building. For many items, this content will be produced by UK companies working in tandem with local suppliers. </w:t>
      </w:r>
    </w:p>
    <w:p w14:paraId="7F55695C" w14:textId="77777777" w:rsidR="000D05E5" w:rsidRDefault="000D05E5" w:rsidP="000D05E5">
      <w:pPr>
        <w:tabs>
          <w:tab w:val="left" w:pos="567"/>
        </w:tabs>
        <w:spacing w:after="0"/>
        <w:rPr>
          <w:rFonts w:ascii="Arial" w:eastAsia="Arial" w:hAnsi="Arial" w:cs="Arial"/>
          <w:bCs/>
          <w:color w:val="000000"/>
          <w:highlight w:val="yellow"/>
        </w:rPr>
      </w:pPr>
    </w:p>
    <w:p w14:paraId="0AB7D8E6" w14:textId="77777777" w:rsidR="000D05E5" w:rsidRDefault="000D05E5" w:rsidP="000D05E5">
      <w:pPr>
        <w:tabs>
          <w:tab w:val="left" w:pos="567"/>
        </w:tabs>
        <w:spacing w:after="0"/>
        <w:rPr>
          <w:rFonts w:ascii="Arial" w:eastAsia="Arial" w:hAnsi="Arial" w:cs="Arial"/>
          <w:bCs/>
          <w:color w:val="000000"/>
          <w:highlight w:val="yellow"/>
        </w:rPr>
      </w:pPr>
    </w:p>
    <w:p w14:paraId="4A08A760" w14:textId="77777777" w:rsidR="000D05E5" w:rsidRDefault="000D05E5" w:rsidP="005E0D57">
      <w:pPr>
        <w:pStyle w:val="Heading2"/>
        <w:numPr>
          <w:ilvl w:val="1"/>
          <w:numId w:val="39"/>
        </w:numPr>
        <w:rPr>
          <w:rFonts w:ascii="Arial" w:eastAsia="Arial" w:hAnsi="Arial" w:cs="Arial"/>
        </w:rPr>
      </w:pPr>
      <w:bookmarkStart w:id="479" w:name="_Toc26430026"/>
      <w:bookmarkStart w:id="480" w:name="_Toc32842777"/>
      <w:bookmarkEnd w:id="449"/>
      <w:bookmarkEnd w:id="450"/>
      <w:r>
        <w:rPr>
          <w:rFonts w:ascii="Arial" w:eastAsia="Arial" w:hAnsi="Arial" w:cs="Arial"/>
        </w:rPr>
        <w:t>Contractual issues and accountancy treatment</w:t>
      </w:r>
      <w:bookmarkEnd w:id="479"/>
      <w:bookmarkEnd w:id="480"/>
    </w:p>
    <w:p w14:paraId="4909F414" w14:textId="77777777" w:rsidR="000D05E5" w:rsidRPr="00386E1C" w:rsidRDefault="000D05E5" w:rsidP="000D05E5">
      <w:pPr>
        <w:tabs>
          <w:tab w:val="left" w:pos="567"/>
        </w:tabs>
        <w:spacing w:after="0"/>
        <w:rPr>
          <w:rFonts w:ascii="Arial" w:eastAsia="Arial" w:hAnsi="Arial" w:cs="Arial"/>
          <w:bCs/>
          <w:color w:val="000000"/>
        </w:rPr>
      </w:pPr>
    </w:p>
    <w:p w14:paraId="1DE573D1" w14:textId="0D07757A" w:rsidR="000D05E5" w:rsidRDefault="000D05E5" w:rsidP="000D05E5">
      <w:pPr>
        <w:tabs>
          <w:tab w:val="left" w:pos="567"/>
        </w:tabs>
        <w:spacing w:after="0"/>
        <w:rPr>
          <w:rFonts w:ascii="Arial" w:eastAsia="Arial" w:hAnsi="Arial" w:cs="Arial"/>
          <w:bCs/>
          <w:color w:val="000000"/>
        </w:rPr>
      </w:pPr>
      <w:r>
        <w:rPr>
          <w:rFonts w:ascii="Arial" w:eastAsia="Arial" w:hAnsi="Arial" w:cs="Arial"/>
          <w:bCs/>
          <w:color w:val="000000"/>
        </w:rPr>
        <w:t xml:space="preserve">A </w:t>
      </w:r>
      <w:r w:rsidRPr="00386E1C">
        <w:rPr>
          <w:rFonts w:ascii="Arial" w:eastAsia="Arial" w:hAnsi="Arial" w:cs="Arial"/>
          <w:b/>
          <w:color w:val="000000"/>
        </w:rPr>
        <w:t>standard form of NEC</w:t>
      </w:r>
      <w:r w:rsidR="00FE0F4C">
        <w:rPr>
          <w:rFonts w:ascii="Arial" w:eastAsia="Arial" w:hAnsi="Arial" w:cs="Arial"/>
          <w:b/>
          <w:color w:val="000000"/>
        </w:rPr>
        <w:t>4</w:t>
      </w:r>
      <w:r>
        <w:rPr>
          <w:rFonts w:ascii="Arial" w:eastAsia="Arial" w:hAnsi="Arial" w:cs="Arial"/>
          <w:bCs/>
          <w:color w:val="000000"/>
        </w:rPr>
        <w:t xml:space="preserve"> </w:t>
      </w:r>
      <w:r w:rsidRPr="00386E1C">
        <w:rPr>
          <w:rFonts w:ascii="Arial" w:eastAsia="Arial" w:hAnsi="Arial" w:cs="Arial"/>
          <w:b/>
          <w:color w:val="000000"/>
        </w:rPr>
        <w:t>contract</w:t>
      </w:r>
      <w:r w:rsidRPr="00FE0F4C">
        <w:rPr>
          <w:rFonts w:ascii="Arial" w:eastAsia="Arial" w:hAnsi="Arial" w:cs="Arial"/>
          <w:b/>
          <w:color w:val="000000"/>
        </w:rPr>
        <w:t xml:space="preserve"> Option A</w:t>
      </w:r>
      <w:r w:rsidR="00FE0F4C" w:rsidRPr="00FE0F4C">
        <w:rPr>
          <w:rFonts w:ascii="Arial" w:eastAsia="Arial" w:hAnsi="Arial" w:cs="Arial"/>
          <w:b/>
          <w:color w:val="000000"/>
        </w:rPr>
        <w:t xml:space="preserve"> – </w:t>
      </w:r>
      <w:r w:rsidRPr="00FE0F4C">
        <w:rPr>
          <w:rFonts w:ascii="Arial" w:eastAsia="Arial" w:hAnsi="Arial" w:cs="Arial"/>
          <w:b/>
          <w:color w:val="000000"/>
        </w:rPr>
        <w:t xml:space="preserve"> </w:t>
      </w:r>
      <w:r w:rsidR="00FE0F4C" w:rsidRPr="00FE0F4C">
        <w:rPr>
          <w:rFonts w:ascii="Arial" w:eastAsia="Arial" w:hAnsi="Arial" w:cs="Arial"/>
          <w:b/>
          <w:color w:val="000000"/>
        </w:rPr>
        <w:t xml:space="preserve">Priced Contract with </w:t>
      </w:r>
      <w:r w:rsidR="00FE0F4C">
        <w:rPr>
          <w:rFonts w:ascii="Arial" w:eastAsia="Arial" w:hAnsi="Arial" w:cs="Arial"/>
          <w:b/>
          <w:color w:val="000000"/>
        </w:rPr>
        <w:t>A</w:t>
      </w:r>
      <w:r w:rsidR="00FE0F4C" w:rsidRPr="00FE0F4C">
        <w:rPr>
          <w:rFonts w:ascii="Arial" w:eastAsia="Arial" w:hAnsi="Arial" w:cs="Arial"/>
          <w:b/>
          <w:color w:val="000000"/>
        </w:rPr>
        <w:t xml:space="preserve">ctivity Schedules </w:t>
      </w:r>
      <w:r>
        <w:rPr>
          <w:rFonts w:ascii="Arial" w:eastAsia="Arial" w:hAnsi="Arial" w:cs="Arial"/>
          <w:bCs/>
          <w:color w:val="000000"/>
        </w:rPr>
        <w:t xml:space="preserve">will be used for the project. Key contractual issues (such as change control and dispute resolution) will be confirmed for FBC. Proposed payment mechanisms and risk allocation are set out in sections </w:t>
      </w:r>
      <w:r w:rsidR="00FE0F4C">
        <w:rPr>
          <w:rFonts w:ascii="Arial" w:eastAsia="Arial" w:hAnsi="Arial" w:cs="Arial"/>
          <w:bCs/>
          <w:color w:val="000000"/>
        </w:rPr>
        <w:fldChar w:fldCharType="begin"/>
      </w:r>
      <w:r w:rsidR="00FE0F4C">
        <w:rPr>
          <w:rFonts w:ascii="Arial" w:eastAsia="Arial" w:hAnsi="Arial" w:cs="Arial"/>
          <w:bCs/>
          <w:color w:val="000000"/>
        </w:rPr>
        <w:instrText xml:space="preserve"> REF _Ref27580255 \r \h </w:instrText>
      </w:r>
      <w:r w:rsidR="00FE0F4C">
        <w:rPr>
          <w:rFonts w:ascii="Arial" w:eastAsia="Arial" w:hAnsi="Arial" w:cs="Arial"/>
          <w:bCs/>
          <w:color w:val="000000"/>
        </w:rPr>
      </w:r>
      <w:r w:rsidR="00FE0F4C">
        <w:rPr>
          <w:rFonts w:ascii="Arial" w:eastAsia="Arial" w:hAnsi="Arial" w:cs="Arial"/>
          <w:bCs/>
          <w:color w:val="000000"/>
        </w:rPr>
        <w:fldChar w:fldCharType="separate"/>
      </w:r>
      <w:r w:rsidR="00A936CD">
        <w:rPr>
          <w:rFonts w:ascii="Arial" w:eastAsia="Arial" w:hAnsi="Arial" w:cs="Arial"/>
          <w:bCs/>
          <w:color w:val="000000"/>
        </w:rPr>
        <w:t>7.6</w:t>
      </w:r>
      <w:r w:rsidR="00FE0F4C">
        <w:rPr>
          <w:rFonts w:ascii="Arial" w:eastAsia="Arial" w:hAnsi="Arial" w:cs="Arial"/>
          <w:bCs/>
          <w:color w:val="000000"/>
        </w:rPr>
        <w:fldChar w:fldCharType="end"/>
      </w:r>
      <w:r w:rsidR="00FE0F4C">
        <w:rPr>
          <w:rFonts w:ascii="Arial" w:eastAsia="Arial" w:hAnsi="Arial" w:cs="Arial"/>
          <w:bCs/>
          <w:color w:val="000000"/>
        </w:rPr>
        <w:t xml:space="preserve"> </w:t>
      </w:r>
      <w:r>
        <w:rPr>
          <w:rFonts w:ascii="Arial" w:eastAsia="Arial" w:hAnsi="Arial" w:cs="Arial"/>
          <w:bCs/>
          <w:color w:val="000000"/>
        </w:rPr>
        <w:t xml:space="preserve">and </w:t>
      </w:r>
      <w:r w:rsidR="00FE0F4C">
        <w:rPr>
          <w:rFonts w:ascii="Arial" w:eastAsia="Arial" w:hAnsi="Arial" w:cs="Arial"/>
          <w:bCs/>
          <w:color w:val="000000"/>
        </w:rPr>
        <w:fldChar w:fldCharType="begin"/>
      </w:r>
      <w:r w:rsidR="00FE0F4C">
        <w:rPr>
          <w:rFonts w:ascii="Arial" w:eastAsia="Arial" w:hAnsi="Arial" w:cs="Arial"/>
          <w:bCs/>
          <w:color w:val="000000"/>
        </w:rPr>
        <w:instrText xml:space="preserve"> REF _Ref27580286 \r \h </w:instrText>
      </w:r>
      <w:r w:rsidR="00FE0F4C">
        <w:rPr>
          <w:rFonts w:ascii="Arial" w:eastAsia="Arial" w:hAnsi="Arial" w:cs="Arial"/>
          <w:bCs/>
          <w:color w:val="000000"/>
        </w:rPr>
      </w:r>
      <w:r w:rsidR="00FE0F4C">
        <w:rPr>
          <w:rFonts w:ascii="Arial" w:eastAsia="Arial" w:hAnsi="Arial" w:cs="Arial"/>
          <w:bCs/>
          <w:color w:val="000000"/>
        </w:rPr>
        <w:fldChar w:fldCharType="separate"/>
      </w:r>
      <w:r w:rsidR="00A936CD">
        <w:rPr>
          <w:rFonts w:ascii="Arial" w:eastAsia="Arial" w:hAnsi="Arial" w:cs="Arial"/>
          <w:bCs/>
          <w:color w:val="000000"/>
        </w:rPr>
        <w:t>7.5</w:t>
      </w:r>
      <w:r w:rsidR="00FE0F4C">
        <w:rPr>
          <w:rFonts w:ascii="Arial" w:eastAsia="Arial" w:hAnsi="Arial" w:cs="Arial"/>
          <w:bCs/>
          <w:color w:val="000000"/>
        </w:rPr>
        <w:fldChar w:fldCharType="end"/>
      </w:r>
      <w:r>
        <w:rPr>
          <w:rFonts w:ascii="Arial" w:eastAsia="Arial" w:hAnsi="Arial" w:cs="Arial"/>
          <w:bCs/>
          <w:color w:val="000000"/>
        </w:rPr>
        <w:t>.</w:t>
      </w:r>
    </w:p>
    <w:p w14:paraId="0698D685" w14:textId="77777777" w:rsidR="000D05E5" w:rsidRDefault="000D05E5" w:rsidP="000D05E5">
      <w:pPr>
        <w:tabs>
          <w:tab w:val="left" w:pos="567"/>
        </w:tabs>
        <w:spacing w:after="0"/>
        <w:rPr>
          <w:rFonts w:ascii="Arial" w:eastAsia="Arial" w:hAnsi="Arial" w:cs="Arial"/>
          <w:bCs/>
          <w:color w:val="000000"/>
        </w:rPr>
      </w:pPr>
    </w:p>
    <w:p w14:paraId="306A6BA2" w14:textId="6A3150FB" w:rsidR="000D05E5" w:rsidRDefault="000D05E5" w:rsidP="000D05E5">
      <w:pPr>
        <w:tabs>
          <w:tab w:val="left" w:pos="567"/>
        </w:tabs>
        <w:spacing w:after="0"/>
        <w:rPr>
          <w:rFonts w:ascii="Arial" w:eastAsia="Arial" w:hAnsi="Arial" w:cs="Arial"/>
          <w:bCs/>
          <w:color w:val="000000"/>
        </w:rPr>
      </w:pPr>
      <w:r w:rsidRPr="00386E1C">
        <w:rPr>
          <w:rFonts w:ascii="Arial" w:eastAsia="Arial" w:hAnsi="Arial" w:cs="Arial"/>
          <w:b/>
          <w:color w:val="000000"/>
        </w:rPr>
        <w:t>Accountancy treatment</w:t>
      </w:r>
      <w:r>
        <w:rPr>
          <w:rFonts w:ascii="Arial" w:eastAsia="Arial" w:hAnsi="Arial" w:cs="Arial"/>
          <w:bCs/>
          <w:color w:val="000000"/>
        </w:rPr>
        <w:t xml:space="preserve"> i</w:t>
      </w:r>
      <w:r w:rsidR="00156CB3">
        <w:rPr>
          <w:rFonts w:ascii="Arial" w:eastAsia="Arial" w:hAnsi="Arial" w:cs="Arial"/>
          <w:bCs/>
          <w:color w:val="000000"/>
        </w:rPr>
        <w:t xml:space="preserve">s addressed in the </w:t>
      </w:r>
      <w:r w:rsidR="00236908">
        <w:rPr>
          <w:rFonts w:ascii="Arial" w:eastAsia="Arial" w:hAnsi="Arial" w:cs="Arial"/>
          <w:bCs/>
          <w:color w:val="000000"/>
        </w:rPr>
        <w:t>Finance Case</w:t>
      </w:r>
      <w:r w:rsidR="00156CB3">
        <w:rPr>
          <w:rFonts w:ascii="Arial" w:eastAsia="Arial" w:hAnsi="Arial" w:cs="Arial"/>
          <w:bCs/>
          <w:color w:val="000000"/>
        </w:rPr>
        <w:t>.</w:t>
      </w:r>
    </w:p>
    <w:p w14:paraId="7DAFEBFB" w14:textId="77777777" w:rsidR="000D05E5" w:rsidRDefault="000D05E5" w:rsidP="000D05E5">
      <w:pPr>
        <w:tabs>
          <w:tab w:val="left" w:pos="567"/>
        </w:tabs>
        <w:spacing w:after="0"/>
        <w:rPr>
          <w:rFonts w:ascii="Arial" w:eastAsia="Arial" w:hAnsi="Arial" w:cs="Arial"/>
          <w:bCs/>
          <w:color w:val="000000"/>
        </w:rPr>
      </w:pPr>
    </w:p>
    <w:p w14:paraId="60FCFCFC" w14:textId="16BF2637" w:rsidR="000D05E5" w:rsidRDefault="000D05E5" w:rsidP="000D05E5">
      <w:pPr>
        <w:tabs>
          <w:tab w:val="left" w:pos="567"/>
        </w:tabs>
        <w:spacing w:after="0"/>
        <w:rPr>
          <w:rFonts w:ascii="Arial" w:eastAsia="Arial" w:hAnsi="Arial" w:cs="Arial"/>
          <w:bCs/>
          <w:color w:val="000000"/>
        </w:rPr>
      </w:pPr>
      <w:r w:rsidRPr="00386E1C">
        <w:rPr>
          <w:rFonts w:ascii="Arial" w:eastAsia="Arial" w:hAnsi="Arial" w:cs="Arial"/>
          <w:b/>
          <w:color w:val="000000"/>
        </w:rPr>
        <w:t>Personnel implications</w:t>
      </w:r>
      <w:r>
        <w:rPr>
          <w:rFonts w:ascii="Arial" w:eastAsia="Arial" w:hAnsi="Arial" w:cs="Arial"/>
          <w:bCs/>
          <w:color w:val="000000"/>
        </w:rPr>
        <w:t xml:space="preserve"> are addressed in the </w:t>
      </w:r>
      <w:r w:rsidR="00236908">
        <w:rPr>
          <w:rFonts w:ascii="Arial" w:eastAsia="Arial" w:hAnsi="Arial" w:cs="Arial"/>
          <w:bCs/>
          <w:color w:val="000000"/>
        </w:rPr>
        <w:t xml:space="preserve">Clinical Quality Case </w:t>
      </w:r>
      <w:r>
        <w:rPr>
          <w:rFonts w:ascii="Arial" w:eastAsia="Arial" w:hAnsi="Arial" w:cs="Arial"/>
          <w:bCs/>
          <w:color w:val="000000"/>
        </w:rPr>
        <w:t xml:space="preserve">section </w:t>
      </w:r>
      <w:r w:rsidR="0004407D">
        <w:rPr>
          <w:rFonts w:ascii="Arial" w:eastAsia="Arial" w:hAnsi="Arial" w:cs="Arial"/>
          <w:bCs/>
          <w:color w:val="000000"/>
        </w:rPr>
        <w:fldChar w:fldCharType="begin"/>
      </w:r>
      <w:r w:rsidR="0004407D">
        <w:rPr>
          <w:rFonts w:ascii="Arial" w:eastAsia="Arial" w:hAnsi="Arial" w:cs="Arial"/>
          <w:bCs/>
          <w:color w:val="000000"/>
        </w:rPr>
        <w:instrText xml:space="preserve"> REF _Ref27132280 \r \h </w:instrText>
      </w:r>
      <w:r w:rsidR="0004407D">
        <w:rPr>
          <w:rFonts w:ascii="Arial" w:eastAsia="Arial" w:hAnsi="Arial" w:cs="Arial"/>
          <w:bCs/>
          <w:color w:val="000000"/>
        </w:rPr>
      </w:r>
      <w:r w:rsidR="0004407D">
        <w:rPr>
          <w:rFonts w:ascii="Arial" w:eastAsia="Arial" w:hAnsi="Arial" w:cs="Arial"/>
          <w:bCs/>
          <w:color w:val="000000"/>
        </w:rPr>
        <w:fldChar w:fldCharType="separate"/>
      </w:r>
      <w:r w:rsidR="00A936CD">
        <w:rPr>
          <w:rFonts w:ascii="Arial" w:eastAsia="Arial" w:hAnsi="Arial" w:cs="Arial"/>
          <w:bCs/>
          <w:color w:val="000000"/>
        </w:rPr>
        <w:t>5.6</w:t>
      </w:r>
      <w:r w:rsidR="0004407D">
        <w:rPr>
          <w:rFonts w:ascii="Arial" w:eastAsia="Arial" w:hAnsi="Arial" w:cs="Arial"/>
          <w:bCs/>
          <w:color w:val="000000"/>
        </w:rPr>
        <w:fldChar w:fldCharType="end"/>
      </w:r>
      <w:r>
        <w:rPr>
          <w:rFonts w:ascii="Arial" w:eastAsia="Arial" w:hAnsi="Arial" w:cs="Arial"/>
          <w:bCs/>
          <w:color w:val="000000"/>
        </w:rPr>
        <w:t>.</w:t>
      </w:r>
    </w:p>
    <w:p w14:paraId="648232AD" w14:textId="77777777" w:rsidR="000D05E5" w:rsidRDefault="000D05E5" w:rsidP="000D05E5">
      <w:pPr>
        <w:tabs>
          <w:tab w:val="left" w:pos="567"/>
        </w:tabs>
        <w:spacing w:after="0"/>
        <w:rPr>
          <w:rFonts w:ascii="Arial" w:eastAsia="Arial" w:hAnsi="Arial" w:cs="Arial"/>
          <w:bCs/>
          <w:color w:val="000000"/>
        </w:rPr>
      </w:pPr>
    </w:p>
    <w:p w14:paraId="71DEFC99" w14:textId="62DC3A96" w:rsidR="000D05E5" w:rsidRDefault="000D05E5" w:rsidP="000D05E5">
      <w:pPr>
        <w:tabs>
          <w:tab w:val="left" w:pos="567"/>
        </w:tabs>
        <w:spacing w:after="0"/>
        <w:rPr>
          <w:rFonts w:ascii="Arial" w:eastAsia="Arial" w:hAnsi="Arial" w:cs="Arial"/>
          <w:bCs/>
          <w:color w:val="000000"/>
        </w:rPr>
      </w:pPr>
      <w:r>
        <w:rPr>
          <w:rFonts w:ascii="Arial" w:eastAsia="Arial" w:hAnsi="Arial" w:cs="Arial"/>
          <w:bCs/>
          <w:color w:val="000000"/>
        </w:rPr>
        <w:t xml:space="preserve">The </w:t>
      </w:r>
      <w:r>
        <w:rPr>
          <w:rFonts w:ascii="Arial" w:eastAsia="Arial" w:hAnsi="Arial" w:cs="Arial"/>
          <w:b/>
          <w:color w:val="000000"/>
        </w:rPr>
        <w:t>disposal strategy</w:t>
      </w:r>
      <w:r>
        <w:rPr>
          <w:rFonts w:ascii="Arial" w:eastAsia="Arial" w:hAnsi="Arial" w:cs="Arial"/>
          <w:bCs/>
          <w:color w:val="000000"/>
        </w:rPr>
        <w:t xml:space="preserve"> identifies the need to achieve best value from the sale of City Road, through a sale subject to planning. The partners will be required to commit to a vacant possession date, which will be closely monitored through management of the programme to achieve the critical path (see </w:t>
      </w:r>
      <w:r w:rsidR="00236908">
        <w:rPr>
          <w:rFonts w:ascii="Arial" w:eastAsia="Arial" w:hAnsi="Arial" w:cs="Arial"/>
          <w:bCs/>
          <w:color w:val="000000"/>
        </w:rPr>
        <w:t xml:space="preserve">Management Case </w:t>
      </w:r>
      <w:r>
        <w:rPr>
          <w:rFonts w:ascii="Arial" w:eastAsia="Arial" w:hAnsi="Arial" w:cs="Arial"/>
          <w:bCs/>
          <w:color w:val="000000"/>
        </w:rPr>
        <w:t xml:space="preserve">section </w:t>
      </w:r>
      <w:r w:rsidR="0004407D">
        <w:rPr>
          <w:rFonts w:ascii="Arial" w:eastAsia="Arial" w:hAnsi="Arial" w:cs="Arial"/>
          <w:bCs/>
          <w:color w:val="000000"/>
        </w:rPr>
        <w:fldChar w:fldCharType="begin"/>
      </w:r>
      <w:r w:rsidR="0004407D">
        <w:rPr>
          <w:rFonts w:ascii="Arial" w:eastAsia="Arial" w:hAnsi="Arial" w:cs="Arial"/>
          <w:bCs/>
          <w:color w:val="000000"/>
        </w:rPr>
        <w:instrText xml:space="preserve"> REF _Ref32503570 \r \h </w:instrText>
      </w:r>
      <w:r w:rsidR="0004407D">
        <w:rPr>
          <w:rFonts w:ascii="Arial" w:eastAsia="Arial" w:hAnsi="Arial" w:cs="Arial"/>
          <w:bCs/>
          <w:color w:val="000000"/>
        </w:rPr>
      </w:r>
      <w:r w:rsidR="0004407D">
        <w:rPr>
          <w:rFonts w:ascii="Arial" w:eastAsia="Arial" w:hAnsi="Arial" w:cs="Arial"/>
          <w:bCs/>
          <w:color w:val="000000"/>
        </w:rPr>
        <w:fldChar w:fldCharType="separate"/>
      </w:r>
      <w:r w:rsidR="00A936CD">
        <w:rPr>
          <w:rFonts w:ascii="Arial" w:eastAsia="Arial" w:hAnsi="Arial" w:cs="Arial"/>
          <w:bCs/>
          <w:color w:val="000000"/>
        </w:rPr>
        <w:t>8.1</w:t>
      </w:r>
      <w:r w:rsidR="0004407D">
        <w:rPr>
          <w:rFonts w:ascii="Arial" w:eastAsia="Arial" w:hAnsi="Arial" w:cs="Arial"/>
          <w:bCs/>
          <w:color w:val="000000"/>
        </w:rPr>
        <w:fldChar w:fldCharType="end"/>
      </w:r>
      <w:r>
        <w:rPr>
          <w:rFonts w:ascii="Arial" w:eastAsia="Arial" w:hAnsi="Arial" w:cs="Arial"/>
          <w:bCs/>
          <w:color w:val="000000"/>
        </w:rPr>
        <w:t>). Legal due diligence to date has not identified any issues related to the sale.</w:t>
      </w:r>
    </w:p>
    <w:p w14:paraId="128D6D0D" w14:textId="77777777" w:rsidR="000D05E5" w:rsidRDefault="000D05E5" w:rsidP="000D05E5">
      <w:pPr>
        <w:tabs>
          <w:tab w:val="left" w:pos="567"/>
        </w:tabs>
        <w:spacing w:after="0"/>
        <w:rPr>
          <w:rFonts w:ascii="Arial" w:eastAsia="Arial" w:hAnsi="Arial" w:cs="Arial"/>
          <w:bCs/>
          <w:color w:val="000000"/>
        </w:rPr>
      </w:pPr>
    </w:p>
    <w:p w14:paraId="569D3BC0" w14:textId="77777777" w:rsidR="000D05E5" w:rsidRPr="00C8221A" w:rsidRDefault="000D05E5" w:rsidP="000D05E5">
      <w:pPr>
        <w:tabs>
          <w:tab w:val="left" w:pos="567"/>
        </w:tabs>
        <w:spacing w:after="0"/>
        <w:rPr>
          <w:rFonts w:ascii="Arial" w:eastAsia="Arial" w:hAnsi="Arial" w:cs="Arial"/>
          <w:bCs/>
          <w:color w:val="000000"/>
        </w:rPr>
      </w:pPr>
      <w:r>
        <w:rPr>
          <w:rFonts w:ascii="Arial" w:eastAsia="Arial" w:hAnsi="Arial" w:cs="Arial"/>
          <w:bCs/>
          <w:color w:val="000000"/>
        </w:rPr>
        <w:t xml:space="preserve">The </w:t>
      </w:r>
      <w:r>
        <w:rPr>
          <w:rFonts w:ascii="Arial" w:eastAsia="Arial" w:hAnsi="Arial" w:cs="Arial"/>
          <w:b/>
          <w:color w:val="000000"/>
        </w:rPr>
        <w:t xml:space="preserve">acquisition strategy </w:t>
      </w:r>
      <w:r>
        <w:rPr>
          <w:rFonts w:ascii="Arial" w:eastAsia="Arial" w:hAnsi="Arial" w:cs="Arial"/>
          <w:bCs/>
          <w:color w:val="000000"/>
        </w:rPr>
        <w:t xml:space="preserve">identifies the need to complete due diligence before the St Pancras site is purchased. Achieving the construction programme will be </w:t>
      </w:r>
      <w:r w:rsidR="0009186B">
        <w:rPr>
          <w:rFonts w:ascii="Arial" w:eastAsia="Arial" w:hAnsi="Arial" w:cs="Arial"/>
          <w:bCs/>
          <w:color w:val="000000"/>
        </w:rPr>
        <w:t>dependent</w:t>
      </w:r>
      <w:r>
        <w:rPr>
          <w:rFonts w:ascii="Arial" w:eastAsia="Arial" w:hAnsi="Arial" w:cs="Arial"/>
          <w:bCs/>
          <w:color w:val="000000"/>
        </w:rPr>
        <w:t xml:space="preserve"> on obtaining vacant possession from C&amp;I, which will be monitored through regular programme-level meetings with all trusts involved.</w:t>
      </w:r>
    </w:p>
    <w:bookmarkEnd w:id="324"/>
    <w:p w14:paraId="690A1F25" w14:textId="77777777" w:rsidR="000D05E5" w:rsidRDefault="000D05E5" w:rsidP="000D05E5">
      <w:pPr>
        <w:spacing w:after="0" w:line="240" w:lineRule="auto"/>
        <w:rPr>
          <w:rFonts w:ascii="Arial" w:eastAsia="Arial" w:hAnsi="Arial" w:cs="Arial"/>
        </w:rPr>
      </w:pPr>
    </w:p>
    <w:p w14:paraId="4459CBF2" w14:textId="77777777" w:rsidR="000D05E5" w:rsidRDefault="000D05E5">
      <w:r>
        <w:br w:type="page"/>
      </w:r>
    </w:p>
    <w:p w14:paraId="43F1E645" w14:textId="77777777" w:rsidR="00D20FB0" w:rsidRPr="00587DF1" w:rsidRDefault="00D20FB0" w:rsidP="005E0D57">
      <w:pPr>
        <w:pStyle w:val="Heading1"/>
        <w:numPr>
          <w:ilvl w:val="0"/>
          <w:numId w:val="39"/>
        </w:numPr>
        <w:ind w:hanging="720"/>
        <w:rPr>
          <w:rFonts w:ascii="Arial" w:eastAsia="Arial" w:hAnsi="Arial" w:cs="Arial"/>
        </w:rPr>
      </w:pPr>
      <w:r w:rsidRPr="00587DF1">
        <w:rPr>
          <w:rFonts w:ascii="Arial" w:eastAsia="Arial" w:hAnsi="Arial" w:cs="Arial"/>
        </w:rPr>
        <w:lastRenderedPageBreak/>
        <w:t xml:space="preserve"> </w:t>
      </w:r>
      <w:bookmarkStart w:id="481" w:name="_Toc32842778"/>
      <w:r w:rsidRPr="00587DF1">
        <w:rPr>
          <w:rFonts w:ascii="Arial" w:eastAsia="Arial" w:hAnsi="Arial" w:cs="Arial"/>
        </w:rPr>
        <w:t>Management case</w:t>
      </w:r>
      <w:bookmarkEnd w:id="481"/>
    </w:p>
    <w:p w14:paraId="321BB95D" w14:textId="77777777" w:rsidR="00D20FB0" w:rsidRPr="00587DF1" w:rsidRDefault="00D20FB0" w:rsidP="00D20FB0">
      <w:pPr>
        <w:spacing w:after="0"/>
        <w:rPr>
          <w:rFonts w:ascii="Arial" w:hAnsi="Arial" w:cs="Arial"/>
        </w:rPr>
      </w:pPr>
    </w:p>
    <w:tbl>
      <w:tblPr>
        <w:tblW w:w="0" w:type="auto"/>
        <w:tblLook w:val="04A0" w:firstRow="1" w:lastRow="0" w:firstColumn="1" w:lastColumn="0" w:noHBand="0" w:noVBand="1"/>
      </w:tblPr>
      <w:tblGrid>
        <w:gridCol w:w="9016"/>
      </w:tblGrid>
      <w:tr w:rsidR="00D20FB0" w:rsidRPr="00587DF1" w14:paraId="75F0031C" w14:textId="77777777" w:rsidTr="00D20FB0">
        <w:tc>
          <w:tcPr>
            <w:tcW w:w="9016" w:type="dxa"/>
            <w:tcBorders>
              <w:top w:val="single" w:sz="4" w:space="0" w:color="00A09D"/>
              <w:left w:val="single" w:sz="4" w:space="0" w:color="00A09D"/>
              <w:bottom w:val="single" w:sz="4" w:space="0" w:color="00A09D"/>
              <w:right w:val="single" w:sz="4" w:space="0" w:color="00A09D"/>
            </w:tcBorders>
            <w:shd w:val="clear" w:color="auto" w:fill="DEECEF"/>
          </w:tcPr>
          <w:p w14:paraId="6CA2E585" w14:textId="77777777" w:rsidR="00D20FB0" w:rsidRPr="00587DF1" w:rsidRDefault="00D20FB0" w:rsidP="00D20FB0">
            <w:pPr>
              <w:rPr>
                <w:rFonts w:ascii="Arial" w:hAnsi="Arial" w:cs="Arial"/>
                <w:b/>
                <w:bCs/>
                <w:color w:val="00A09D"/>
              </w:rPr>
            </w:pPr>
            <w:r w:rsidRPr="00587DF1">
              <w:rPr>
                <w:rFonts w:ascii="Arial" w:hAnsi="Arial" w:cs="Arial"/>
                <w:b/>
                <w:bCs/>
                <w:color w:val="00A09D"/>
              </w:rPr>
              <w:t>Management Case – chapter summary</w:t>
            </w:r>
          </w:p>
          <w:p w14:paraId="404C1D1F" w14:textId="77777777" w:rsidR="00D20FB0" w:rsidRPr="00587DF1" w:rsidRDefault="00D20FB0" w:rsidP="00D20FB0">
            <w:pPr>
              <w:spacing w:after="0"/>
              <w:rPr>
                <w:rFonts w:ascii="Arial" w:eastAsia="Arial" w:hAnsi="Arial" w:cs="Arial"/>
              </w:rPr>
            </w:pPr>
            <w:r w:rsidRPr="00587DF1">
              <w:rPr>
                <w:rFonts w:ascii="Arial" w:eastAsia="Arial" w:hAnsi="Arial" w:cs="Arial"/>
              </w:rPr>
              <w:t>This chapter sets out how Moorfields and UCL are managing the project implementation in partnership. It describes:</w:t>
            </w:r>
          </w:p>
          <w:p w14:paraId="43060734" w14:textId="77777777" w:rsidR="00D20FB0" w:rsidRPr="00587DF1" w:rsidRDefault="00D20FB0" w:rsidP="005E0D57">
            <w:pPr>
              <w:pStyle w:val="ListParagraph"/>
              <w:numPr>
                <w:ilvl w:val="0"/>
                <w:numId w:val="76"/>
              </w:numPr>
              <w:rPr>
                <w:rFonts w:ascii="Arial" w:eastAsia="Arial" w:hAnsi="Arial" w:cs="Arial"/>
              </w:rPr>
            </w:pPr>
            <w:r w:rsidRPr="00587DF1">
              <w:rPr>
                <w:rFonts w:ascii="Arial" w:eastAsia="Arial" w:hAnsi="Arial" w:cs="Arial"/>
              </w:rPr>
              <w:t xml:space="preserve">The project management methodology and framework, including </w:t>
            </w:r>
            <w:r w:rsidRPr="00587DF1">
              <w:rPr>
                <w:rFonts w:ascii="Arial" w:eastAsia="Arial" w:hAnsi="Arial" w:cs="Arial"/>
                <w:b/>
                <w:bCs/>
              </w:rPr>
              <w:t>governance</w:t>
            </w:r>
            <w:r w:rsidRPr="00587DF1">
              <w:rPr>
                <w:rFonts w:ascii="Arial" w:eastAsia="Arial" w:hAnsi="Arial" w:cs="Arial"/>
              </w:rPr>
              <w:t xml:space="preserve"> arrangements which ensure facilitate joint decision-making while maintaining appropriate oversight by Moorfields and UCL.</w:t>
            </w:r>
          </w:p>
          <w:p w14:paraId="594F20AB" w14:textId="77777777" w:rsidR="00D20FB0" w:rsidRPr="00587DF1" w:rsidRDefault="00D20FB0" w:rsidP="005E0D57">
            <w:pPr>
              <w:pStyle w:val="ListParagraph"/>
              <w:numPr>
                <w:ilvl w:val="0"/>
                <w:numId w:val="76"/>
              </w:numPr>
              <w:rPr>
                <w:rFonts w:ascii="Arial" w:eastAsia="Arial" w:hAnsi="Arial" w:cs="Arial"/>
                <w:b/>
                <w:bCs/>
              </w:rPr>
            </w:pPr>
            <w:r w:rsidRPr="00587DF1">
              <w:rPr>
                <w:rFonts w:ascii="Arial" w:eastAsia="Arial" w:hAnsi="Arial" w:cs="Arial"/>
                <w:b/>
                <w:bCs/>
              </w:rPr>
              <w:t>Change management</w:t>
            </w:r>
            <w:r w:rsidRPr="00587DF1">
              <w:rPr>
                <w:rFonts w:ascii="Arial" w:eastAsia="Arial" w:hAnsi="Arial" w:cs="Arial"/>
              </w:rPr>
              <w:t xml:space="preserve"> which has been established to ensure that project changes are controlled to ensure delivery within cost, programme and quality parameters.</w:t>
            </w:r>
          </w:p>
          <w:p w14:paraId="4BA52499" w14:textId="77777777" w:rsidR="00D20FB0" w:rsidRPr="00587DF1" w:rsidRDefault="00D20FB0" w:rsidP="005E0D57">
            <w:pPr>
              <w:pStyle w:val="ListParagraph"/>
              <w:numPr>
                <w:ilvl w:val="0"/>
                <w:numId w:val="76"/>
              </w:numPr>
              <w:rPr>
                <w:rFonts w:ascii="Arial" w:eastAsia="Arial" w:hAnsi="Arial" w:cs="Arial"/>
                <w:b/>
                <w:bCs/>
              </w:rPr>
            </w:pPr>
            <w:r w:rsidRPr="00587DF1">
              <w:rPr>
                <w:rFonts w:ascii="Arial" w:eastAsia="Arial" w:hAnsi="Arial" w:cs="Arial"/>
              </w:rPr>
              <w:t>Organisational change management, which will be key in changing the culture and approach to working amongst all staff groups, to achieve maximum benefit from the project.</w:t>
            </w:r>
          </w:p>
          <w:p w14:paraId="1979F1AD" w14:textId="77777777" w:rsidR="00D20FB0" w:rsidRPr="00587DF1" w:rsidRDefault="00D20FB0" w:rsidP="005E0D57">
            <w:pPr>
              <w:pStyle w:val="ListParagraph"/>
              <w:numPr>
                <w:ilvl w:val="0"/>
                <w:numId w:val="76"/>
              </w:numPr>
              <w:rPr>
                <w:rFonts w:ascii="Arial" w:eastAsia="Arial" w:hAnsi="Arial" w:cs="Arial"/>
                <w:b/>
                <w:bCs/>
              </w:rPr>
            </w:pPr>
            <w:r w:rsidRPr="00587DF1">
              <w:rPr>
                <w:rFonts w:ascii="Arial" w:eastAsia="Arial" w:hAnsi="Arial" w:cs="Arial"/>
              </w:rPr>
              <w:t xml:space="preserve">The project </w:t>
            </w:r>
            <w:r w:rsidRPr="00587DF1">
              <w:rPr>
                <w:rFonts w:ascii="Arial" w:eastAsia="Arial" w:hAnsi="Arial" w:cs="Arial"/>
                <w:b/>
                <w:bCs/>
              </w:rPr>
              <w:t>programme, benefits and risk register.</w:t>
            </w:r>
          </w:p>
          <w:p w14:paraId="7639497E" w14:textId="77777777" w:rsidR="00D20FB0" w:rsidRPr="00587DF1" w:rsidRDefault="00D20FB0" w:rsidP="005E0D57">
            <w:pPr>
              <w:pStyle w:val="ListParagraph"/>
              <w:numPr>
                <w:ilvl w:val="0"/>
                <w:numId w:val="76"/>
              </w:numPr>
              <w:rPr>
                <w:rFonts w:ascii="Arial" w:eastAsia="Arial" w:hAnsi="Arial" w:cs="Arial"/>
                <w:b/>
                <w:bCs/>
              </w:rPr>
            </w:pPr>
            <w:r w:rsidRPr="00587DF1">
              <w:rPr>
                <w:rFonts w:ascii="Arial" w:eastAsia="Arial" w:hAnsi="Arial" w:cs="Arial"/>
              </w:rPr>
              <w:t xml:space="preserve">The </w:t>
            </w:r>
            <w:r w:rsidRPr="00587DF1">
              <w:rPr>
                <w:rFonts w:ascii="Arial" w:eastAsia="Arial" w:hAnsi="Arial" w:cs="Arial"/>
                <w:b/>
                <w:bCs/>
              </w:rPr>
              <w:t>communications strategy</w:t>
            </w:r>
            <w:r w:rsidRPr="00587DF1">
              <w:rPr>
                <w:rFonts w:ascii="Arial" w:eastAsia="Arial" w:hAnsi="Arial" w:cs="Arial"/>
              </w:rPr>
              <w:t xml:space="preserve"> which builds upon the significant patient, staff and public engagement undertaken during the public consultation.</w:t>
            </w:r>
          </w:p>
          <w:p w14:paraId="0EC56A33" w14:textId="77777777" w:rsidR="00D20FB0" w:rsidRPr="00587DF1" w:rsidRDefault="00D20FB0" w:rsidP="005E0D57">
            <w:pPr>
              <w:pStyle w:val="ListParagraph"/>
              <w:numPr>
                <w:ilvl w:val="0"/>
                <w:numId w:val="76"/>
              </w:numPr>
              <w:rPr>
                <w:rFonts w:ascii="Arial" w:eastAsia="Arial" w:hAnsi="Arial" w:cs="Arial"/>
                <w:b/>
                <w:bCs/>
              </w:rPr>
            </w:pPr>
            <w:r w:rsidRPr="00587DF1">
              <w:rPr>
                <w:rFonts w:ascii="Arial" w:eastAsia="Arial" w:hAnsi="Arial" w:cs="Arial"/>
              </w:rPr>
              <w:t xml:space="preserve">Proposals for ongoing </w:t>
            </w:r>
            <w:r w:rsidRPr="00587DF1">
              <w:rPr>
                <w:rFonts w:ascii="Arial" w:eastAsia="Arial" w:hAnsi="Arial" w:cs="Arial"/>
                <w:b/>
                <w:bCs/>
              </w:rPr>
              <w:t>project assurance and post-project evaluation</w:t>
            </w:r>
            <w:r w:rsidRPr="00587DF1">
              <w:rPr>
                <w:rFonts w:ascii="Arial" w:eastAsia="Arial" w:hAnsi="Arial" w:cs="Arial"/>
              </w:rPr>
              <w:t>.</w:t>
            </w:r>
          </w:p>
          <w:p w14:paraId="4687F115" w14:textId="77777777" w:rsidR="00D20FB0" w:rsidRPr="00587DF1" w:rsidRDefault="00D20FB0" w:rsidP="00D20FB0">
            <w:pPr>
              <w:spacing w:after="0"/>
              <w:rPr>
                <w:rFonts w:ascii="Arial" w:hAnsi="Arial" w:cs="Arial"/>
                <w:b/>
                <w:bCs/>
                <w:i/>
                <w:iCs/>
              </w:rPr>
            </w:pPr>
            <w:r w:rsidRPr="00587DF1">
              <w:rPr>
                <w:rFonts w:ascii="Arial" w:hAnsi="Arial" w:cs="Arial"/>
                <w:b/>
                <w:bCs/>
                <w:i/>
                <w:iCs/>
              </w:rPr>
              <w:t>Key supporting documents:</w:t>
            </w:r>
          </w:p>
          <w:p w14:paraId="0AF866CF" w14:textId="13DE55AF" w:rsidR="00987E00" w:rsidRDefault="00987E00" w:rsidP="005E0D57">
            <w:pPr>
              <w:pStyle w:val="ListParagraph"/>
              <w:numPr>
                <w:ilvl w:val="0"/>
                <w:numId w:val="54"/>
              </w:numPr>
              <w:rPr>
                <w:rFonts w:ascii="Arial" w:hAnsi="Arial" w:cs="Arial"/>
                <w:b/>
                <w:bCs/>
                <w:i/>
                <w:iCs/>
              </w:rPr>
            </w:pPr>
            <w:r>
              <w:rPr>
                <w:rFonts w:ascii="Arial" w:hAnsi="Arial" w:cs="Arial"/>
                <w:b/>
                <w:bCs/>
                <w:i/>
                <w:iCs/>
              </w:rPr>
              <w:t xml:space="preserve">Appendix </w:t>
            </w:r>
            <w:r w:rsidR="00C96BA8">
              <w:rPr>
                <w:rFonts w:ascii="Arial" w:hAnsi="Arial" w:cs="Arial"/>
                <w:b/>
                <w:bCs/>
                <w:i/>
                <w:iCs/>
              </w:rPr>
              <w:t>8A – Benefits realisation plan</w:t>
            </w:r>
          </w:p>
          <w:p w14:paraId="207B78F9" w14:textId="213961A6" w:rsidR="0088520D" w:rsidRDefault="0088520D" w:rsidP="0088520D">
            <w:pPr>
              <w:pStyle w:val="ListParagraph"/>
              <w:numPr>
                <w:ilvl w:val="0"/>
                <w:numId w:val="54"/>
              </w:numPr>
              <w:rPr>
                <w:rFonts w:ascii="Arial" w:hAnsi="Arial" w:cs="Arial"/>
                <w:b/>
                <w:bCs/>
                <w:i/>
                <w:iCs/>
              </w:rPr>
            </w:pPr>
            <w:r w:rsidRPr="00587DF1">
              <w:rPr>
                <w:rFonts w:ascii="Arial" w:hAnsi="Arial" w:cs="Arial"/>
                <w:b/>
                <w:bCs/>
                <w:i/>
                <w:iCs/>
              </w:rPr>
              <w:t xml:space="preserve">Appendix </w:t>
            </w:r>
            <w:r>
              <w:rPr>
                <w:rFonts w:ascii="Arial" w:hAnsi="Arial" w:cs="Arial"/>
                <w:b/>
                <w:bCs/>
                <w:i/>
                <w:iCs/>
              </w:rPr>
              <w:t>8B</w:t>
            </w:r>
            <w:r w:rsidRPr="00587DF1">
              <w:rPr>
                <w:rFonts w:ascii="Arial" w:hAnsi="Arial" w:cs="Arial"/>
                <w:b/>
                <w:bCs/>
                <w:i/>
                <w:iCs/>
              </w:rPr>
              <w:t xml:space="preserve"> – Risk register</w:t>
            </w:r>
          </w:p>
          <w:p w14:paraId="5AE7DAFB" w14:textId="1E30337C" w:rsidR="00D20FB0" w:rsidRPr="00587DF1" w:rsidRDefault="00D20FB0" w:rsidP="005E0D57">
            <w:pPr>
              <w:pStyle w:val="ListParagraph"/>
              <w:numPr>
                <w:ilvl w:val="0"/>
                <w:numId w:val="54"/>
              </w:numPr>
              <w:rPr>
                <w:rFonts w:ascii="Arial" w:hAnsi="Arial" w:cs="Arial"/>
                <w:b/>
                <w:bCs/>
                <w:i/>
                <w:iCs/>
              </w:rPr>
            </w:pPr>
            <w:r w:rsidRPr="00587DF1">
              <w:rPr>
                <w:rFonts w:ascii="Arial" w:hAnsi="Arial" w:cs="Arial"/>
                <w:b/>
                <w:bCs/>
                <w:i/>
                <w:iCs/>
              </w:rPr>
              <w:t xml:space="preserve">Appendix </w:t>
            </w:r>
            <w:r w:rsidR="0088520D">
              <w:rPr>
                <w:rFonts w:ascii="Arial" w:hAnsi="Arial" w:cs="Arial"/>
                <w:b/>
                <w:bCs/>
                <w:i/>
                <w:iCs/>
              </w:rPr>
              <w:t>8C</w:t>
            </w:r>
            <w:r w:rsidRPr="00587DF1">
              <w:rPr>
                <w:rFonts w:ascii="Arial" w:hAnsi="Arial" w:cs="Arial"/>
                <w:b/>
                <w:bCs/>
                <w:i/>
                <w:iCs/>
              </w:rPr>
              <w:t xml:space="preserve"> – Programme plan</w:t>
            </w:r>
          </w:p>
          <w:p w14:paraId="1CDD4EB2" w14:textId="66E59190" w:rsidR="00C96BA8" w:rsidRPr="00C96BA8" w:rsidRDefault="00C96BA8" w:rsidP="00C96BA8">
            <w:pPr>
              <w:pStyle w:val="ListParagraph"/>
              <w:numPr>
                <w:ilvl w:val="0"/>
                <w:numId w:val="54"/>
              </w:numPr>
              <w:rPr>
                <w:rFonts w:ascii="Arial" w:hAnsi="Arial" w:cs="Arial"/>
                <w:b/>
                <w:bCs/>
                <w:i/>
                <w:iCs/>
              </w:rPr>
            </w:pPr>
            <w:r w:rsidRPr="00587DF1">
              <w:rPr>
                <w:rFonts w:ascii="Arial" w:hAnsi="Arial" w:cs="Arial"/>
                <w:b/>
                <w:bCs/>
                <w:i/>
                <w:iCs/>
              </w:rPr>
              <w:t xml:space="preserve">Appendix </w:t>
            </w:r>
            <w:r>
              <w:rPr>
                <w:rFonts w:ascii="Arial" w:hAnsi="Arial" w:cs="Arial"/>
                <w:b/>
                <w:bCs/>
                <w:i/>
                <w:iCs/>
              </w:rPr>
              <w:t>8D</w:t>
            </w:r>
            <w:r w:rsidRPr="00587DF1">
              <w:rPr>
                <w:rFonts w:ascii="Arial" w:hAnsi="Arial" w:cs="Arial"/>
                <w:b/>
                <w:bCs/>
                <w:i/>
                <w:iCs/>
              </w:rPr>
              <w:t xml:space="preserve"> – Oriel workstream responsibilities</w:t>
            </w:r>
          </w:p>
          <w:p w14:paraId="7FF2676B" w14:textId="77777777" w:rsidR="00D20FB0" w:rsidRDefault="00D20FB0" w:rsidP="005E0D57">
            <w:pPr>
              <w:pStyle w:val="ListParagraph"/>
              <w:numPr>
                <w:ilvl w:val="0"/>
                <w:numId w:val="54"/>
              </w:numPr>
              <w:rPr>
                <w:rFonts w:ascii="Arial" w:hAnsi="Arial" w:cs="Arial"/>
                <w:b/>
                <w:bCs/>
                <w:i/>
                <w:iCs/>
              </w:rPr>
            </w:pPr>
            <w:r w:rsidRPr="00587DF1">
              <w:rPr>
                <w:rFonts w:ascii="Arial" w:hAnsi="Arial" w:cs="Arial"/>
                <w:b/>
                <w:bCs/>
                <w:i/>
                <w:iCs/>
              </w:rPr>
              <w:t xml:space="preserve">Appendix </w:t>
            </w:r>
            <w:r w:rsidR="0088520D">
              <w:rPr>
                <w:rFonts w:ascii="Arial" w:hAnsi="Arial" w:cs="Arial"/>
                <w:b/>
                <w:bCs/>
                <w:i/>
                <w:iCs/>
              </w:rPr>
              <w:t>8E</w:t>
            </w:r>
            <w:r w:rsidRPr="00587DF1">
              <w:rPr>
                <w:rFonts w:ascii="Arial" w:hAnsi="Arial" w:cs="Arial"/>
                <w:b/>
                <w:bCs/>
                <w:i/>
                <w:iCs/>
              </w:rPr>
              <w:t xml:space="preserve"> – Communications strategy and plan</w:t>
            </w:r>
          </w:p>
          <w:p w14:paraId="3016CE2B" w14:textId="11CD493F" w:rsidR="0088520D" w:rsidRPr="00587DF1" w:rsidRDefault="0088520D" w:rsidP="005E0D57">
            <w:pPr>
              <w:pStyle w:val="ListParagraph"/>
              <w:numPr>
                <w:ilvl w:val="0"/>
                <w:numId w:val="54"/>
              </w:numPr>
              <w:rPr>
                <w:rFonts w:ascii="Arial" w:hAnsi="Arial" w:cs="Arial"/>
                <w:b/>
                <w:bCs/>
                <w:i/>
                <w:iCs/>
              </w:rPr>
            </w:pPr>
            <w:r w:rsidRPr="00587DF1">
              <w:rPr>
                <w:rFonts w:ascii="Arial" w:hAnsi="Arial" w:cs="Arial"/>
                <w:b/>
                <w:bCs/>
                <w:i/>
                <w:iCs/>
              </w:rPr>
              <w:t xml:space="preserve">Appendix </w:t>
            </w:r>
            <w:r>
              <w:rPr>
                <w:rFonts w:ascii="Arial" w:hAnsi="Arial" w:cs="Arial"/>
                <w:b/>
                <w:bCs/>
                <w:i/>
                <w:iCs/>
              </w:rPr>
              <w:t>8F</w:t>
            </w:r>
            <w:r w:rsidRPr="00587DF1">
              <w:rPr>
                <w:rFonts w:ascii="Arial" w:hAnsi="Arial" w:cs="Arial"/>
                <w:b/>
                <w:bCs/>
                <w:i/>
                <w:iCs/>
              </w:rPr>
              <w:t xml:space="preserve"> – </w:t>
            </w:r>
            <w:r>
              <w:rPr>
                <w:rFonts w:ascii="Arial" w:hAnsi="Arial" w:cs="Arial"/>
                <w:b/>
                <w:bCs/>
                <w:i/>
                <w:iCs/>
              </w:rPr>
              <w:t>Peer re</w:t>
            </w:r>
            <w:r w:rsidR="00C041F2">
              <w:rPr>
                <w:rFonts w:ascii="Arial" w:hAnsi="Arial" w:cs="Arial"/>
                <w:b/>
                <w:bCs/>
                <w:i/>
                <w:iCs/>
              </w:rPr>
              <w:t>view of governance arrangements</w:t>
            </w:r>
          </w:p>
        </w:tc>
      </w:tr>
    </w:tbl>
    <w:p w14:paraId="13B451EB" w14:textId="77777777" w:rsidR="00D20FB0" w:rsidRPr="00587DF1" w:rsidRDefault="00D20FB0" w:rsidP="00D20FB0">
      <w:pPr>
        <w:spacing w:after="0"/>
        <w:rPr>
          <w:rFonts w:ascii="Arial" w:eastAsia="Arial" w:hAnsi="Arial" w:cs="Arial"/>
        </w:rPr>
      </w:pPr>
    </w:p>
    <w:p w14:paraId="07B76AE2" w14:textId="77777777" w:rsidR="00D20FB0" w:rsidRPr="00587DF1" w:rsidRDefault="00D20FB0" w:rsidP="00D20FB0">
      <w:pPr>
        <w:spacing w:after="0"/>
        <w:rPr>
          <w:rFonts w:ascii="Arial" w:eastAsia="Arial" w:hAnsi="Arial" w:cs="Arial"/>
        </w:rPr>
      </w:pPr>
    </w:p>
    <w:p w14:paraId="228C10A8" w14:textId="2E6DB02A" w:rsidR="00D20FB0" w:rsidRPr="00587DF1" w:rsidRDefault="00D20FB0" w:rsidP="005E0D57">
      <w:pPr>
        <w:pStyle w:val="Heading2"/>
        <w:numPr>
          <w:ilvl w:val="1"/>
          <w:numId w:val="39"/>
        </w:numPr>
        <w:rPr>
          <w:rFonts w:ascii="Arial" w:eastAsia="Arial" w:hAnsi="Arial" w:cs="Arial"/>
        </w:rPr>
      </w:pPr>
      <w:bookmarkStart w:id="482" w:name="_Ref32503570"/>
      <w:bookmarkStart w:id="483" w:name="_Toc32842779"/>
      <w:r w:rsidRPr="00587DF1">
        <w:rPr>
          <w:rFonts w:ascii="Arial" w:eastAsia="Arial" w:hAnsi="Arial" w:cs="Arial"/>
        </w:rPr>
        <w:t>Project management methodology</w:t>
      </w:r>
      <w:bookmarkEnd w:id="482"/>
      <w:bookmarkEnd w:id="483"/>
    </w:p>
    <w:p w14:paraId="7267CB7A" w14:textId="77777777" w:rsidR="00D20FB0" w:rsidRPr="00587DF1" w:rsidRDefault="00D20FB0" w:rsidP="00D20FB0">
      <w:pPr>
        <w:spacing w:after="0"/>
        <w:rPr>
          <w:rFonts w:ascii="Arial" w:eastAsia="Arial" w:hAnsi="Arial" w:cs="Arial"/>
        </w:rPr>
      </w:pPr>
    </w:p>
    <w:p w14:paraId="12F60E58" w14:textId="77777777" w:rsidR="00D20FB0" w:rsidRPr="00587DF1" w:rsidRDefault="00D20FB0" w:rsidP="00D20FB0">
      <w:pPr>
        <w:spacing w:after="0"/>
        <w:rPr>
          <w:rFonts w:ascii="Arial" w:eastAsia="Arial" w:hAnsi="Arial" w:cs="Arial"/>
        </w:rPr>
      </w:pPr>
      <w:r w:rsidRPr="00587DF1">
        <w:rPr>
          <w:rFonts w:ascii="Arial" w:eastAsia="Arial" w:hAnsi="Arial" w:cs="Arial"/>
        </w:rPr>
        <w:t>The project governance structure has been developed to follow the best practice guidance set out in the NHS Estates Capital Investment Manual</w:t>
      </w:r>
      <w:r w:rsidRPr="00587DF1">
        <w:rPr>
          <w:rFonts w:ascii="Arial" w:eastAsia="Arial" w:hAnsi="Arial" w:cs="Arial"/>
          <w:vertAlign w:val="superscript"/>
        </w:rPr>
        <w:footnoteReference w:id="16"/>
      </w:r>
      <w:r w:rsidRPr="00587DF1">
        <w:rPr>
          <w:rFonts w:ascii="Arial" w:eastAsia="Arial" w:hAnsi="Arial" w:cs="Arial"/>
        </w:rPr>
        <w:t xml:space="preserve"> and the Treasury ‘Green Book’, supported by the project management disciplines of PRINCE2</w:t>
      </w:r>
      <w:r w:rsidRPr="00587DF1">
        <w:rPr>
          <w:rFonts w:ascii="Arial" w:eastAsia="Arial" w:hAnsi="Arial" w:cs="Arial"/>
          <w:vertAlign w:val="superscript"/>
        </w:rPr>
        <w:footnoteReference w:id="17"/>
      </w:r>
      <w:r w:rsidRPr="00587DF1">
        <w:rPr>
          <w:rFonts w:ascii="Arial" w:eastAsia="Arial" w:hAnsi="Arial" w:cs="Arial"/>
        </w:rPr>
        <w:t xml:space="preserve"> and Managing Successful Programmes (MSP)</w:t>
      </w:r>
      <w:r w:rsidRPr="00587DF1">
        <w:rPr>
          <w:rFonts w:ascii="Arial" w:eastAsia="Arial" w:hAnsi="Arial" w:cs="Arial"/>
          <w:vertAlign w:val="superscript"/>
        </w:rPr>
        <w:footnoteReference w:id="18"/>
      </w:r>
      <w:r w:rsidRPr="00587DF1">
        <w:rPr>
          <w:rFonts w:ascii="Arial" w:eastAsia="Arial" w:hAnsi="Arial" w:cs="Arial"/>
        </w:rPr>
        <w:t>.</w:t>
      </w:r>
    </w:p>
    <w:p w14:paraId="049105BD" w14:textId="77777777" w:rsidR="00D20FB0" w:rsidRPr="00587DF1" w:rsidRDefault="00D20FB0" w:rsidP="00D20FB0">
      <w:pPr>
        <w:spacing w:after="0"/>
        <w:rPr>
          <w:rFonts w:ascii="Arial" w:eastAsia="Arial" w:hAnsi="Arial" w:cs="Arial"/>
        </w:rPr>
      </w:pPr>
    </w:p>
    <w:p w14:paraId="4A95C6E0" w14:textId="08C52312" w:rsidR="00D20FB0" w:rsidRPr="00587DF1" w:rsidRDefault="00D20FB0" w:rsidP="005E0D57">
      <w:pPr>
        <w:pStyle w:val="Heading2"/>
        <w:numPr>
          <w:ilvl w:val="1"/>
          <w:numId w:val="39"/>
        </w:numPr>
        <w:rPr>
          <w:rFonts w:ascii="Arial" w:eastAsia="Arial" w:hAnsi="Arial" w:cs="Arial"/>
        </w:rPr>
      </w:pPr>
      <w:bookmarkStart w:id="485" w:name="_Ref32585495"/>
      <w:bookmarkStart w:id="486" w:name="_Toc32842780"/>
      <w:r w:rsidRPr="00587DF1">
        <w:rPr>
          <w:rFonts w:ascii="Arial" w:eastAsia="Arial" w:hAnsi="Arial" w:cs="Arial"/>
        </w:rPr>
        <w:t>Project framework</w:t>
      </w:r>
      <w:bookmarkEnd w:id="485"/>
      <w:bookmarkEnd w:id="486"/>
    </w:p>
    <w:p w14:paraId="6EFB6773" w14:textId="77777777" w:rsidR="00D20FB0" w:rsidRPr="00587DF1" w:rsidRDefault="00D20FB0" w:rsidP="00D20FB0">
      <w:pPr>
        <w:spacing w:after="0"/>
        <w:rPr>
          <w:rFonts w:ascii="Arial" w:eastAsia="Arial" w:hAnsi="Arial" w:cs="Arial"/>
        </w:rPr>
      </w:pPr>
    </w:p>
    <w:p w14:paraId="3DBC8C15" w14:textId="5F99B22B" w:rsidR="00D20FB0" w:rsidRPr="00587DF1" w:rsidRDefault="008E7C75" w:rsidP="005E0D57">
      <w:pPr>
        <w:numPr>
          <w:ilvl w:val="2"/>
          <w:numId w:val="39"/>
        </w:numPr>
        <w:pBdr>
          <w:top w:val="nil"/>
          <w:left w:val="nil"/>
          <w:bottom w:val="nil"/>
          <w:right w:val="nil"/>
          <w:between w:val="nil"/>
        </w:pBdr>
        <w:tabs>
          <w:tab w:val="left" w:pos="567"/>
        </w:tabs>
        <w:spacing w:after="0"/>
        <w:jc w:val="both"/>
        <w:rPr>
          <w:rFonts w:ascii="Arial" w:eastAsia="Arial" w:hAnsi="Arial" w:cs="Arial"/>
          <w:color w:val="000000"/>
        </w:rPr>
      </w:pPr>
      <w:r>
        <w:rPr>
          <w:rFonts w:ascii="Arial" w:eastAsia="Arial" w:hAnsi="Arial" w:cs="Arial"/>
          <w:b/>
          <w:color w:val="000000"/>
        </w:rPr>
        <w:t>Oriel g</w:t>
      </w:r>
      <w:r w:rsidR="00D20FB0" w:rsidRPr="00587DF1">
        <w:rPr>
          <w:rFonts w:ascii="Arial" w:eastAsia="Arial" w:hAnsi="Arial" w:cs="Arial"/>
          <w:b/>
          <w:color w:val="000000"/>
        </w:rPr>
        <w:t>overnance structure</w:t>
      </w:r>
    </w:p>
    <w:p w14:paraId="0556CB4A" w14:textId="77777777" w:rsidR="00D20FB0" w:rsidRPr="00587DF1" w:rsidRDefault="00D20FB0" w:rsidP="00D20FB0">
      <w:pPr>
        <w:spacing w:after="0"/>
        <w:rPr>
          <w:rFonts w:ascii="Arial" w:eastAsia="Arial" w:hAnsi="Arial" w:cs="Arial"/>
        </w:rPr>
      </w:pPr>
    </w:p>
    <w:p w14:paraId="6DC17833" w14:textId="77777777" w:rsidR="00D20FB0" w:rsidRPr="00587DF1" w:rsidRDefault="00D20FB0" w:rsidP="00D20FB0">
      <w:pPr>
        <w:spacing w:after="0"/>
        <w:rPr>
          <w:rFonts w:ascii="Arial" w:eastAsia="Arial" w:hAnsi="Arial" w:cs="Arial"/>
        </w:rPr>
      </w:pPr>
      <w:bookmarkStart w:id="487" w:name="_Hlk27146783"/>
      <w:r w:rsidRPr="00587DF1">
        <w:rPr>
          <w:rFonts w:ascii="Arial" w:eastAsia="Arial" w:hAnsi="Arial" w:cs="Arial"/>
        </w:rPr>
        <w:lastRenderedPageBreak/>
        <w:t>The key governance principles for Oriel are:</w:t>
      </w:r>
    </w:p>
    <w:p w14:paraId="322D1DB6" w14:textId="16684846" w:rsidR="00D20FB0" w:rsidRPr="00587DF1" w:rsidRDefault="00D20FB0" w:rsidP="005E0D57">
      <w:pPr>
        <w:pStyle w:val="ListParagraph"/>
        <w:numPr>
          <w:ilvl w:val="0"/>
          <w:numId w:val="8"/>
        </w:numPr>
        <w:spacing w:after="0"/>
        <w:rPr>
          <w:rFonts w:ascii="Arial" w:eastAsia="Arial" w:hAnsi="Arial" w:cs="Arial"/>
        </w:rPr>
      </w:pPr>
      <w:r w:rsidRPr="00587DF1">
        <w:rPr>
          <w:rFonts w:ascii="Arial" w:eastAsia="Arial" w:hAnsi="Arial" w:cs="Arial"/>
        </w:rPr>
        <w:t xml:space="preserve">Oriel is a </w:t>
      </w:r>
      <w:r w:rsidR="001017B9">
        <w:rPr>
          <w:rFonts w:ascii="Arial" w:eastAsia="Arial" w:hAnsi="Arial" w:cs="Arial"/>
        </w:rPr>
        <w:t xml:space="preserve">collaboration across </w:t>
      </w:r>
      <w:r w:rsidRPr="00587DF1">
        <w:rPr>
          <w:rFonts w:ascii="Arial" w:eastAsia="Arial" w:hAnsi="Arial" w:cs="Arial"/>
        </w:rPr>
        <w:t>three independent organisations; UCL, Moorfields Eye Hospital and Moorfields Eye Charity.</w:t>
      </w:r>
    </w:p>
    <w:p w14:paraId="07D9993A" w14:textId="77777777" w:rsidR="00D20FB0" w:rsidRPr="00587DF1" w:rsidRDefault="00D20FB0" w:rsidP="005E0D57">
      <w:pPr>
        <w:pStyle w:val="ListParagraph"/>
        <w:numPr>
          <w:ilvl w:val="0"/>
          <w:numId w:val="8"/>
        </w:numPr>
        <w:spacing w:after="0"/>
        <w:rPr>
          <w:rFonts w:ascii="Arial" w:eastAsia="Arial" w:hAnsi="Arial" w:cs="Arial"/>
        </w:rPr>
      </w:pPr>
      <w:r w:rsidRPr="00587DF1">
        <w:rPr>
          <w:rFonts w:ascii="Arial" w:eastAsia="Arial" w:hAnsi="Arial" w:cs="Arial"/>
        </w:rPr>
        <w:t xml:space="preserve">The partnership will aim to harness the best of each individual partners’ strengths </w:t>
      </w:r>
      <w:r w:rsidRPr="00587DF1">
        <w:rPr>
          <w:rFonts w:ascii="Arial" w:eastAsia="Arial" w:hAnsi="Arial" w:cs="Arial"/>
          <w:cs/>
          <w:lang w:bidi="mr-IN"/>
        </w:rPr>
        <w:t>–</w:t>
      </w:r>
      <w:r w:rsidRPr="00587DF1">
        <w:rPr>
          <w:rFonts w:ascii="Arial" w:eastAsia="Arial" w:hAnsi="Arial" w:cs="Arial"/>
        </w:rPr>
        <w:t xml:space="preserve"> the sum of the whole is worth more than each part.</w:t>
      </w:r>
    </w:p>
    <w:p w14:paraId="767D53B1" w14:textId="0C37E4CD" w:rsidR="00BD5E2B" w:rsidRPr="00965519" w:rsidRDefault="00BD5E2B" w:rsidP="005E0D57">
      <w:pPr>
        <w:numPr>
          <w:ilvl w:val="0"/>
          <w:numId w:val="8"/>
        </w:numPr>
        <w:spacing w:after="0"/>
        <w:rPr>
          <w:rFonts w:ascii="Arial" w:eastAsia="Arial" w:hAnsi="Arial" w:cs="Arial"/>
        </w:rPr>
      </w:pPr>
      <w:r w:rsidRPr="00BD5E2B">
        <w:rPr>
          <w:rFonts w:ascii="Arial" w:eastAsia="Arial" w:hAnsi="Arial" w:cs="Arial"/>
        </w:rPr>
        <w:t xml:space="preserve">To achieve the vision of an integrated facility, a joint project team will deliver content required to meet the partner business case governance processes. </w:t>
      </w:r>
      <w:r w:rsidR="00D20FB0" w:rsidRPr="00BD5E2B">
        <w:rPr>
          <w:rFonts w:ascii="Arial" w:eastAsia="Arial" w:hAnsi="Arial" w:cs="Arial"/>
        </w:rPr>
        <w:t>The project will produce a single shared suite of project documentation (financial model, programme plan, risk register, benefits register etc), working to a single critical path, delivered by a joint project team. Organisation-specific business cases will be produced to align with the governance requirements of each.</w:t>
      </w:r>
    </w:p>
    <w:bookmarkEnd w:id="487"/>
    <w:p w14:paraId="137F3933" w14:textId="77777777" w:rsidR="00D20FB0" w:rsidRPr="00587DF1" w:rsidRDefault="00D20FB0" w:rsidP="00D20FB0">
      <w:pPr>
        <w:spacing w:after="0"/>
        <w:rPr>
          <w:rFonts w:ascii="Arial" w:eastAsia="Arial" w:hAnsi="Arial" w:cs="Arial"/>
        </w:rPr>
      </w:pPr>
    </w:p>
    <w:p w14:paraId="1FCFA0A7" w14:textId="08E72B72" w:rsidR="003055B8" w:rsidRDefault="003055B8" w:rsidP="00D20FB0">
      <w:pPr>
        <w:spacing w:after="0"/>
        <w:rPr>
          <w:rFonts w:ascii="Arial" w:eastAsia="Arial" w:hAnsi="Arial" w:cs="Arial"/>
        </w:rPr>
      </w:pPr>
      <w:r>
        <w:rPr>
          <w:rFonts w:ascii="Arial" w:eastAsia="Arial" w:hAnsi="Arial" w:cs="Arial"/>
        </w:rPr>
        <w:t>These principles, and key agreements to date, have been formalised in a Memorandum of Understanding (MOU) between UCL and Moorfields.</w:t>
      </w:r>
    </w:p>
    <w:p w14:paraId="3539C719" w14:textId="77777777" w:rsidR="003055B8" w:rsidRDefault="003055B8" w:rsidP="00D20FB0">
      <w:pPr>
        <w:spacing w:after="0"/>
        <w:rPr>
          <w:rFonts w:ascii="Arial" w:eastAsia="Arial" w:hAnsi="Arial" w:cs="Arial"/>
        </w:rPr>
      </w:pPr>
    </w:p>
    <w:p w14:paraId="12C225CF" w14:textId="09FBE6BD" w:rsidR="00D20FB0" w:rsidRPr="00587DF1" w:rsidRDefault="00D20FB0" w:rsidP="00D20FB0">
      <w:pPr>
        <w:spacing w:after="0"/>
        <w:rPr>
          <w:rFonts w:ascii="Arial" w:eastAsia="Arial" w:hAnsi="Arial" w:cs="Arial"/>
        </w:rPr>
      </w:pPr>
      <w:r w:rsidRPr="00587DF1">
        <w:rPr>
          <w:rFonts w:ascii="Arial" w:eastAsia="Arial" w:hAnsi="Arial" w:cs="Arial"/>
        </w:rPr>
        <w:t xml:space="preserve">In order to deliver the project in line with these principles, the following governance structure has been established. </w:t>
      </w:r>
      <w:r w:rsidR="00965519">
        <w:rPr>
          <w:rFonts w:ascii="Arial" w:eastAsia="Arial" w:hAnsi="Arial" w:cs="Arial"/>
        </w:rPr>
        <w:t xml:space="preserve">This has been refreshed in early 2020 and agreed </w:t>
      </w:r>
      <w:r w:rsidRPr="00587DF1">
        <w:rPr>
          <w:rFonts w:ascii="Arial" w:eastAsia="Arial" w:hAnsi="Arial" w:cs="Arial"/>
        </w:rPr>
        <w:t>by executive leads from Moorfields</w:t>
      </w:r>
      <w:r w:rsidR="003055B8">
        <w:rPr>
          <w:rFonts w:ascii="Arial" w:eastAsia="Arial" w:hAnsi="Arial" w:cs="Arial"/>
        </w:rPr>
        <w:t>,</w:t>
      </w:r>
      <w:r w:rsidRPr="00587DF1">
        <w:rPr>
          <w:rFonts w:ascii="Arial" w:eastAsia="Arial" w:hAnsi="Arial" w:cs="Arial"/>
        </w:rPr>
        <w:t xml:space="preserve"> UCL</w:t>
      </w:r>
      <w:r w:rsidR="003055B8">
        <w:rPr>
          <w:rFonts w:ascii="Arial" w:eastAsia="Arial" w:hAnsi="Arial" w:cs="Arial"/>
        </w:rPr>
        <w:t xml:space="preserve"> and MEC</w:t>
      </w:r>
      <w:r w:rsidRPr="00587DF1">
        <w:rPr>
          <w:rFonts w:ascii="Arial" w:eastAsia="Arial" w:hAnsi="Arial" w:cs="Arial"/>
        </w:rPr>
        <w:t>, workstream leads and other senior management representatives.</w:t>
      </w:r>
    </w:p>
    <w:p w14:paraId="3D31263B" w14:textId="77777777" w:rsidR="00D20FB0" w:rsidRPr="00587DF1" w:rsidRDefault="00D20FB0" w:rsidP="00D20FB0">
      <w:pPr>
        <w:spacing w:after="0"/>
        <w:rPr>
          <w:rFonts w:ascii="Arial" w:eastAsia="Arial" w:hAnsi="Arial" w:cs="Arial"/>
        </w:rPr>
      </w:pPr>
    </w:p>
    <w:p w14:paraId="21946978" w14:textId="624776E5" w:rsidR="00D20FB0" w:rsidRPr="00587DF1" w:rsidRDefault="00D20FB0" w:rsidP="00D20FB0">
      <w:pPr>
        <w:pStyle w:val="Caption"/>
      </w:pPr>
      <w:bookmarkStart w:id="488" w:name="_Ref26529985"/>
      <w:r w:rsidRPr="00587DF1">
        <w:t xml:space="preserve">Figure </w:t>
      </w:r>
      <w:r w:rsidR="00320059">
        <w:fldChar w:fldCharType="begin"/>
      </w:r>
      <w:r w:rsidR="00320059">
        <w:instrText xml:space="preserve"> SEQ Figure \* ARABIC </w:instrText>
      </w:r>
      <w:r w:rsidR="00320059">
        <w:fldChar w:fldCharType="separate"/>
      </w:r>
      <w:r w:rsidR="00A936CD">
        <w:rPr>
          <w:noProof/>
        </w:rPr>
        <w:t>20</w:t>
      </w:r>
      <w:r w:rsidR="00320059">
        <w:fldChar w:fldCharType="end"/>
      </w:r>
      <w:bookmarkEnd w:id="488"/>
      <w:r w:rsidRPr="00587DF1">
        <w:t xml:space="preserve">: </w:t>
      </w:r>
      <w:r w:rsidRPr="00587DF1">
        <w:rPr>
          <w:b w:val="0"/>
          <w:bCs w:val="0"/>
        </w:rPr>
        <w:t>Project governance structure</w:t>
      </w:r>
    </w:p>
    <w:p w14:paraId="559EF7BC" w14:textId="71E2E9CB" w:rsidR="00D20FB0" w:rsidRPr="00587DF1" w:rsidRDefault="00BC56B6" w:rsidP="001017B9">
      <w:pPr>
        <w:spacing w:after="0"/>
        <w:ind w:left="-709"/>
        <w:jc w:val="center"/>
        <w:rPr>
          <w:rFonts w:ascii="Arial" w:eastAsia="Arial" w:hAnsi="Arial" w:cs="Arial"/>
        </w:rPr>
      </w:pPr>
      <w:r>
        <w:rPr>
          <w:noProof/>
        </w:rPr>
        <w:drawing>
          <wp:inline distT="0" distB="0" distL="0" distR="0" wp14:anchorId="293009D5" wp14:editId="04D5D14F">
            <wp:extent cx="5731510" cy="400685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4006850"/>
                    </a:xfrm>
                    <a:prstGeom prst="rect">
                      <a:avLst/>
                    </a:prstGeom>
                  </pic:spPr>
                </pic:pic>
              </a:graphicData>
            </a:graphic>
          </wp:inline>
        </w:drawing>
      </w:r>
    </w:p>
    <w:p w14:paraId="4E92CAA7" w14:textId="77777777" w:rsidR="00D20FB0" w:rsidRPr="00587DF1" w:rsidRDefault="00D20FB0" w:rsidP="00D20FB0">
      <w:pPr>
        <w:spacing w:after="0"/>
        <w:rPr>
          <w:rFonts w:ascii="Arial" w:eastAsia="Arial" w:hAnsi="Arial" w:cs="Arial"/>
        </w:rPr>
      </w:pPr>
    </w:p>
    <w:p w14:paraId="0D68A736" w14:textId="1FC6AD10" w:rsidR="00965519" w:rsidRDefault="00965519" w:rsidP="00965519">
      <w:pPr>
        <w:tabs>
          <w:tab w:val="num" w:pos="720"/>
        </w:tabs>
        <w:spacing w:after="0"/>
        <w:rPr>
          <w:rFonts w:ascii="Arial" w:eastAsia="Arial" w:hAnsi="Arial" w:cs="Arial"/>
        </w:rPr>
      </w:pPr>
      <w:r w:rsidRPr="00965519">
        <w:rPr>
          <w:rFonts w:ascii="Arial" w:eastAsia="Arial" w:hAnsi="Arial" w:cs="Arial"/>
          <w:lang w:val="en-US"/>
        </w:rPr>
        <w:t xml:space="preserve">The </w:t>
      </w:r>
      <w:r w:rsidR="00BD5E2B" w:rsidRPr="00BD5E2B">
        <w:rPr>
          <w:rFonts w:ascii="Arial" w:eastAsia="Arial" w:hAnsi="Arial" w:cs="Arial"/>
          <w:b/>
          <w:bCs/>
          <w:lang w:val="en-US"/>
        </w:rPr>
        <w:t>Joint Strategy &amp; Transformation Board (JSTB)</w:t>
      </w:r>
      <w:r w:rsidR="00BD5E2B" w:rsidRPr="00BD5E2B">
        <w:rPr>
          <w:rFonts w:ascii="Arial" w:eastAsia="Arial" w:hAnsi="Arial" w:cs="Arial"/>
          <w:lang w:val="en-US"/>
        </w:rPr>
        <w:t xml:space="preserve"> </w:t>
      </w:r>
      <w:r w:rsidRPr="00965519">
        <w:rPr>
          <w:rFonts w:ascii="Arial" w:eastAsia="Arial" w:hAnsi="Arial" w:cs="Arial"/>
          <w:lang w:val="en-US"/>
        </w:rPr>
        <w:t xml:space="preserve">has </w:t>
      </w:r>
      <w:r w:rsidR="00BD5E2B" w:rsidRPr="00BD5E2B">
        <w:rPr>
          <w:rFonts w:ascii="Arial" w:eastAsia="Arial" w:hAnsi="Arial" w:cs="Arial"/>
          <w:lang w:val="en-US"/>
        </w:rPr>
        <w:t xml:space="preserve">ultimate accountability </w:t>
      </w:r>
      <w:r>
        <w:rPr>
          <w:rFonts w:ascii="Arial" w:eastAsia="Arial" w:hAnsi="Arial" w:cs="Arial"/>
          <w:lang w:val="en-US"/>
        </w:rPr>
        <w:t xml:space="preserve">for the development and delivery of the partners’ joint strategy. It has </w:t>
      </w:r>
      <w:r w:rsidR="00BD5E2B" w:rsidRPr="00BD5E2B">
        <w:rPr>
          <w:rFonts w:ascii="Arial" w:eastAsia="Arial" w:hAnsi="Arial" w:cs="Arial"/>
          <w:lang w:val="en-US"/>
        </w:rPr>
        <w:t xml:space="preserve">decision making </w:t>
      </w:r>
      <w:r>
        <w:rPr>
          <w:rFonts w:ascii="Arial" w:eastAsia="Arial" w:hAnsi="Arial" w:cs="Arial"/>
          <w:lang w:val="en-US"/>
        </w:rPr>
        <w:t xml:space="preserve">responsibility </w:t>
      </w:r>
      <w:r w:rsidR="00BD5E2B" w:rsidRPr="00BD5E2B">
        <w:rPr>
          <w:rFonts w:ascii="Arial" w:eastAsia="Arial" w:hAnsi="Arial" w:cs="Arial"/>
          <w:lang w:val="en-US"/>
        </w:rPr>
        <w:lastRenderedPageBreak/>
        <w:t>for Oriel user requirements and organisational implications.</w:t>
      </w:r>
      <w:r w:rsidRPr="00965519">
        <w:rPr>
          <w:rFonts w:ascii="Arial" w:eastAsia="Arial" w:hAnsi="Arial" w:cs="Arial"/>
          <w:lang w:val="en-US"/>
        </w:rPr>
        <w:t xml:space="preserve"> It </w:t>
      </w:r>
      <w:r>
        <w:rPr>
          <w:rFonts w:ascii="Arial" w:eastAsia="Arial" w:hAnsi="Arial" w:cs="Arial"/>
          <w:lang w:val="en-US"/>
        </w:rPr>
        <w:t xml:space="preserve">meets monthly and </w:t>
      </w:r>
      <w:r w:rsidRPr="00965519">
        <w:rPr>
          <w:rFonts w:ascii="Arial" w:eastAsia="Arial" w:hAnsi="Arial" w:cs="Arial"/>
          <w:lang w:val="en-US"/>
        </w:rPr>
        <w:t xml:space="preserve">is co-chaired by the </w:t>
      </w:r>
      <w:r w:rsidR="00BD5E2B" w:rsidRPr="00BD5E2B">
        <w:rPr>
          <w:rFonts w:ascii="Arial" w:eastAsia="Arial" w:hAnsi="Arial" w:cs="Arial"/>
          <w:lang w:val="en-US"/>
        </w:rPr>
        <w:t>UCL IoO and Moorfields CEO</w:t>
      </w:r>
      <w:r w:rsidRPr="00965519">
        <w:rPr>
          <w:rFonts w:ascii="Arial" w:eastAsia="Arial" w:hAnsi="Arial" w:cs="Arial"/>
          <w:lang w:val="en-US"/>
        </w:rPr>
        <w:t>.</w:t>
      </w:r>
      <w:r>
        <w:rPr>
          <w:rFonts w:ascii="Arial" w:eastAsia="Arial" w:hAnsi="Arial" w:cs="Arial"/>
          <w:lang w:val="en-US"/>
        </w:rPr>
        <w:t xml:space="preserve"> </w:t>
      </w:r>
      <w:r>
        <w:rPr>
          <w:rFonts w:ascii="Arial" w:eastAsia="Arial" w:hAnsi="Arial" w:cs="Arial"/>
        </w:rPr>
        <w:t xml:space="preserve">It </w:t>
      </w:r>
      <w:r w:rsidRPr="00965519">
        <w:rPr>
          <w:rFonts w:ascii="Arial" w:eastAsia="Arial" w:hAnsi="Arial" w:cs="Arial"/>
        </w:rPr>
        <w:t>has delegated authority to approve joint strategic ambitions and to monitor progress of their implementation, in line with the partner’s SFIs.</w:t>
      </w:r>
      <w:r>
        <w:rPr>
          <w:rFonts w:ascii="Arial" w:eastAsia="Arial" w:hAnsi="Arial" w:cs="Arial"/>
        </w:rPr>
        <w:t xml:space="preserve"> </w:t>
      </w:r>
      <w:r w:rsidRPr="00965519">
        <w:rPr>
          <w:rFonts w:ascii="Arial" w:eastAsia="Arial" w:hAnsi="Arial" w:cs="Arial"/>
        </w:rPr>
        <w:t>The Board is authorised to create (and disband) governance groups, workstreams and sub-committees, both standing and ad hoc, to deliver the joint strategy, as required</w:t>
      </w:r>
      <w:r>
        <w:rPr>
          <w:rFonts w:ascii="Arial" w:eastAsia="Arial" w:hAnsi="Arial" w:cs="Arial"/>
        </w:rPr>
        <w:t>.</w:t>
      </w:r>
    </w:p>
    <w:p w14:paraId="13DA2CB2" w14:textId="77777777" w:rsidR="00965519" w:rsidRDefault="00965519" w:rsidP="00D20FB0">
      <w:pPr>
        <w:spacing w:after="0"/>
        <w:rPr>
          <w:rFonts w:ascii="Arial" w:eastAsia="Arial" w:hAnsi="Arial" w:cs="Arial"/>
        </w:rPr>
      </w:pPr>
    </w:p>
    <w:p w14:paraId="70753CF6" w14:textId="4DDAB9F8" w:rsidR="00D20FB0" w:rsidRPr="00587DF1" w:rsidRDefault="00D20FB0" w:rsidP="00D20FB0">
      <w:pPr>
        <w:spacing w:after="0"/>
        <w:rPr>
          <w:rFonts w:ascii="Arial" w:eastAsia="Arial" w:hAnsi="Arial" w:cs="Arial"/>
        </w:rPr>
      </w:pPr>
      <w:r w:rsidRPr="00587DF1">
        <w:rPr>
          <w:rFonts w:ascii="Arial" w:eastAsia="Arial" w:hAnsi="Arial" w:cs="Arial"/>
        </w:rPr>
        <w:t xml:space="preserve">The </w:t>
      </w:r>
      <w:r w:rsidRPr="00587DF1">
        <w:rPr>
          <w:rFonts w:ascii="Arial" w:eastAsia="Arial" w:hAnsi="Arial" w:cs="Arial"/>
          <w:b/>
          <w:bCs/>
        </w:rPr>
        <w:t>Oriel Executive Board</w:t>
      </w:r>
      <w:r w:rsidRPr="00587DF1">
        <w:rPr>
          <w:rFonts w:ascii="Arial" w:eastAsia="Arial" w:hAnsi="Arial" w:cs="Arial"/>
        </w:rPr>
        <w:t xml:space="preserve"> oversees </w:t>
      </w:r>
      <w:r w:rsidR="00965519">
        <w:rPr>
          <w:rFonts w:ascii="Arial" w:eastAsia="Arial" w:hAnsi="Arial" w:cs="Arial"/>
        </w:rPr>
        <w:t xml:space="preserve">delivery of the new building </w:t>
      </w:r>
      <w:r w:rsidRPr="00587DF1">
        <w:rPr>
          <w:rFonts w:ascii="Arial" w:eastAsia="Arial" w:hAnsi="Arial" w:cs="Arial"/>
        </w:rPr>
        <w:t>and is accountable for its delivery in line with the programme, budget and quality parameters. It has delegated authority and budget to deliver the project on behalf of the three partners. It is attended by representatives of these partners. It provides leadership and direction to the workstreams, and is responsible for managing risks and issues escalated by workstreams. It meets monthly and is co-chaired by the joint project SROs – the Moorfields Director of Strategy and Business Development and the UCL IoO Director.</w:t>
      </w:r>
    </w:p>
    <w:p w14:paraId="5CB09078" w14:textId="77777777" w:rsidR="00D20FB0" w:rsidRPr="00587DF1" w:rsidRDefault="00D20FB0" w:rsidP="00D20FB0">
      <w:pPr>
        <w:spacing w:after="0" w:line="240" w:lineRule="auto"/>
        <w:rPr>
          <w:rFonts w:ascii="Arial" w:eastAsia="Arial" w:hAnsi="Arial" w:cs="Arial"/>
        </w:rPr>
      </w:pPr>
    </w:p>
    <w:p w14:paraId="7CA32308" w14:textId="23BD0F07" w:rsidR="00D20FB0" w:rsidRPr="00587DF1" w:rsidRDefault="00D20FB0" w:rsidP="00D20FB0">
      <w:pPr>
        <w:spacing w:after="0"/>
        <w:rPr>
          <w:rFonts w:ascii="Arial" w:eastAsia="Arial" w:hAnsi="Arial" w:cs="Arial"/>
        </w:rPr>
      </w:pPr>
      <w:r w:rsidRPr="00587DF1">
        <w:rPr>
          <w:rFonts w:ascii="Arial" w:eastAsia="Arial" w:hAnsi="Arial" w:cs="Arial"/>
        </w:rPr>
        <w:t xml:space="preserve">The </w:t>
      </w:r>
      <w:r w:rsidRPr="00587DF1">
        <w:rPr>
          <w:rFonts w:ascii="Arial" w:eastAsia="Arial" w:hAnsi="Arial" w:cs="Arial"/>
          <w:b/>
          <w:bCs/>
        </w:rPr>
        <w:t>Chief Partners Group</w:t>
      </w:r>
      <w:r w:rsidRPr="00587DF1">
        <w:rPr>
          <w:rFonts w:ascii="Arial" w:eastAsia="Arial" w:hAnsi="Arial" w:cs="Arial"/>
        </w:rPr>
        <w:t xml:space="preserve"> meet</w:t>
      </w:r>
      <w:r w:rsidR="00F75FD4">
        <w:rPr>
          <w:rFonts w:ascii="Arial" w:eastAsia="Arial" w:hAnsi="Arial" w:cs="Arial"/>
        </w:rPr>
        <w:t xml:space="preserve"> every two </w:t>
      </w:r>
      <w:r w:rsidR="008E7C75">
        <w:rPr>
          <w:rFonts w:ascii="Arial" w:eastAsia="Arial" w:hAnsi="Arial" w:cs="Arial"/>
        </w:rPr>
        <w:t>month</w:t>
      </w:r>
      <w:r w:rsidR="00F75FD4">
        <w:rPr>
          <w:rFonts w:ascii="Arial" w:eastAsia="Arial" w:hAnsi="Arial" w:cs="Arial"/>
        </w:rPr>
        <w:t>s</w:t>
      </w:r>
      <w:r w:rsidR="008E7C75">
        <w:rPr>
          <w:rFonts w:ascii="Arial" w:eastAsia="Arial" w:hAnsi="Arial" w:cs="Arial"/>
        </w:rPr>
        <w:t xml:space="preserve"> </w:t>
      </w:r>
      <w:r w:rsidRPr="00587DF1">
        <w:rPr>
          <w:rFonts w:ascii="Arial" w:eastAsia="Arial" w:hAnsi="Arial" w:cs="Arial"/>
        </w:rPr>
        <w:t xml:space="preserve">and provides assurance to UCL and Moorfields around project delivery. It holds the </w:t>
      </w:r>
      <w:r w:rsidR="008E7C75">
        <w:rPr>
          <w:rFonts w:ascii="Arial" w:eastAsia="Arial" w:hAnsi="Arial" w:cs="Arial"/>
        </w:rPr>
        <w:t xml:space="preserve">Joint Strategy and Transformation Board </w:t>
      </w:r>
      <w:r w:rsidRPr="00587DF1">
        <w:rPr>
          <w:rFonts w:ascii="Arial" w:eastAsia="Arial" w:hAnsi="Arial" w:cs="Arial"/>
        </w:rPr>
        <w:t>to account around achievement of key milestones, and provides advice on key decisions, issues and risks as required. It also provides support in manging and influencing key project stakeholders, and in communicating decisions and updates through individual partner governance channels.</w:t>
      </w:r>
    </w:p>
    <w:p w14:paraId="5F946805" w14:textId="77777777" w:rsidR="00D20FB0" w:rsidRPr="00587DF1" w:rsidRDefault="00D20FB0" w:rsidP="00D20FB0">
      <w:pPr>
        <w:spacing w:after="0"/>
        <w:rPr>
          <w:rFonts w:ascii="Arial" w:eastAsia="Arial" w:hAnsi="Arial" w:cs="Arial"/>
        </w:rPr>
      </w:pPr>
    </w:p>
    <w:p w14:paraId="5800EB19" w14:textId="502100B1" w:rsidR="00BD5E2B" w:rsidRDefault="00D20FB0" w:rsidP="00BD5E2B">
      <w:pPr>
        <w:spacing w:after="0"/>
        <w:rPr>
          <w:rFonts w:ascii="Arial" w:eastAsia="Arial" w:hAnsi="Arial" w:cs="Arial"/>
        </w:rPr>
      </w:pPr>
      <w:r w:rsidRPr="00587DF1">
        <w:rPr>
          <w:rFonts w:ascii="Arial" w:eastAsia="Arial" w:hAnsi="Arial" w:cs="Arial"/>
          <w:b/>
          <w:bCs/>
        </w:rPr>
        <w:t>Individual workstreams</w:t>
      </w:r>
      <w:r w:rsidRPr="00587DF1">
        <w:rPr>
          <w:rFonts w:ascii="Arial" w:eastAsia="Arial" w:hAnsi="Arial" w:cs="Arial"/>
        </w:rPr>
        <w:t xml:space="preserve"> have been established to deliver key areas of the project. Each has a workstream lead and an executive lead from both Moorfields and UCL.</w:t>
      </w:r>
      <w:r w:rsidR="00065B33">
        <w:rPr>
          <w:rFonts w:ascii="Arial" w:eastAsia="Arial" w:hAnsi="Arial" w:cs="Arial"/>
        </w:rPr>
        <w:t xml:space="preserve"> Workstream co-ordination is undertaken through weekly workstream leads meetings.</w:t>
      </w:r>
      <w:r w:rsidRPr="00587DF1">
        <w:rPr>
          <w:rFonts w:ascii="Arial" w:eastAsia="Arial" w:hAnsi="Arial" w:cs="Arial"/>
        </w:rPr>
        <w:t xml:space="preserve"> </w:t>
      </w:r>
      <w:r w:rsidR="00065B33">
        <w:rPr>
          <w:rFonts w:ascii="Arial" w:eastAsia="Arial" w:hAnsi="Arial" w:cs="Arial"/>
        </w:rPr>
        <w:t>I</w:t>
      </w:r>
      <w:r w:rsidRPr="00587DF1">
        <w:rPr>
          <w:rFonts w:ascii="Arial" w:eastAsia="Arial" w:hAnsi="Arial" w:cs="Arial"/>
        </w:rPr>
        <w:t xml:space="preserve">ndividual </w:t>
      </w:r>
      <w:r w:rsidR="00065B33">
        <w:rPr>
          <w:rFonts w:ascii="Arial" w:eastAsia="Arial" w:hAnsi="Arial" w:cs="Arial"/>
        </w:rPr>
        <w:t xml:space="preserve">workstream </w:t>
      </w:r>
      <w:r w:rsidRPr="00587DF1">
        <w:rPr>
          <w:rFonts w:ascii="Arial" w:eastAsia="Arial" w:hAnsi="Arial" w:cs="Arial"/>
        </w:rPr>
        <w:t xml:space="preserve">responsibilities are described in Appendix </w:t>
      </w:r>
      <w:r w:rsidR="00C96BA8">
        <w:rPr>
          <w:rFonts w:ascii="Arial" w:eastAsia="Arial" w:hAnsi="Arial" w:cs="Arial"/>
        </w:rPr>
        <w:t>8D</w:t>
      </w:r>
      <w:r w:rsidRPr="00587DF1">
        <w:rPr>
          <w:rFonts w:ascii="Arial" w:eastAsia="Arial" w:hAnsi="Arial" w:cs="Arial"/>
        </w:rPr>
        <w:t>.</w:t>
      </w:r>
      <w:r w:rsidR="00065B33">
        <w:rPr>
          <w:rFonts w:ascii="Arial" w:eastAsia="Arial" w:hAnsi="Arial" w:cs="Arial"/>
        </w:rPr>
        <w:t xml:space="preserve"> Many of the workstreams have Working Groups or Advisory Groups to deliver specific elements of the programme. Key </w:t>
      </w:r>
      <w:r w:rsidR="00065B33" w:rsidRPr="00065B33">
        <w:rPr>
          <w:rFonts w:ascii="Arial" w:eastAsia="Arial" w:hAnsi="Arial" w:cs="Arial"/>
        </w:rPr>
        <w:t>working groups to note are:</w:t>
      </w:r>
    </w:p>
    <w:p w14:paraId="1D2468AF" w14:textId="77777777" w:rsidR="00F75FD4" w:rsidRPr="00065B33" w:rsidRDefault="00F75FD4" w:rsidP="00BD5E2B">
      <w:pPr>
        <w:spacing w:after="0"/>
        <w:rPr>
          <w:rFonts w:ascii="Arial" w:eastAsia="Arial" w:hAnsi="Arial" w:cs="Arial"/>
        </w:rPr>
      </w:pPr>
    </w:p>
    <w:p w14:paraId="540D5DA9" w14:textId="6F66D51C" w:rsidR="00691888" w:rsidRPr="00065B33" w:rsidRDefault="00065B33" w:rsidP="004F4B79">
      <w:pPr>
        <w:pStyle w:val="ListParagraph"/>
        <w:numPr>
          <w:ilvl w:val="0"/>
          <w:numId w:val="152"/>
        </w:numPr>
        <w:spacing w:after="0"/>
        <w:rPr>
          <w:rFonts w:ascii="Arial" w:eastAsia="Arial" w:hAnsi="Arial" w:cs="Arial"/>
        </w:rPr>
      </w:pPr>
      <w:r w:rsidRPr="00065B33">
        <w:rPr>
          <w:rFonts w:ascii="Arial" w:eastAsia="Arial" w:hAnsi="Arial" w:cs="Arial"/>
        </w:rPr>
        <w:t>T</w:t>
      </w:r>
      <w:r w:rsidR="00691888" w:rsidRPr="00065B33">
        <w:rPr>
          <w:rFonts w:ascii="Arial" w:eastAsia="Arial" w:hAnsi="Arial" w:cs="Arial"/>
        </w:rPr>
        <w:t xml:space="preserve">he </w:t>
      </w:r>
      <w:r w:rsidRPr="00065B33">
        <w:rPr>
          <w:rFonts w:ascii="Arial" w:eastAsia="Arial" w:hAnsi="Arial" w:cs="Arial"/>
        </w:rPr>
        <w:t xml:space="preserve">patient and staff </w:t>
      </w:r>
      <w:r w:rsidR="00691888" w:rsidRPr="00065B33">
        <w:rPr>
          <w:rFonts w:ascii="Arial" w:eastAsia="Arial" w:hAnsi="Arial" w:cs="Arial"/>
          <w:b/>
          <w:bCs/>
        </w:rPr>
        <w:t>Oriel Advisory Group</w:t>
      </w:r>
      <w:r w:rsidRPr="00065B33">
        <w:rPr>
          <w:rFonts w:ascii="Arial" w:eastAsia="Arial" w:hAnsi="Arial" w:cs="Arial"/>
          <w:b/>
          <w:bCs/>
        </w:rPr>
        <w:t>s</w:t>
      </w:r>
      <w:r w:rsidR="00691888" w:rsidRPr="00065B33">
        <w:rPr>
          <w:rFonts w:ascii="Arial" w:eastAsia="Arial" w:hAnsi="Arial" w:cs="Arial"/>
          <w:b/>
          <w:bCs/>
        </w:rPr>
        <w:t xml:space="preserve"> </w:t>
      </w:r>
      <w:r w:rsidR="00691888" w:rsidRPr="00065B33">
        <w:rPr>
          <w:rFonts w:ascii="Arial" w:eastAsia="Arial" w:hAnsi="Arial" w:cs="Arial"/>
        </w:rPr>
        <w:t>ensure engagement practices are wide-reaching, effective and inclusive</w:t>
      </w:r>
      <w:r w:rsidRPr="00065B33">
        <w:rPr>
          <w:rFonts w:ascii="Arial" w:eastAsia="Arial" w:hAnsi="Arial" w:cs="Arial"/>
        </w:rPr>
        <w:t>, and oversee development of designs and accessibility plans</w:t>
      </w:r>
      <w:r w:rsidR="00691888" w:rsidRPr="00065B33">
        <w:rPr>
          <w:rFonts w:ascii="Arial" w:eastAsia="Arial" w:hAnsi="Arial" w:cs="Arial"/>
        </w:rPr>
        <w:t xml:space="preserve">. The </w:t>
      </w:r>
      <w:r w:rsidRPr="00065B33">
        <w:rPr>
          <w:rFonts w:ascii="Arial" w:eastAsia="Arial" w:hAnsi="Arial" w:cs="Arial"/>
        </w:rPr>
        <w:t>patient Oriel Advisory Group</w:t>
      </w:r>
      <w:r w:rsidR="00691888" w:rsidRPr="00065B33">
        <w:rPr>
          <w:rFonts w:ascii="Arial" w:eastAsia="Arial" w:hAnsi="Arial" w:cs="Arial"/>
        </w:rPr>
        <w:t xml:space="preserve"> has a membership comprising of patients, carers governors and representatives from charities within the sight loss sector. These have been selected based on relevant experience and ensuring a range of characteristics are represented such as age, gender, ethnicity and degree of visual impairment.</w:t>
      </w:r>
    </w:p>
    <w:p w14:paraId="1FCF0931" w14:textId="77777777" w:rsidR="00D20FB0" w:rsidRPr="00587DF1" w:rsidRDefault="00D20FB0" w:rsidP="00D20FB0">
      <w:pPr>
        <w:spacing w:after="0" w:line="240" w:lineRule="auto"/>
        <w:rPr>
          <w:rFonts w:ascii="Arial" w:eastAsia="Arial" w:hAnsi="Arial" w:cs="Arial"/>
          <w:b/>
          <w:bCs/>
        </w:rPr>
      </w:pPr>
    </w:p>
    <w:p w14:paraId="64A06CBF" w14:textId="12D1761D" w:rsidR="00D20FB0" w:rsidRPr="00587DF1" w:rsidRDefault="00D20FB0" w:rsidP="00D20FB0">
      <w:pPr>
        <w:spacing w:after="0"/>
        <w:rPr>
          <w:rFonts w:ascii="Arial" w:eastAsia="Arial" w:hAnsi="Arial" w:cs="Arial"/>
        </w:rPr>
      </w:pPr>
      <w:r w:rsidRPr="00587DF1">
        <w:rPr>
          <w:rFonts w:ascii="Arial" w:eastAsia="Arial" w:hAnsi="Arial" w:cs="Arial"/>
          <w:b/>
          <w:bCs/>
        </w:rPr>
        <w:t>Progress reporting</w:t>
      </w:r>
      <w:r w:rsidRPr="00587DF1">
        <w:rPr>
          <w:rFonts w:ascii="Arial" w:eastAsia="Arial" w:hAnsi="Arial" w:cs="Arial"/>
        </w:rPr>
        <w:t xml:space="preserve"> for each workstream against key deliverables (milestones, activity in period, risks and issues, budget and items for escalation) is reviewed on a monthly basis through the Oriel Executive Board</w:t>
      </w:r>
      <w:r w:rsidR="00065B33">
        <w:rPr>
          <w:rFonts w:ascii="Arial" w:eastAsia="Arial" w:hAnsi="Arial" w:cs="Arial"/>
        </w:rPr>
        <w:t xml:space="preserve"> and Joint Strategy and Transformation Board</w:t>
      </w:r>
      <w:r w:rsidRPr="00587DF1">
        <w:rPr>
          <w:rFonts w:ascii="Arial" w:eastAsia="Arial" w:hAnsi="Arial" w:cs="Arial"/>
        </w:rPr>
        <w:t>. Progress is summarised in an overarching PMO report which, along with the programme and risk register, is shared on a monthly basis with the partners’ own governance, via the Moorfields Management Executive Committee and Audit Committee, and UCL Oriel Project Board.</w:t>
      </w:r>
    </w:p>
    <w:p w14:paraId="7978D451" w14:textId="77777777" w:rsidR="00D20FB0" w:rsidRPr="00587DF1" w:rsidRDefault="00D20FB0" w:rsidP="00D20FB0">
      <w:pPr>
        <w:spacing w:after="0"/>
        <w:rPr>
          <w:rFonts w:ascii="Arial" w:eastAsia="Arial" w:hAnsi="Arial" w:cs="Arial"/>
        </w:rPr>
      </w:pPr>
    </w:p>
    <w:p w14:paraId="2B762E13" w14:textId="77777777" w:rsidR="00D20FB0" w:rsidRDefault="00D20FB0" w:rsidP="00D20FB0">
      <w:pPr>
        <w:spacing w:after="0"/>
        <w:rPr>
          <w:rFonts w:ascii="Arial" w:eastAsia="Arial" w:hAnsi="Arial" w:cs="Arial"/>
        </w:rPr>
      </w:pPr>
      <w:r w:rsidRPr="00587DF1">
        <w:rPr>
          <w:rFonts w:ascii="Arial" w:eastAsia="Arial" w:hAnsi="Arial" w:cs="Arial"/>
          <w:b/>
          <w:bCs/>
        </w:rPr>
        <w:t xml:space="preserve">Document control </w:t>
      </w:r>
      <w:r w:rsidR="005112F4">
        <w:rPr>
          <w:rFonts w:ascii="Arial" w:eastAsia="Arial" w:hAnsi="Arial" w:cs="Arial"/>
        </w:rPr>
        <w:t>i</w:t>
      </w:r>
      <w:r w:rsidRPr="00587DF1">
        <w:rPr>
          <w:rFonts w:ascii="Arial" w:eastAsia="Arial" w:hAnsi="Arial" w:cs="Arial"/>
        </w:rPr>
        <w:t>s maintained using an online collaboration tool (Huddle). This ensures information is shared with all relevant project team members, while maintaining version control, an information audit trail and confidentiality.</w:t>
      </w:r>
    </w:p>
    <w:p w14:paraId="6FD2521C" w14:textId="77777777" w:rsidR="002D79C2" w:rsidRDefault="002D79C2" w:rsidP="00D20FB0">
      <w:pPr>
        <w:spacing w:after="0"/>
        <w:rPr>
          <w:rFonts w:ascii="Arial" w:eastAsia="Arial" w:hAnsi="Arial" w:cs="Arial"/>
        </w:rPr>
      </w:pPr>
    </w:p>
    <w:p w14:paraId="3E0E2513" w14:textId="77777777" w:rsidR="00D20FB0" w:rsidRPr="00587DF1" w:rsidRDefault="00D20FB0" w:rsidP="005E0D57">
      <w:pPr>
        <w:numPr>
          <w:ilvl w:val="2"/>
          <w:numId w:val="39"/>
        </w:numPr>
        <w:pBdr>
          <w:top w:val="nil"/>
          <w:left w:val="nil"/>
          <w:bottom w:val="nil"/>
          <w:right w:val="nil"/>
          <w:between w:val="nil"/>
        </w:pBdr>
        <w:tabs>
          <w:tab w:val="left" w:pos="567"/>
        </w:tabs>
        <w:spacing w:after="0"/>
        <w:jc w:val="both"/>
        <w:rPr>
          <w:rFonts w:ascii="Arial" w:eastAsia="Arial" w:hAnsi="Arial" w:cs="Arial"/>
          <w:color w:val="000000"/>
        </w:rPr>
      </w:pPr>
      <w:r w:rsidRPr="00587DF1">
        <w:rPr>
          <w:rFonts w:ascii="Arial" w:eastAsia="Arial" w:hAnsi="Arial" w:cs="Arial"/>
          <w:b/>
          <w:color w:val="000000"/>
        </w:rPr>
        <w:t>Individual partner governance</w:t>
      </w:r>
    </w:p>
    <w:p w14:paraId="3FB11A27" w14:textId="77777777" w:rsidR="00D20FB0" w:rsidRPr="00587DF1" w:rsidRDefault="00D20FB0" w:rsidP="00D20FB0">
      <w:pPr>
        <w:spacing w:after="0"/>
        <w:rPr>
          <w:rFonts w:ascii="Arial" w:eastAsia="Arial" w:hAnsi="Arial" w:cs="Arial"/>
        </w:rPr>
      </w:pPr>
    </w:p>
    <w:p w14:paraId="08451241" w14:textId="275A11D9" w:rsidR="00D20FB0" w:rsidRPr="00587DF1" w:rsidRDefault="00D20FB0" w:rsidP="00D20FB0">
      <w:pPr>
        <w:rPr>
          <w:rFonts w:ascii="Arial" w:eastAsia="Arial" w:hAnsi="Arial" w:cs="Arial"/>
        </w:rPr>
      </w:pPr>
      <w:r w:rsidRPr="00587DF1">
        <w:rPr>
          <w:rFonts w:ascii="Arial" w:eastAsia="Arial" w:hAnsi="Arial" w:cs="Arial"/>
        </w:rPr>
        <w:t xml:space="preserve">As noted in </w:t>
      </w:r>
      <w:r w:rsidRPr="00587DF1">
        <w:rPr>
          <w:rFonts w:ascii="Arial" w:eastAsia="Arial" w:hAnsi="Arial" w:cs="Arial"/>
        </w:rPr>
        <w:fldChar w:fldCharType="begin"/>
      </w:r>
      <w:r w:rsidRPr="00587DF1">
        <w:rPr>
          <w:rFonts w:ascii="Arial" w:eastAsia="Arial" w:hAnsi="Arial" w:cs="Arial"/>
        </w:rPr>
        <w:instrText xml:space="preserve"> REF _Ref26529985 \h  \* MERGEFORMAT </w:instrText>
      </w:r>
      <w:r w:rsidRPr="00587DF1">
        <w:rPr>
          <w:rFonts w:ascii="Arial" w:eastAsia="Arial" w:hAnsi="Arial" w:cs="Arial"/>
        </w:rPr>
      </w:r>
      <w:r w:rsidRPr="00587DF1">
        <w:rPr>
          <w:rFonts w:ascii="Arial" w:eastAsia="Arial" w:hAnsi="Arial" w:cs="Arial"/>
        </w:rPr>
        <w:fldChar w:fldCharType="separate"/>
      </w:r>
      <w:r w:rsidR="00A936CD" w:rsidRPr="00A936CD">
        <w:rPr>
          <w:rFonts w:ascii="Arial" w:hAnsi="Arial" w:cs="Arial"/>
        </w:rPr>
        <w:t xml:space="preserve">Figure </w:t>
      </w:r>
      <w:r w:rsidR="00A936CD" w:rsidRPr="00A936CD">
        <w:rPr>
          <w:rFonts w:ascii="Arial" w:hAnsi="Arial" w:cs="Arial"/>
          <w:noProof/>
        </w:rPr>
        <w:t>20</w:t>
      </w:r>
      <w:r w:rsidRPr="00587DF1">
        <w:rPr>
          <w:rFonts w:ascii="Arial" w:eastAsia="Arial" w:hAnsi="Arial" w:cs="Arial"/>
        </w:rPr>
        <w:fldChar w:fldCharType="end"/>
      </w:r>
      <w:r w:rsidRPr="00587DF1">
        <w:rPr>
          <w:rFonts w:ascii="Arial" w:eastAsia="Arial" w:hAnsi="Arial" w:cs="Arial"/>
        </w:rPr>
        <w:t xml:space="preserve"> above, each of the three partners of Oriel </w:t>
      </w:r>
      <w:r w:rsidR="005112F4">
        <w:rPr>
          <w:rFonts w:ascii="Arial" w:eastAsia="Arial" w:hAnsi="Arial" w:cs="Arial"/>
        </w:rPr>
        <w:t>has</w:t>
      </w:r>
      <w:r w:rsidRPr="00587DF1">
        <w:rPr>
          <w:rFonts w:ascii="Arial" w:eastAsia="Arial" w:hAnsi="Arial" w:cs="Arial"/>
        </w:rPr>
        <w:t xml:space="preserve"> their own organisational governance requirements. Throughout the programme, key milestones and decisions are communicated and approved by each partner’s governance, for example approval of business cases, endorsement of key strategies such as the disposals and acquisitions strategies, design team and contractor appointment, and budget sign-off.</w:t>
      </w:r>
    </w:p>
    <w:p w14:paraId="5CD9F10C" w14:textId="77777777" w:rsidR="00D20FB0" w:rsidRPr="00587DF1" w:rsidRDefault="00D20FB0" w:rsidP="00D20FB0">
      <w:pPr>
        <w:spacing w:after="0"/>
        <w:rPr>
          <w:rFonts w:ascii="Arial" w:eastAsia="Arial" w:hAnsi="Arial" w:cs="Arial"/>
        </w:rPr>
      </w:pPr>
      <w:r w:rsidRPr="00587DF1">
        <w:rPr>
          <w:rFonts w:ascii="Arial" w:eastAsia="Arial" w:hAnsi="Arial" w:cs="Arial"/>
        </w:rPr>
        <w:t>The governance routes for each organisation are shown below. Each of the partners may also set up their own internal working groups on an as-needed basis to inform work undertaken by the joint project team, however these groups will not have decision making authority on behalf of the partners.</w:t>
      </w:r>
    </w:p>
    <w:p w14:paraId="3001445C" w14:textId="77777777" w:rsidR="00D20FB0" w:rsidRPr="00587DF1" w:rsidRDefault="00D20FB0" w:rsidP="00D20FB0">
      <w:pPr>
        <w:spacing w:after="0"/>
        <w:rPr>
          <w:rFonts w:ascii="Arial" w:eastAsia="Arial" w:hAnsi="Arial" w:cs="Arial"/>
        </w:rPr>
      </w:pPr>
    </w:p>
    <w:p w14:paraId="3BA83F96" w14:textId="36B32C8A" w:rsidR="00D20FB0" w:rsidRPr="00587DF1" w:rsidRDefault="00D20FB0" w:rsidP="00D20FB0">
      <w:pPr>
        <w:pStyle w:val="Caption"/>
      </w:pPr>
      <w:r w:rsidRPr="00587DF1">
        <w:t xml:space="preserve">Figure </w:t>
      </w:r>
      <w:r w:rsidR="00320059">
        <w:fldChar w:fldCharType="begin"/>
      </w:r>
      <w:r w:rsidR="00320059">
        <w:instrText xml:space="preserve"> SEQ Figure \* ARABIC </w:instrText>
      </w:r>
      <w:r w:rsidR="00320059">
        <w:fldChar w:fldCharType="separate"/>
      </w:r>
      <w:r w:rsidR="00A936CD">
        <w:rPr>
          <w:noProof/>
        </w:rPr>
        <w:t>21</w:t>
      </w:r>
      <w:r w:rsidR="00320059">
        <w:fldChar w:fldCharType="end"/>
      </w:r>
      <w:r w:rsidRPr="00587DF1">
        <w:t xml:space="preserve">: </w:t>
      </w:r>
      <w:r w:rsidRPr="00587DF1">
        <w:rPr>
          <w:b w:val="0"/>
          <w:bCs w:val="0"/>
        </w:rPr>
        <w:t>Individual partner governance</w:t>
      </w:r>
    </w:p>
    <w:p w14:paraId="409C1FE1" w14:textId="7F1B9B54" w:rsidR="00D20FB0" w:rsidRDefault="005112F4" w:rsidP="00D20FB0">
      <w:pPr>
        <w:spacing w:after="0" w:line="240" w:lineRule="auto"/>
        <w:rPr>
          <w:rFonts w:ascii="Arial" w:eastAsia="Arial" w:hAnsi="Arial" w:cs="Arial"/>
          <w:highlight w:val="yellow"/>
        </w:rPr>
      </w:pPr>
      <w:r>
        <w:rPr>
          <w:noProof/>
        </w:rPr>
        <w:drawing>
          <wp:inline distT="0" distB="0" distL="0" distR="0" wp14:anchorId="67E72F76" wp14:editId="2B14A8D2">
            <wp:extent cx="5731510" cy="331216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312160"/>
                    </a:xfrm>
                    <a:prstGeom prst="rect">
                      <a:avLst/>
                    </a:prstGeom>
                  </pic:spPr>
                </pic:pic>
              </a:graphicData>
            </a:graphic>
          </wp:inline>
        </w:drawing>
      </w:r>
    </w:p>
    <w:p w14:paraId="6122CFFD" w14:textId="0F91FB19" w:rsidR="004F4B79" w:rsidRDefault="004F4B79" w:rsidP="00D20FB0">
      <w:pPr>
        <w:spacing w:after="0" w:line="240" w:lineRule="auto"/>
        <w:rPr>
          <w:rFonts w:ascii="Arial" w:eastAsia="Arial" w:hAnsi="Arial" w:cs="Arial"/>
          <w:highlight w:val="yellow"/>
        </w:rPr>
      </w:pPr>
    </w:p>
    <w:p w14:paraId="407FD208" w14:textId="77777777" w:rsidR="00D20FB0" w:rsidRPr="00587DF1" w:rsidRDefault="00D20FB0" w:rsidP="00D20FB0">
      <w:pPr>
        <w:spacing w:after="0" w:line="240" w:lineRule="auto"/>
        <w:rPr>
          <w:rFonts w:ascii="Arial" w:eastAsia="Arial" w:hAnsi="Arial" w:cs="Arial"/>
          <w:highlight w:val="yellow"/>
        </w:rPr>
      </w:pPr>
    </w:p>
    <w:p w14:paraId="5918F8F6" w14:textId="0A95FD61" w:rsidR="008E7C75" w:rsidRPr="00587DF1" w:rsidRDefault="008E7C75" w:rsidP="008E7C75">
      <w:pPr>
        <w:numPr>
          <w:ilvl w:val="2"/>
          <w:numId w:val="39"/>
        </w:numPr>
        <w:pBdr>
          <w:top w:val="nil"/>
          <w:left w:val="nil"/>
          <w:bottom w:val="nil"/>
          <w:right w:val="nil"/>
          <w:between w:val="nil"/>
        </w:pBdr>
        <w:tabs>
          <w:tab w:val="left" w:pos="567"/>
        </w:tabs>
        <w:spacing w:after="0"/>
        <w:jc w:val="both"/>
        <w:rPr>
          <w:rFonts w:ascii="Arial" w:eastAsia="Arial" w:hAnsi="Arial" w:cs="Arial"/>
          <w:color w:val="000000"/>
        </w:rPr>
      </w:pPr>
      <w:r>
        <w:rPr>
          <w:rFonts w:ascii="Arial" w:eastAsia="Arial" w:hAnsi="Arial" w:cs="Arial"/>
          <w:b/>
          <w:color w:val="000000"/>
        </w:rPr>
        <w:t>St Pancras redevelopment oversight</w:t>
      </w:r>
    </w:p>
    <w:p w14:paraId="02A947D7" w14:textId="37261D8C" w:rsidR="00D20FB0" w:rsidRDefault="00D20FB0" w:rsidP="00D20FB0">
      <w:pPr>
        <w:spacing w:after="0"/>
        <w:rPr>
          <w:rFonts w:ascii="Arial" w:eastAsia="Arial" w:hAnsi="Arial" w:cs="Arial"/>
        </w:rPr>
      </w:pPr>
    </w:p>
    <w:p w14:paraId="4C485D40" w14:textId="37FF84FE" w:rsidR="008E7C75" w:rsidRDefault="008E7C75" w:rsidP="00D20FB0">
      <w:pPr>
        <w:spacing w:after="0"/>
        <w:rPr>
          <w:rFonts w:ascii="Arial" w:eastAsia="Arial" w:hAnsi="Arial" w:cs="Arial"/>
        </w:rPr>
      </w:pPr>
      <w:r>
        <w:rPr>
          <w:rFonts w:ascii="Arial" w:eastAsia="Arial" w:hAnsi="Arial" w:cs="Arial"/>
        </w:rPr>
        <w:t xml:space="preserve">The critical path and key dependencies between the projects being undertaken by </w:t>
      </w:r>
      <w:r w:rsidRPr="008E7C75">
        <w:rPr>
          <w:rFonts w:ascii="Arial" w:eastAsia="Arial" w:hAnsi="Arial" w:cs="Arial"/>
        </w:rPr>
        <w:t xml:space="preserve">Moorfields, UCL, </w:t>
      </w:r>
      <w:r>
        <w:rPr>
          <w:rFonts w:ascii="Arial" w:eastAsia="Arial" w:hAnsi="Arial" w:cs="Arial"/>
        </w:rPr>
        <w:t xml:space="preserve">WHT </w:t>
      </w:r>
      <w:r w:rsidRPr="008E7C75">
        <w:rPr>
          <w:rFonts w:ascii="Arial" w:eastAsia="Arial" w:hAnsi="Arial" w:cs="Arial"/>
        </w:rPr>
        <w:t>and C&amp;I</w:t>
      </w:r>
      <w:r>
        <w:rPr>
          <w:rFonts w:ascii="Arial" w:eastAsia="Arial" w:hAnsi="Arial" w:cs="Arial"/>
        </w:rPr>
        <w:t xml:space="preserve"> are monitored through the following:</w:t>
      </w:r>
    </w:p>
    <w:p w14:paraId="392402BE" w14:textId="358A127C" w:rsidR="008E7C75" w:rsidRDefault="008E7C75" w:rsidP="00D20FB0">
      <w:pPr>
        <w:spacing w:after="0"/>
        <w:rPr>
          <w:rFonts w:ascii="Arial" w:eastAsia="Arial" w:hAnsi="Arial" w:cs="Arial"/>
        </w:rPr>
      </w:pPr>
    </w:p>
    <w:p w14:paraId="5DD7C3EC" w14:textId="77777777" w:rsidR="008E7C75" w:rsidRPr="008E7C75" w:rsidRDefault="008E7C75" w:rsidP="008E7C75">
      <w:pPr>
        <w:spacing w:after="0"/>
        <w:rPr>
          <w:rFonts w:ascii="Arial" w:eastAsia="Arial" w:hAnsi="Arial" w:cs="Arial"/>
          <w:b/>
          <w:bCs/>
        </w:rPr>
      </w:pPr>
      <w:r w:rsidRPr="008E7C75">
        <w:rPr>
          <w:rFonts w:ascii="Arial" w:eastAsia="Arial" w:hAnsi="Arial" w:cs="Arial"/>
          <w:b/>
          <w:bCs/>
        </w:rPr>
        <w:t xml:space="preserve">Joint Steering Group </w:t>
      </w:r>
    </w:p>
    <w:p w14:paraId="1E90FCA4" w14:textId="6F61F774" w:rsidR="008E7C75" w:rsidRPr="008E7C75" w:rsidRDefault="008E7C75" w:rsidP="008E7C75">
      <w:pPr>
        <w:spacing w:after="0"/>
        <w:rPr>
          <w:rFonts w:ascii="Arial" w:eastAsia="Arial" w:hAnsi="Arial" w:cs="Arial"/>
        </w:rPr>
      </w:pPr>
      <w:r w:rsidRPr="008E7C75">
        <w:rPr>
          <w:rFonts w:ascii="Arial" w:eastAsia="Arial" w:hAnsi="Arial" w:cs="Arial"/>
        </w:rPr>
        <w:t xml:space="preserve">The Joint Steering Group (JSG) is </w:t>
      </w:r>
      <w:r>
        <w:rPr>
          <w:rFonts w:ascii="Arial" w:eastAsia="Arial" w:hAnsi="Arial" w:cs="Arial"/>
        </w:rPr>
        <w:t xml:space="preserve">attended by </w:t>
      </w:r>
      <w:r w:rsidRPr="008E7C75">
        <w:rPr>
          <w:rFonts w:ascii="Arial" w:eastAsia="Arial" w:hAnsi="Arial" w:cs="Arial"/>
        </w:rPr>
        <w:t xml:space="preserve">Moorfields, UCL, </w:t>
      </w:r>
      <w:r>
        <w:rPr>
          <w:rFonts w:ascii="Arial" w:eastAsia="Arial" w:hAnsi="Arial" w:cs="Arial"/>
        </w:rPr>
        <w:t xml:space="preserve">WHT </w:t>
      </w:r>
      <w:r w:rsidRPr="008E7C75">
        <w:rPr>
          <w:rFonts w:ascii="Arial" w:eastAsia="Arial" w:hAnsi="Arial" w:cs="Arial"/>
        </w:rPr>
        <w:t xml:space="preserve">and C&amp;I. Its role is to </w:t>
      </w:r>
      <w:r>
        <w:rPr>
          <w:rFonts w:ascii="Arial" w:eastAsia="Arial" w:hAnsi="Arial" w:cs="Arial"/>
        </w:rPr>
        <w:t xml:space="preserve">support </w:t>
      </w:r>
      <w:r w:rsidRPr="008E7C75">
        <w:rPr>
          <w:rFonts w:ascii="Arial" w:eastAsia="Arial" w:hAnsi="Arial" w:cs="Arial"/>
        </w:rPr>
        <w:t xml:space="preserve">the four </w:t>
      </w:r>
      <w:r>
        <w:rPr>
          <w:rFonts w:ascii="Arial" w:eastAsia="Arial" w:hAnsi="Arial" w:cs="Arial"/>
        </w:rPr>
        <w:t xml:space="preserve">organisations </w:t>
      </w:r>
      <w:r w:rsidRPr="008E7C75">
        <w:rPr>
          <w:rFonts w:ascii="Arial" w:eastAsia="Arial" w:hAnsi="Arial" w:cs="Arial"/>
        </w:rPr>
        <w:t xml:space="preserve">in delivering their strategic estate programmes </w:t>
      </w:r>
      <w:r>
        <w:rPr>
          <w:rFonts w:ascii="Arial" w:eastAsia="Arial" w:hAnsi="Arial" w:cs="Arial"/>
        </w:rPr>
        <w:t>efficiently, for mutual benefit</w:t>
      </w:r>
      <w:r w:rsidRPr="008E7C75">
        <w:rPr>
          <w:rFonts w:ascii="Arial" w:eastAsia="Arial" w:hAnsi="Arial" w:cs="Arial"/>
        </w:rPr>
        <w:t xml:space="preserve">. </w:t>
      </w:r>
      <w:r>
        <w:rPr>
          <w:rFonts w:ascii="Arial" w:eastAsia="Arial" w:hAnsi="Arial" w:cs="Arial"/>
        </w:rPr>
        <w:t xml:space="preserve">Attendance is requested according to </w:t>
      </w:r>
      <w:r w:rsidRPr="008E7C75">
        <w:rPr>
          <w:rFonts w:ascii="Arial" w:eastAsia="Arial" w:hAnsi="Arial" w:cs="Arial"/>
        </w:rPr>
        <w:t xml:space="preserve">relevant experience and expertise </w:t>
      </w:r>
      <w:r w:rsidR="00D6565C">
        <w:rPr>
          <w:rFonts w:ascii="Arial" w:eastAsia="Arial" w:hAnsi="Arial" w:cs="Arial"/>
        </w:rPr>
        <w:t>as required</w:t>
      </w:r>
      <w:r w:rsidRPr="008E7C75">
        <w:rPr>
          <w:rFonts w:ascii="Arial" w:eastAsia="Arial" w:hAnsi="Arial" w:cs="Arial"/>
        </w:rPr>
        <w:t>.</w:t>
      </w:r>
      <w:r w:rsidR="00D6565C">
        <w:rPr>
          <w:rFonts w:ascii="Arial" w:eastAsia="Arial" w:hAnsi="Arial" w:cs="Arial"/>
        </w:rPr>
        <w:t xml:space="preserve"> </w:t>
      </w:r>
      <w:r w:rsidRPr="008E7C75">
        <w:rPr>
          <w:rFonts w:ascii="Arial" w:eastAsia="Arial" w:hAnsi="Arial" w:cs="Arial"/>
        </w:rPr>
        <w:t xml:space="preserve">The JSG is chaired in rotation by: </w:t>
      </w:r>
    </w:p>
    <w:p w14:paraId="3B38D6A7" w14:textId="77777777" w:rsidR="008E7C75" w:rsidRPr="00D6565C" w:rsidRDefault="008E7C75" w:rsidP="004F4B79">
      <w:pPr>
        <w:pStyle w:val="ListParagraph"/>
        <w:numPr>
          <w:ilvl w:val="0"/>
          <w:numId w:val="152"/>
        </w:numPr>
        <w:spacing w:after="0"/>
        <w:rPr>
          <w:rFonts w:ascii="Arial" w:eastAsia="Arial" w:hAnsi="Arial" w:cs="Arial"/>
        </w:rPr>
      </w:pPr>
      <w:r w:rsidRPr="00D6565C">
        <w:rPr>
          <w:rFonts w:ascii="Arial" w:eastAsia="Arial" w:hAnsi="Arial" w:cs="Arial"/>
        </w:rPr>
        <w:t xml:space="preserve">Chief Executive Moorfields </w:t>
      </w:r>
    </w:p>
    <w:p w14:paraId="0E8F8B8E" w14:textId="77777777" w:rsidR="008E7C75" w:rsidRPr="00D6565C" w:rsidRDefault="008E7C75" w:rsidP="004F4B79">
      <w:pPr>
        <w:pStyle w:val="ListParagraph"/>
        <w:numPr>
          <w:ilvl w:val="0"/>
          <w:numId w:val="152"/>
        </w:numPr>
        <w:spacing w:after="0"/>
        <w:rPr>
          <w:rFonts w:ascii="Arial" w:eastAsia="Arial" w:hAnsi="Arial" w:cs="Arial"/>
        </w:rPr>
      </w:pPr>
      <w:r w:rsidRPr="00D6565C">
        <w:rPr>
          <w:rFonts w:ascii="Arial" w:eastAsia="Arial" w:hAnsi="Arial" w:cs="Arial"/>
        </w:rPr>
        <w:lastRenderedPageBreak/>
        <w:t xml:space="preserve">UCL Dean of Brain Sciences </w:t>
      </w:r>
    </w:p>
    <w:p w14:paraId="33E9739E" w14:textId="77777777" w:rsidR="008E7C75" w:rsidRPr="00D6565C" w:rsidRDefault="008E7C75" w:rsidP="004F4B79">
      <w:pPr>
        <w:pStyle w:val="ListParagraph"/>
        <w:numPr>
          <w:ilvl w:val="0"/>
          <w:numId w:val="152"/>
        </w:numPr>
        <w:spacing w:after="0"/>
        <w:rPr>
          <w:rFonts w:ascii="Arial" w:eastAsia="Arial" w:hAnsi="Arial" w:cs="Arial"/>
        </w:rPr>
      </w:pPr>
      <w:r w:rsidRPr="00D6565C">
        <w:rPr>
          <w:rFonts w:ascii="Arial" w:eastAsia="Arial" w:hAnsi="Arial" w:cs="Arial"/>
        </w:rPr>
        <w:t xml:space="preserve">Chief Executive C&amp;I </w:t>
      </w:r>
    </w:p>
    <w:p w14:paraId="1E05549C" w14:textId="77777777" w:rsidR="008E7C75" w:rsidRPr="00D6565C" w:rsidRDefault="008E7C75" w:rsidP="004F4B79">
      <w:pPr>
        <w:pStyle w:val="ListParagraph"/>
        <w:numPr>
          <w:ilvl w:val="0"/>
          <w:numId w:val="152"/>
        </w:numPr>
        <w:spacing w:after="0"/>
        <w:rPr>
          <w:rFonts w:ascii="Arial" w:eastAsia="Arial" w:hAnsi="Arial" w:cs="Arial"/>
        </w:rPr>
      </w:pPr>
      <w:r w:rsidRPr="00D6565C">
        <w:rPr>
          <w:rFonts w:ascii="Arial" w:eastAsia="Arial" w:hAnsi="Arial" w:cs="Arial"/>
        </w:rPr>
        <w:t xml:space="preserve">Chief Executive Whittington Health </w:t>
      </w:r>
    </w:p>
    <w:p w14:paraId="4D8BA0D7" w14:textId="77777777" w:rsidR="008E7C75" w:rsidRDefault="008E7C75" w:rsidP="008E7C75">
      <w:pPr>
        <w:pStyle w:val="Default"/>
      </w:pPr>
      <w:r>
        <w:rPr>
          <w:sz w:val="22"/>
          <w:szCs w:val="22"/>
        </w:rPr>
        <w:t> </w:t>
      </w:r>
    </w:p>
    <w:p w14:paraId="00A62C7B" w14:textId="18B14008" w:rsidR="008E7C75" w:rsidRPr="00D6565C" w:rsidRDefault="008E7C75" w:rsidP="00D6565C">
      <w:pPr>
        <w:spacing w:after="0"/>
        <w:rPr>
          <w:rFonts w:ascii="Arial" w:eastAsia="Arial" w:hAnsi="Arial" w:cs="Arial"/>
        </w:rPr>
      </w:pPr>
      <w:r w:rsidRPr="00D6565C">
        <w:rPr>
          <w:rFonts w:ascii="Arial" w:eastAsia="Arial" w:hAnsi="Arial" w:cs="Arial"/>
        </w:rPr>
        <w:t xml:space="preserve">The JSG </w:t>
      </w:r>
      <w:r w:rsidR="00D6565C">
        <w:rPr>
          <w:rFonts w:ascii="Arial" w:eastAsia="Arial" w:hAnsi="Arial" w:cs="Arial"/>
        </w:rPr>
        <w:t xml:space="preserve">is </w:t>
      </w:r>
      <w:r w:rsidRPr="00D6565C">
        <w:rPr>
          <w:rFonts w:ascii="Arial" w:eastAsia="Arial" w:hAnsi="Arial" w:cs="Arial"/>
        </w:rPr>
        <w:t xml:space="preserve">supported by a Joint Working Group to provide </w:t>
      </w:r>
      <w:r w:rsidR="00D6565C">
        <w:rPr>
          <w:rFonts w:ascii="Arial" w:eastAsia="Arial" w:hAnsi="Arial" w:cs="Arial"/>
        </w:rPr>
        <w:t>e</w:t>
      </w:r>
      <w:r w:rsidRPr="00D6565C">
        <w:rPr>
          <w:rFonts w:ascii="Arial" w:eastAsia="Arial" w:hAnsi="Arial" w:cs="Arial"/>
        </w:rPr>
        <w:t>xecutive level coordination and direction in a more practical and detailed manner.</w:t>
      </w:r>
    </w:p>
    <w:p w14:paraId="02050C08" w14:textId="77777777" w:rsidR="008E7C75" w:rsidRDefault="008E7C75" w:rsidP="008E7C75">
      <w:pPr>
        <w:pStyle w:val="Default"/>
      </w:pPr>
      <w:r>
        <w:rPr>
          <w:b/>
          <w:bCs/>
          <w:sz w:val="22"/>
          <w:szCs w:val="22"/>
        </w:rPr>
        <w:t> </w:t>
      </w:r>
    </w:p>
    <w:p w14:paraId="16AB3BDE" w14:textId="62F23464" w:rsidR="008E7C75" w:rsidRPr="00D6565C" w:rsidRDefault="008E7C75" w:rsidP="00D6565C">
      <w:pPr>
        <w:spacing w:after="0"/>
        <w:rPr>
          <w:rFonts w:ascii="Arial" w:eastAsia="Arial" w:hAnsi="Arial" w:cs="Arial"/>
          <w:b/>
          <w:bCs/>
        </w:rPr>
      </w:pPr>
      <w:r w:rsidRPr="00D6565C">
        <w:rPr>
          <w:rFonts w:ascii="Arial" w:eastAsia="Arial" w:hAnsi="Arial" w:cs="Arial"/>
          <w:b/>
          <w:bCs/>
        </w:rPr>
        <w:t xml:space="preserve">St Pancras and Moorfields Transformation Programme Group </w:t>
      </w:r>
    </w:p>
    <w:p w14:paraId="0B372E7B" w14:textId="1C645610" w:rsidR="008E7C75" w:rsidRPr="00D6565C" w:rsidRDefault="008E7C75" w:rsidP="00D6565C">
      <w:pPr>
        <w:spacing w:after="0"/>
        <w:rPr>
          <w:rFonts w:ascii="Arial" w:eastAsia="Arial" w:hAnsi="Arial" w:cs="Arial"/>
        </w:rPr>
      </w:pPr>
      <w:r w:rsidRPr="00D6565C">
        <w:rPr>
          <w:rFonts w:ascii="Arial" w:eastAsia="Arial" w:hAnsi="Arial" w:cs="Arial"/>
        </w:rPr>
        <w:t>In addition to the above</w:t>
      </w:r>
      <w:r w:rsidR="00D6565C">
        <w:rPr>
          <w:rFonts w:ascii="Arial" w:eastAsia="Arial" w:hAnsi="Arial" w:cs="Arial"/>
        </w:rPr>
        <w:t>,</w:t>
      </w:r>
      <w:r w:rsidRPr="00D6565C">
        <w:rPr>
          <w:rFonts w:ascii="Arial" w:eastAsia="Arial" w:hAnsi="Arial" w:cs="Arial"/>
        </w:rPr>
        <w:t xml:space="preserve"> the DHSC chair a three</w:t>
      </w:r>
      <w:r w:rsidR="00D6565C">
        <w:rPr>
          <w:rFonts w:ascii="Arial" w:eastAsia="Arial" w:hAnsi="Arial" w:cs="Arial"/>
        </w:rPr>
        <w:t>-</w:t>
      </w:r>
      <w:r w:rsidRPr="00D6565C">
        <w:rPr>
          <w:rFonts w:ascii="Arial" w:eastAsia="Arial" w:hAnsi="Arial" w:cs="Arial"/>
        </w:rPr>
        <w:t xml:space="preserve">weekly group covering the St Pancras and Moorfields work. Initiated at the request of C&amp;I and Moorfields, it aims to deliver the programme without delay, performance managing all aspects of the programme including governance. </w:t>
      </w:r>
      <w:r w:rsidR="00D6565C">
        <w:rPr>
          <w:rFonts w:ascii="Arial" w:eastAsia="Arial" w:hAnsi="Arial" w:cs="Arial"/>
        </w:rPr>
        <w:t>M</w:t>
      </w:r>
      <w:r w:rsidRPr="00D6565C">
        <w:rPr>
          <w:rFonts w:ascii="Arial" w:eastAsia="Arial" w:hAnsi="Arial" w:cs="Arial"/>
        </w:rPr>
        <w:t xml:space="preserve">eetings are chaired by Ian Stone (Deputy Director - Capital and Land Strategy DHSC). Membership </w:t>
      </w:r>
      <w:r w:rsidR="00D6565C">
        <w:rPr>
          <w:rFonts w:ascii="Arial" w:eastAsia="Arial" w:hAnsi="Arial" w:cs="Arial"/>
        </w:rPr>
        <w:t>i</w:t>
      </w:r>
      <w:r w:rsidRPr="00D6565C">
        <w:rPr>
          <w:rFonts w:ascii="Arial" w:eastAsia="Arial" w:hAnsi="Arial" w:cs="Arial"/>
        </w:rPr>
        <w:t>ncludes</w:t>
      </w:r>
      <w:r w:rsidR="00D6565C">
        <w:rPr>
          <w:rFonts w:ascii="Arial" w:eastAsia="Arial" w:hAnsi="Arial" w:cs="Arial"/>
        </w:rPr>
        <w:t xml:space="preserve"> representatives from</w:t>
      </w:r>
      <w:r w:rsidRPr="00D6565C">
        <w:rPr>
          <w:rFonts w:ascii="Arial" w:eastAsia="Arial" w:hAnsi="Arial" w:cs="Arial"/>
        </w:rPr>
        <w:t xml:space="preserve">: </w:t>
      </w:r>
    </w:p>
    <w:p w14:paraId="5EFEDBD4" w14:textId="18D660B6" w:rsidR="008E7C75" w:rsidRPr="00D6565C" w:rsidRDefault="008E7C75" w:rsidP="004F4B79">
      <w:pPr>
        <w:pStyle w:val="ListParagraph"/>
        <w:numPr>
          <w:ilvl w:val="0"/>
          <w:numId w:val="152"/>
        </w:numPr>
        <w:spacing w:after="0"/>
        <w:rPr>
          <w:rFonts w:ascii="Arial" w:eastAsia="Arial" w:hAnsi="Arial" w:cs="Arial"/>
        </w:rPr>
      </w:pPr>
      <w:r w:rsidRPr="00D6565C">
        <w:rPr>
          <w:rFonts w:ascii="Arial" w:eastAsia="Arial" w:hAnsi="Arial" w:cs="Arial"/>
        </w:rPr>
        <w:t>DHSC</w:t>
      </w:r>
    </w:p>
    <w:p w14:paraId="7244483A" w14:textId="4F6B4FE3" w:rsidR="008E7C75" w:rsidRPr="00D6565C" w:rsidRDefault="008E7C75" w:rsidP="004F4B79">
      <w:pPr>
        <w:pStyle w:val="ListParagraph"/>
        <w:numPr>
          <w:ilvl w:val="0"/>
          <w:numId w:val="152"/>
        </w:numPr>
        <w:spacing w:after="0"/>
        <w:rPr>
          <w:rFonts w:ascii="Arial" w:eastAsia="Arial" w:hAnsi="Arial" w:cs="Arial"/>
        </w:rPr>
      </w:pPr>
      <w:r w:rsidRPr="00D6565C">
        <w:rPr>
          <w:rFonts w:ascii="Arial" w:eastAsia="Arial" w:hAnsi="Arial" w:cs="Arial"/>
        </w:rPr>
        <w:t>NHS</w:t>
      </w:r>
      <w:r w:rsidR="00D6565C">
        <w:rPr>
          <w:rFonts w:ascii="Arial" w:eastAsia="Arial" w:hAnsi="Arial" w:cs="Arial"/>
        </w:rPr>
        <w:t>E/I</w:t>
      </w:r>
    </w:p>
    <w:p w14:paraId="4093CEB5" w14:textId="77777777" w:rsidR="008E7C75" w:rsidRPr="00D6565C" w:rsidRDefault="008E7C75" w:rsidP="004F4B79">
      <w:pPr>
        <w:pStyle w:val="ListParagraph"/>
        <w:numPr>
          <w:ilvl w:val="0"/>
          <w:numId w:val="152"/>
        </w:numPr>
        <w:spacing w:after="0"/>
        <w:rPr>
          <w:rFonts w:ascii="Arial" w:eastAsia="Arial" w:hAnsi="Arial" w:cs="Arial"/>
        </w:rPr>
      </w:pPr>
      <w:r w:rsidRPr="00D6565C">
        <w:rPr>
          <w:rFonts w:ascii="Arial" w:eastAsia="Arial" w:hAnsi="Arial" w:cs="Arial"/>
        </w:rPr>
        <w:t xml:space="preserve">GLA London Estates Board </w:t>
      </w:r>
    </w:p>
    <w:p w14:paraId="016DD67E" w14:textId="735794BC" w:rsidR="008E7C75" w:rsidRPr="00D6565C" w:rsidRDefault="008E7C75" w:rsidP="004F4B79">
      <w:pPr>
        <w:pStyle w:val="ListParagraph"/>
        <w:numPr>
          <w:ilvl w:val="0"/>
          <w:numId w:val="152"/>
        </w:numPr>
        <w:spacing w:after="0"/>
        <w:rPr>
          <w:rFonts w:ascii="Arial" w:eastAsia="Arial" w:hAnsi="Arial" w:cs="Arial"/>
        </w:rPr>
      </w:pPr>
      <w:r w:rsidRPr="00D6565C">
        <w:rPr>
          <w:rFonts w:ascii="Arial" w:eastAsia="Arial" w:hAnsi="Arial" w:cs="Arial"/>
        </w:rPr>
        <w:t xml:space="preserve">Moorfields </w:t>
      </w:r>
      <w:r w:rsidR="00D6565C">
        <w:rPr>
          <w:rFonts w:ascii="Arial" w:eastAsia="Arial" w:hAnsi="Arial" w:cs="Arial"/>
        </w:rPr>
        <w:t>(CEO)</w:t>
      </w:r>
    </w:p>
    <w:p w14:paraId="6DCA3FFD" w14:textId="6E4E2A19" w:rsidR="008E7C75" w:rsidRPr="00D6565C" w:rsidRDefault="008E7C75" w:rsidP="004F4B79">
      <w:pPr>
        <w:pStyle w:val="ListParagraph"/>
        <w:numPr>
          <w:ilvl w:val="0"/>
          <w:numId w:val="152"/>
        </w:numPr>
        <w:spacing w:after="0"/>
        <w:rPr>
          <w:rFonts w:ascii="Arial" w:eastAsia="Arial" w:hAnsi="Arial" w:cs="Arial"/>
        </w:rPr>
      </w:pPr>
      <w:r w:rsidRPr="00D6565C">
        <w:rPr>
          <w:rFonts w:ascii="Arial" w:eastAsia="Arial" w:hAnsi="Arial" w:cs="Arial"/>
        </w:rPr>
        <w:t xml:space="preserve">Whittington </w:t>
      </w:r>
      <w:r w:rsidR="00D6565C">
        <w:rPr>
          <w:rFonts w:ascii="Arial" w:eastAsia="Arial" w:hAnsi="Arial" w:cs="Arial"/>
        </w:rPr>
        <w:t>(</w:t>
      </w:r>
      <w:r w:rsidR="00D6565C" w:rsidRPr="00D6565C">
        <w:rPr>
          <w:rFonts w:ascii="Arial" w:eastAsia="Arial" w:hAnsi="Arial" w:cs="Arial"/>
        </w:rPr>
        <w:t>CEO</w:t>
      </w:r>
      <w:r w:rsidR="00D6565C">
        <w:rPr>
          <w:rFonts w:ascii="Arial" w:eastAsia="Arial" w:hAnsi="Arial" w:cs="Arial"/>
        </w:rPr>
        <w:t>)</w:t>
      </w:r>
    </w:p>
    <w:p w14:paraId="364EE03F" w14:textId="543CB010" w:rsidR="008E7C75" w:rsidRPr="004F4B79" w:rsidRDefault="008E7C75" w:rsidP="004F4B79">
      <w:pPr>
        <w:pStyle w:val="ListParagraph"/>
        <w:numPr>
          <w:ilvl w:val="0"/>
          <w:numId w:val="152"/>
        </w:numPr>
        <w:spacing w:after="0"/>
        <w:rPr>
          <w:rFonts w:ascii="Arial" w:eastAsia="Arial" w:hAnsi="Arial" w:cs="Arial"/>
        </w:rPr>
      </w:pPr>
      <w:r w:rsidRPr="00D6565C">
        <w:rPr>
          <w:rFonts w:ascii="Arial" w:eastAsia="Arial" w:hAnsi="Arial" w:cs="Arial"/>
        </w:rPr>
        <w:t xml:space="preserve">C&amp;I </w:t>
      </w:r>
      <w:r w:rsidR="00D6565C">
        <w:rPr>
          <w:rFonts w:ascii="Arial" w:eastAsia="Arial" w:hAnsi="Arial" w:cs="Arial"/>
        </w:rPr>
        <w:t>(</w:t>
      </w:r>
      <w:r w:rsidR="00D6565C" w:rsidRPr="00D6565C">
        <w:rPr>
          <w:rFonts w:ascii="Arial" w:eastAsia="Arial" w:hAnsi="Arial" w:cs="Arial"/>
        </w:rPr>
        <w:t>CEO</w:t>
      </w:r>
      <w:r w:rsidR="00D6565C">
        <w:rPr>
          <w:rFonts w:ascii="Arial" w:eastAsia="Arial" w:hAnsi="Arial" w:cs="Arial"/>
        </w:rPr>
        <w:t>)</w:t>
      </w:r>
    </w:p>
    <w:p w14:paraId="3CA32040" w14:textId="77777777" w:rsidR="008E7C75" w:rsidRPr="00587DF1" w:rsidRDefault="008E7C75" w:rsidP="00D20FB0">
      <w:pPr>
        <w:spacing w:after="0"/>
        <w:rPr>
          <w:rFonts w:ascii="Arial" w:eastAsia="Arial" w:hAnsi="Arial" w:cs="Arial"/>
        </w:rPr>
      </w:pPr>
    </w:p>
    <w:p w14:paraId="3335A8CC" w14:textId="77777777" w:rsidR="00D20FB0" w:rsidRPr="00587DF1" w:rsidRDefault="00D20FB0" w:rsidP="005E0D57">
      <w:pPr>
        <w:numPr>
          <w:ilvl w:val="2"/>
          <w:numId w:val="39"/>
        </w:numPr>
        <w:pBdr>
          <w:top w:val="nil"/>
          <w:left w:val="nil"/>
          <w:bottom w:val="nil"/>
          <w:right w:val="nil"/>
          <w:between w:val="nil"/>
        </w:pBdr>
        <w:tabs>
          <w:tab w:val="left" w:pos="567"/>
        </w:tabs>
        <w:spacing w:after="0"/>
        <w:jc w:val="both"/>
        <w:rPr>
          <w:rFonts w:ascii="Arial" w:eastAsia="Arial" w:hAnsi="Arial" w:cs="Arial"/>
          <w:color w:val="000000"/>
        </w:rPr>
      </w:pPr>
      <w:r w:rsidRPr="00587DF1">
        <w:rPr>
          <w:rFonts w:ascii="Arial" w:eastAsia="Arial" w:hAnsi="Arial" w:cs="Arial"/>
          <w:b/>
          <w:color w:val="000000"/>
        </w:rPr>
        <w:t>Key roles and responsibilities</w:t>
      </w:r>
    </w:p>
    <w:p w14:paraId="2C995B9A" w14:textId="77777777" w:rsidR="00D20FB0" w:rsidRPr="00587DF1" w:rsidRDefault="00D20FB0" w:rsidP="00D20FB0">
      <w:pPr>
        <w:spacing w:after="0" w:line="240" w:lineRule="auto"/>
        <w:rPr>
          <w:rFonts w:ascii="Arial" w:eastAsia="Arial" w:hAnsi="Arial" w:cs="Arial"/>
        </w:rPr>
      </w:pPr>
    </w:p>
    <w:p w14:paraId="125BE3FC" w14:textId="47FC004A" w:rsidR="00D20FB0" w:rsidRPr="00587DF1" w:rsidRDefault="00D20FB0" w:rsidP="00D20FB0">
      <w:pPr>
        <w:spacing w:after="0" w:line="240" w:lineRule="auto"/>
        <w:rPr>
          <w:rFonts w:ascii="Arial" w:eastAsia="Arial" w:hAnsi="Arial" w:cs="Arial"/>
        </w:rPr>
      </w:pPr>
      <w:r w:rsidRPr="00587DF1">
        <w:rPr>
          <w:rFonts w:ascii="Arial" w:eastAsia="Arial" w:hAnsi="Arial" w:cs="Arial"/>
        </w:rPr>
        <w:t xml:space="preserve">The key project roles are set out in </w:t>
      </w:r>
      <w:r w:rsidRPr="00587DF1">
        <w:rPr>
          <w:rFonts w:ascii="Arial" w:eastAsia="Arial" w:hAnsi="Arial" w:cs="Arial"/>
        </w:rPr>
        <w:fldChar w:fldCharType="begin"/>
      </w:r>
      <w:r w:rsidRPr="00587DF1">
        <w:rPr>
          <w:rFonts w:ascii="Arial" w:eastAsia="Arial" w:hAnsi="Arial" w:cs="Arial"/>
        </w:rPr>
        <w:instrText xml:space="preserve"> REF _Ref26646693 \h  \* MERGEFORMAT </w:instrText>
      </w:r>
      <w:r w:rsidRPr="00587DF1">
        <w:rPr>
          <w:rFonts w:ascii="Arial" w:eastAsia="Arial" w:hAnsi="Arial" w:cs="Arial"/>
        </w:rPr>
      </w:r>
      <w:r w:rsidRPr="00587DF1">
        <w:rPr>
          <w:rFonts w:ascii="Arial" w:eastAsia="Arial" w:hAnsi="Arial" w:cs="Arial"/>
        </w:rPr>
        <w:fldChar w:fldCharType="separate"/>
      </w:r>
      <w:r w:rsidR="00A936CD" w:rsidRPr="00A936CD">
        <w:rPr>
          <w:rFonts w:ascii="Arial" w:eastAsia="Arial" w:hAnsi="Arial" w:cs="Arial"/>
        </w:rPr>
        <w:t>Table 41</w:t>
      </w:r>
      <w:r w:rsidRPr="00587DF1">
        <w:rPr>
          <w:rFonts w:ascii="Arial" w:eastAsia="Arial" w:hAnsi="Arial" w:cs="Arial"/>
        </w:rPr>
        <w:fldChar w:fldCharType="end"/>
      </w:r>
      <w:r w:rsidRPr="00587DF1">
        <w:rPr>
          <w:rFonts w:ascii="Arial" w:eastAsia="Arial" w:hAnsi="Arial" w:cs="Arial"/>
        </w:rPr>
        <w:t xml:space="preserve"> below.</w:t>
      </w:r>
    </w:p>
    <w:p w14:paraId="6A46077F" w14:textId="77777777" w:rsidR="00D20FB0" w:rsidRPr="00587DF1" w:rsidRDefault="00D20FB0" w:rsidP="00D20FB0">
      <w:pPr>
        <w:spacing w:after="0" w:line="240" w:lineRule="auto"/>
        <w:rPr>
          <w:rFonts w:ascii="Arial" w:eastAsia="Arial" w:hAnsi="Arial" w:cs="Arial"/>
        </w:rPr>
      </w:pPr>
    </w:p>
    <w:p w14:paraId="1B9A81E2" w14:textId="4FDBD36D" w:rsidR="00D20FB0" w:rsidRPr="00587DF1" w:rsidRDefault="00D20FB0" w:rsidP="00D20FB0">
      <w:pPr>
        <w:pStyle w:val="Caption"/>
        <w:spacing w:before="0"/>
      </w:pPr>
      <w:bookmarkStart w:id="489" w:name="_Ref26646693"/>
      <w:r w:rsidRPr="00587DF1">
        <w:t xml:space="preserve">Table </w:t>
      </w:r>
      <w:r w:rsidRPr="00587DF1">
        <w:fldChar w:fldCharType="begin"/>
      </w:r>
      <w:r w:rsidRPr="00587DF1">
        <w:instrText xml:space="preserve"> SEQ Table \* ARABIC </w:instrText>
      </w:r>
      <w:r w:rsidRPr="00587DF1">
        <w:fldChar w:fldCharType="separate"/>
      </w:r>
      <w:r w:rsidR="00A936CD">
        <w:rPr>
          <w:noProof/>
        </w:rPr>
        <w:t>41</w:t>
      </w:r>
      <w:r w:rsidRPr="00587DF1">
        <w:fldChar w:fldCharType="end"/>
      </w:r>
      <w:bookmarkEnd w:id="489"/>
      <w:r w:rsidRPr="00587DF1">
        <w:t xml:space="preserve">: </w:t>
      </w:r>
      <w:r w:rsidRPr="00587DF1">
        <w:rPr>
          <w:b w:val="0"/>
          <w:bCs w:val="0"/>
        </w:rPr>
        <w:t>Key project roles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654"/>
      </w:tblGrid>
      <w:tr w:rsidR="0025490F" w:rsidRPr="0025490F" w14:paraId="278E150E" w14:textId="77777777" w:rsidTr="0025490F">
        <w:tc>
          <w:tcPr>
            <w:tcW w:w="2093" w:type="dxa"/>
            <w:shd w:val="clear" w:color="auto" w:fill="4F81BD"/>
          </w:tcPr>
          <w:p w14:paraId="1175806A" w14:textId="77777777" w:rsidR="00D20FB0" w:rsidRPr="0025490F" w:rsidRDefault="00D20FB0" w:rsidP="009537BA">
            <w:pPr>
              <w:spacing w:after="0"/>
              <w:rPr>
                <w:rFonts w:ascii="Arial" w:eastAsia="Arial" w:hAnsi="Arial" w:cs="Arial"/>
                <w:b/>
                <w:bCs/>
                <w:color w:val="FFFFFF" w:themeColor="background1"/>
              </w:rPr>
            </w:pPr>
            <w:bookmarkStart w:id="490" w:name="_Hlk27146881"/>
            <w:r w:rsidRPr="0025490F">
              <w:rPr>
                <w:rFonts w:ascii="Arial" w:eastAsia="Arial" w:hAnsi="Arial" w:cs="Arial"/>
                <w:b/>
                <w:bCs/>
                <w:color w:val="FFFFFF" w:themeColor="background1"/>
              </w:rPr>
              <w:t>Key role</w:t>
            </w:r>
          </w:p>
        </w:tc>
        <w:tc>
          <w:tcPr>
            <w:tcW w:w="7654" w:type="dxa"/>
            <w:shd w:val="clear" w:color="auto" w:fill="4F81BD"/>
          </w:tcPr>
          <w:p w14:paraId="63CC16A8" w14:textId="77777777" w:rsidR="00D20FB0" w:rsidRPr="0025490F" w:rsidRDefault="00D20FB0" w:rsidP="009537BA">
            <w:pPr>
              <w:spacing w:after="0"/>
              <w:rPr>
                <w:rFonts w:ascii="Arial" w:eastAsia="Arial" w:hAnsi="Arial" w:cs="Arial"/>
                <w:b/>
                <w:bCs/>
                <w:color w:val="FFFFFF" w:themeColor="background1"/>
              </w:rPr>
            </w:pPr>
            <w:r w:rsidRPr="0025490F">
              <w:rPr>
                <w:rFonts w:ascii="Arial" w:eastAsia="Arial" w:hAnsi="Arial" w:cs="Arial"/>
                <w:b/>
                <w:bCs/>
                <w:color w:val="FFFFFF" w:themeColor="background1"/>
              </w:rPr>
              <w:t>Responsibilities</w:t>
            </w:r>
          </w:p>
        </w:tc>
      </w:tr>
      <w:tr w:rsidR="00D20FB0" w:rsidRPr="00587DF1" w14:paraId="591CD28E" w14:textId="77777777" w:rsidTr="009537BA">
        <w:tc>
          <w:tcPr>
            <w:tcW w:w="2093" w:type="dxa"/>
          </w:tcPr>
          <w:p w14:paraId="10CA94C1" w14:textId="77777777" w:rsidR="00D20FB0" w:rsidRPr="00587DF1" w:rsidRDefault="00D20FB0" w:rsidP="009537BA">
            <w:pPr>
              <w:spacing w:after="0"/>
              <w:rPr>
                <w:rFonts w:ascii="Arial" w:eastAsia="Arial" w:hAnsi="Arial" w:cs="Arial"/>
              </w:rPr>
            </w:pPr>
            <w:r w:rsidRPr="00587DF1">
              <w:rPr>
                <w:rFonts w:ascii="Arial" w:eastAsia="Arial" w:hAnsi="Arial" w:cs="Arial"/>
              </w:rPr>
              <w:t>SRO (Senior Responsible Officer)</w:t>
            </w:r>
          </w:p>
        </w:tc>
        <w:tc>
          <w:tcPr>
            <w:tcW w:w="7654" w:type="dxa"/>
          </w:tcPr>
          <w:p w14:paraId="46B95B59" w14:textId="77777777" w:rsidR="00D20FB0" w:rsidRPr="00587DF1" w:rsidRDefault="00D20FB0" w:rsidP="009537BA">
            <w:pPr>
              <w:spacing w:after="0"/>
              <w:rPr>
                <w:rFonts w:ascii="Arial" w:eastAsia="Arial" w:hAnsi="Arial" w:cs="Arial"/>
              </w:rPr>
            </w:pPr>
            <w:r w:rsidRPr="00587DF1">
              <w:rPr>
                <w:rFonts w:ascii="Arial" w:eastAsia="Arial" w:hAnsi="Arial" w:cs="Arial"/>
              </w:rPr>
              <w:t>Each organisation has an SRO who is responsible for:</w:t>
            </w:r>
          </w:p>
          <w:p w14:paraId="4FF237C1" w14:textId="77777777" w:rsidR="00D20FB0" w:rsidRPr="00587DF1" w:rsidRDefault="00D20FB0" w:rsidP="005E0D57">
            <w:pPr>
              <w:pStyle w:val="ListParagraph"/>
              <w:numPr>
                <w:ilvl w:val="0"/>
                <w:numId w:val="8"/>
              </w:numPr>
              <w:spacing w:after="0"/>
              <w:rPr>
                <w:rFonts w:ascii="Arial" w:eastAsia="Arial" w:hAnsi="Arial" w:cs="Arial"/>
              </w:rPr>
            </w:pPr>
            <w:r w:rsidRPr="00587DF1">
              <w:rPr>
                <w:rFonts w:ascii="Arial" w:eastAsia="Arial" w:hAnsi="Arial" w:cs="Arial"/>
              </w:rPr>
              <w:t>Ensuring the governance requirements of their organisation are met.</w:t>
            </w:r>
          </w:p>
          <w:p w14:paraId="1A51B976" w14:textId="77777777" w:rsidR="00D20FB0" w:rsidRPr="00587DF1" w:rsidRDefault="00D20FB0" w:rsidP="005E0D57">
            <w:pPr>
              <w:pStyle w:val="ListParagraph"/>
              <w:numPr>
                <w:ilvl w:val="0"/>
                <w:numId w:val="8"/>
              </w:numPr>
              <w:spacing w:after="0"/>
              <w:rPr>
                <w:rFonts w:ascii="Arial" w:eastAsia="Arial" w:hAnsi="Arial" w:cs="Arial"/>
              </w:rPr>
            </w:pPr>
            <w:r w:rsidRPr="00587DF1">
              <w:rPr>
                <w:rFonts w:ascii="Arial" w:eastAsia="Arial" w:hAnsi="Arial" w:cs="Arial"/>
              </w:rPr>
              <w:t>Owning the shared vision for the project and the supporting business case.</w:t>
            </w:r>
          </w:p>
          <w:p w14:paraId="4C44AF3F" w14:textId="77777777" w:rsidR="00D20FB0" w:rsidRPr="00587DF1" w:rsidRDefault="00D20FB0" w:rsidP="005E0D57">
            <w:pPr>
              <w:pStyle w:val="ListParagraph"/>
              <w:numPr>
                <w:ilvl w:val="0"/>
                <w:numId w:val="8"/>
              </w:numPr>
              <w:spacing w:after="0"/>
              <w:rPr>
                <w:rFonts w:ascii="Arial" w:eastAsia="Arial" w:hAnsi="Arial" w:cs="Arial"/>
              </w:rPr>
            </w:pPr>
            <w:r w:rsidRPr="00587DF1">
              <w:rPr>
                <w:rFonts w:ascii="Arial" w:eastAsia="Arial" w:hAnsi="Arial" w:cs="Arial"/>
              </w:rPr>
              <w:t>Providing clear leadership and direction throughout the life of the project.</w:t>
            </w:r>
          </w:p>
          <w:p w14:paraId="0203D364" w14:textId="77777777" w:rsidR="00D20FB0" w:rsidRPr="00587DF1" w:rsidRDefault="00D20FB0" w:rsidP="005E0D57">
            <w:pPr>
              <w:pStyle w:val="ListParagraph"/>
              <w:numPr>
                <w:ilvl w:val="0"/>
                <w:numId w:val="8"/>
              </w:numPr>
              <w:spacing w:after="0"/>
              <w:rPr>
                <w:rFonts w:ascii="Arial" w:eastAsia="Arial" w:hAnsi="Arial" w:cs="Arial"/>
              </w:rPr>
            </w:pPr>
            <w:r w:rsidRPr="00587DF1">
              <w:rPr>
                <w:rFonts w:ascii="Arial" w:eastAsia="Arial" w:hAnsi="Arial" w:cs="Arial"/>
              </w:rPr>
              <w:t>Maintaining accountability for the outcome of the project and realisation of benefits.</w:t>
            </w:r>
          </w:p>
          <w:p w14:paraId="67D14C16" w14:textId="77777777" w:rsidR="00D20FB0" w:rsidRPr="00587DF1" w:rsidRDefault="00D20FB0" w:rsidP="005E0D57">
            <w:pPr>
              <w:pStyle w:val="ListParagraph"/>
              <w:numPr>
                <w:ilvl w:val="0"/>
                <w:numId w:val="8"/>
              </w:numPr>
              <w:spacing w:after="0"/>
              <w:rPr>
                <w:rFonts w:ascii="Arial" w:eastAsia="Arial" w:hAnsi="Arial" w:cs="Arial"/>
              </w:rPr>
            </w:pPr>
            <w:r w:rsidRPr="00587DF1">
              <w:rPr>
                <w:rFonts w:ascii="Arial" w:eastAsia="Arial" w:hAnsi="Arial" w:cs="Arial"/>
              </w:rPr>
              <w:t>Managing the interface with key senior stakeholders, keeping them engaged and informed.</w:t>
            </w:r>
          </w:p>
          <w:p w14:paraId="6360E100" w14:textId="77777777" w:rsidR="00D20FB0" w:rsidRPr="00587DF1" w:rsidRDefault="00D20FB0" w:rsidP="005E0D57">
            <w:pPr>
              <w:pStyle w:val="ListParagraph"/>
              <w:numPr>
                <w:ilvl w:val="0"/>
                <w:numId w:val="8"/>
              </w:numPr>
              <w:spacing w:after="0"/>
              <w:rPr>
                <w:rFonts w:ascii="Arial" w:eastAsia="Arial" w:hAnsi="Arial" w:cs="Arial"/>
              </w:rPr>
            </w:pPr>
            <w:r w:rsidRPr="00587DF1">
              <w:rPr>
                <w:rFonts w:ascii="Arial" w:eastAsia="Arial" w:hAnsi="Arial" w:cs="Arial"/>
              </w:rPr>
              <w:t>Maintaining alignment of the programme to both organisations’ strategic direction.</w:t>
            </w:r>
          </w:p>
          <w:p w14:paraId="16A4BB42" w14:textId="77777777" w:rsidR="00D20FB0" w:rsidRPr="00587DF1" w:rsidRDefault="00D20FB0" w:rsidP="005E0D57">
            <w:pPr>
              <w:pStyle w:val="ListParagraph"/>
              <w:numPr>
                <w:ilvl w:val="0"/>
                <w:numId w:val="8"/>
              </w:numPr>
              <w:spacing w:after="0"/>
              <w:rPr>
                <w:rFonts w:ascii="Arial" w:eastAsia="Arial" w:hAnsi="Arial" w:cs="Arial"/>
              </w:rPr>
            </w:pPr>
            <w:r w:rsidRPr="00587DF1">
              <w:rPr>
                <w:rFonts w:ascii="Arial" w:eastAsia="Arial" w:hAnsi="Arial" w:cs="Arial"/>
              </w:rPr>
              <w:t>Ensuring that the project remains affordable and represents value for money.</w:t>
            </w:r>
          </w:p>
          <w:p w14:paraId="48B088ED" w14:textId="77777777" w:rsidR="00D20FB0" w:rsidRPr="00587DF1" w:rsidRDefault="00D20FB0" w:rsidP="005E0D57">
            <w:pPr>
              <w:pStyle w:val="ListParagraph"/>
              <w:numPr>
                <w:ilvl w:val="0"/>
                <w:numId w:val="8"/>
              </w:numPr>
              <w:spacing w:after="0"/>
              <w:rPr>
                <w:rFonts w:ascii="Arial" w:eastAsia="Arial" w:hAnsi="Arial" w:cs="Arial"/>
              </w:rPr>
            </w:pPr>
            <w:r w:rsidRPr="00587DF1">
              <w:rPr>
                <w:rFonts w:ascii="Arial" w:eastAsia="Arial" w:hAnsi="Arial" w:cs="Arial"/>
              </w:rPr>
              <w:t>Liaison with external approving bodies (NHSE/I, DHSC and Treasury) to confirm and facilitate the approvals process (Moorfields SRO only).</w:t>
            </w:r>
          </w:p>
          <w:p w14:paraId="3781BD8C" w14:textId="77777777" w:rsidR="00D20FB0" w:rsidRPr="00587DF1" w:rsidRDefault="00D20FB0" w:rsidP="009537BA">
            <w:pPr>
              <w:spacing w:after="0"/>
              <w:rPr>
                <w:rFonts w:ascii="Arial" w:eastAsia="Arial" w:hAnsi="Arial" w:cs="Arial"/>
              </w:rPr>
            </w:pPr>
          </w:p>
          <w:p w14:paraId="07516859" w14:textId="77777777" w:rsidR="00D20FB0" w:rsidRPr="00587DF1" w:rsidRDefault="00D20FB0" w:rsidP="009537BA">
            <w:pPr>
              <w:spacing w:after="0"/>
              <w:rPr>
                <w:rFonts w:ascii="Arial" w:eastAsia="Arial" w:hAnsi="Arial" w:cs="Arial"/>
              </w:rPr>
            </w:pPr>
            <w:r w:rsidRPr="00587DF1">
              <w:rPr>
                <w:rFonts w:ascii="Arial" w:eastAsia="Arial" w:hAnsi="Arial" w:cs="Arial"/>
              </w:rPr>
              <w:lastRenderedPageBreak/>
              <w:t>The SRO for Moorfields is the Director of Strategy and Business Development, and for UCL is the IoO Director.</w:t>
            </w:r>
          </w:p>
        </w:tc>
      </w:tr>
      <w:tr w:rsidR="00D20FB0" w:rsidRPr="00587DF1" w14:paraId="4EAFD01C" w14:textId="77777777" w:rsidTr="009537BA">
        <w:tc>
          <w:tcPr>
            <w:tcW w:w="2093" w:type="dxa"/>
          </w:tcPr>
          <w:p w14:paraId="41C68294" w14:textId="77777777" w:rsidR="00D20FB0" w:rsidRPr="00587DF1" w:rsidRDefault="00D20FB0" w:rsidP="009537BA">
            <w:pPr>
              <w:spacing w:after="0"/>
              <w:rPr>
                <w:rFonts w:ascii="Arial" w:eastAsia="Arial" w:hAnsi="Arial" w:cs="Arial"/>
              </w:rPr>
            </w:pPr>
            <w:r w:rsidRPr="00587DF1">
              <w:rPr>
                <w:rFonts w:ascii="Arial" w:eastAsia="Arial" w:hAnsi="Arial" w:cs="Arial"/>
              </w:rPr>
              <w:lastRenderedPageBreak/>
              <w:t>Executive leads</w:t>
            </w:r>
          </w:p>
        </w:tc>
        <w:tc>
          <w:tcPr>
            <w:tcW w:w="7654" w:type="dxa"/>
          </w:tcPr>
          <w:p w14:paraId="778C3E4E" w14:textId="77777777" w:rsidR="00D20FB0" w:rsidRPr="00587DF1" w:rsidRDefault="00D20FB0" w:rsidP="009537BA">
            <w:pPr>
              <w:spacing w:after="0"/>
              <w:rPr>
                <w:rFonts w:ascii="Arial" w:eastAsia="Arial" w:hAnsi="Arial" w:cs="Arial"/>
              </w:rPr>
            </w:pPr>
            <w:r w:rsidRPr="00587DF1">
              <w:rPr>
                <w:rFonts w:ascii="Arial" w:eastAsia="Arial" w:hAnsi="Arial" w:cs="Arial"/>
              </w:rPr>
              <w:t>Each workstream has an executive lead from each of the relevant partner organisations. These leads are responsible for:</w:t>
            </w:r>
          </w:p>
          <w:p w14:paraId="5A3F2EAB" w14:textId="77777777" w:rsidR="00D20FB0" w:rsidRPr="00587DF1" w:rsidRDefault="00D20FB0" w:rsidP="005E0D57">
            <w:pPr>
              <w:pStyle w:val="ListParagraph"/>
              <w:numPr>
                <w:ilvl w:val="0"/>
                <w:numId w:val="77"/>
              </w:numPr>
              <w:spacing w:after="0"/>
              <w:rPr>
                <w:rFonts w:ascii="Arial" w:eastAsia="Arial" w:hAnsi="Arial" w:cs="Arial"/>
              </w:rPr>
            </w:pPr>
            <w:r w:rsidRPr="00587DF1">
              <w:rPr>
                <w:rFonts w:ascii="Arial" w:eastAsia="Arial" w:hAnsi="Arial" w:cs="Arial"/>
              </w:rPr>
              <w:t>Agreeing the key deliverables and parameters of the workstream with the Oriel Executive Board and SROs.</w:t>
            </w:r>
          </w:p>
          <w:p w14:paraId="44EE4B89" w14:textId="77777777" w:rsidR="00D20FB0" w:rsidRPr="00587DF1" w:rsidRDefault="00D20FB0" w:rsidP="005E0D57">
            <w:pPr>
              <w:pStyle w:val="ListParagraph"/>
              <w:numPr>
                <w:ilvl w:val="0"/>
                <w:numId w:val="77"/>
              </w:numPr>
              <w:spacing w:after="0"/>
              <w:rPr>
                <w:rFonts w:ascii="Arial" w:eastAsia="Arial" w:hAnsi="Arial" w:cs="Arial"/>
              </w:rPr>
            </w:pPr>
            <w:r w:rsidRPr="00587DF1">
              <w:rPr>
                <w:rFonts w:ascii="Arial" w:eastAsia="Arial" w:hAnsi="Arial" w:cs="Arial"/>
              </w:rPr>
              <w:t>Overseeing the workstream’s delivery of outputs.</w:t>
            </w:r>
          </w:p>
          <w:p w14:paraId="04D49273" w14:textId="77777777" w:rsidR="00D20FB0" w:rsidRPr="00587DF1" w:rsidRDefault="00D20FB0" w:rsidP="005E0D57">
            <w:pPr>
              <w:pStyle w:val="ListParagraph"/>
              <w:numPr>
                <w:ilvl w:val="0"/>
                <w:numId w:val="77"/>
              </w:numPr>
              <w:spacing w:after="0"/>
              <w:rPr>
                <w:rFonts w:ascii="Arial" w:eastAsia="Arial" w:hAnsi="Arial" w:cs="Arial"/>
              </w:rPr>
            </w:pPr>
            <w:r w:rsidRPr="00587DF1">
              <w:rPr>
                <w:rFonts w:ascii="Arial" w:eastAsia="Arial" w:hAnsi="Arial" w:cs="Arial"/>
              </w:rPr>
              <w:t>Ensuring the workstreams are appropriately resourced.</w:t>
            </w:r>
          </w:p>
          <w:p w14:paraId="6A030AC9" w14:textId="77777777" w:rsidR="00D20FB0" w:rsidRPr="00587DF1" w:rsidRDefault="00D20FB0" w:rsidP="005E0D57">
            <w:pPr>
              <w:pStyle w:val="ListParagraph"/>
              <w:numPr>
                <w:ilvl w:val="0"/>
                <w:numId w:val="77"/>
              </w:numPr>
              <w:spacing w:after="0"/>
              <w:rPr>
                <w:rFonts w:ascii="Arial" w:eastAsia="Arial" w:hAnsi="Arial" w:cs="Arial"/>
              </w:rPr>
            </w:pPr>
            <w:r w:rsidRPr="00587DF1">
              <w:rPr>
                <w:rFonts w:ascii="Arial" w:eastAsia="Arial" w:hAnsi="Arial" w:cs="Arial"/>
              </w:rPr>
              <w:t>Escalating risks and issues to the Oriel Executive Board and individual partner governance structures as appropriate.</w:t>
            </w:r>
          </w:p>
          <w:p w14:paraId="11C1A607" w14:textId="77777777" w:rsidR="00D20FB0" w:rsidRPr="00587DF1" w:rsidRDefault="00D20FB0" w:rsidP="005E0D57">
            <w:pPr>
              <w:pStyle w:val="ListParagraph"/>
              <w:numPr>
                <w:ilvl w:val="0"/>
                <w:numId w:val="77"/>
              </w:numPr>
              <w:spacing w:after="0"/>
              <w:rPr>
                <w:rFonts w:ascii="Arial" w:eastAsia="Arial" w:hAnsi="Arial" w:cs="Arial"/>
              </w:rPr>
            </w:pPr>
            <w:r w:rsidRPr="00587DF1">
              <w:rPr>
                <w:rFonts w:ascii="Arial" w:eastAsia="Arial" w:hAnsi="Arial" w:cs="Arial"/>
              </w:rPr>
              <w:t>Ensuring that the workstream outputs align with individual partner organisations’ requirements.</w:t>
            </w:r>
          </w:p>
          <w:p w14:paraId="4D0B0853" w14:textId="77777777" w:rsidR="00D20FB0" w:rsidRPr="00587DF1" w:rsidRDefault="00D20FB0" w:rsidP="009537BA">
            <w:pPr>
              <w:spacing w:after="0"/>
              <w:rPr>
                <w:rFonts w:ascii="Arial" w:eastAsia="Arial" w:hAnsi="Arial" w:cs="Arial"/>
              </w:rPr>
            </w:pPr>
          </w:p>
          <w:p w14:paraId="3B4B3151" w14:textId="49945CE0" w:rsidR="00D20FB0" w:rsidRPr="00587DF1" w:rsidRDefault="00D20FB0" w:rsidP="009537BA">
            <w:pPr>
              <w:spacing w:after="0"/>
              <w:rPr>
                <w:rFonts w:ascii="Arial" w:eastAsia="Arial" w:hAnsi="Arial" w:cs="Arial"/>
              </w:rPr>
            </w:pPr>
            <w:r w:rsidRPr="00587DF1">
              <w:rPr>
                <w:rFonts w:ascii="Arial" w:eastAsia="Arial" w:hAnsi="Arial" w:cs="Arial"/>
              </w:rPr>
              <w:t xml:space="preserve">The workstream leads are accountable to the Oriel Executive Board. The executive lead for each workstream is set out in </w:t>
            </w:r>
            <w:r w:rsidRPr="00CC57B7">
              <w:rPr>
                <w:rFonts w:ascii="Arial" w:eastAsia="Arial" w:hAnsi="Arial" w:cs="Arial"/>
              </w:rPr>
              <w:t xml:space="preserve">Appendix </w:t>
            </w:r>
            <w:r w:rsidR="00CC57B7">
              <w:rPr>
                <w:rFonts w:ascii="Arial" w:eastAsia="Arial" w:hAnsi="Arial" w:cs="Arial"/>
              </w:rPr>
              <w:t>8D</w:t>
            </w:r>
            <w:r w:rsidRPr="00587DF1">
              <w:rPr>
                <w:rFonts w:ascii="Arial" w:eastAsia="Arial" w:hAnsi="Arial" w:cs="Arial"/>
              </w:rPr>
              <w:t>.</w:t>
            </w:r>
          </w:p>
        </w:tc>
      </w:tr>
      <w:tr w:rsidR="00D20FB0" w:rsidRPr="00587DF1" w14:paraId="02509EDD" w14:textId="77777777" w:rsidTr="009537BA">
        <w:tc>
          <w:tcPr>
            <w:tcW w:w="2093" w:type="dxa"/>
          </w:tcPr>
          <w:p w14:paraId="49CF9A4A" w14:textId="77777777" w:rsidR="00D20FB0" w:rsidRPr="00587DF1" w:rsidRDefault="00D20FB0" w:rsidP="009537BA">
            <w:pPr>
              <w:spacing w:after="0"/>
              <w:rPr>
                <w:rFonts w:ascii="Arial" w:eastAsia="Arial" w:hAnsi="Arial" w:cs="Arial"/>
              </w:rPr>
            </w:pPr>
            <w:r w:rsidRPr="00587DF1">
              <w:rPr>
                <w:rFonts w:ascii="Arial" w:eastAsia="Arial" w:hAnsi="Arial" w:cs="Arial"/>
              </w:rPr>
              <w:t>Workstream leads</w:t>
            </w:r>
          </w:p>
        </w:tc>
        <w:tc>
          <w:tcPr>
            <w:tcW w:w="7654" w:type="dxa"/>
          </w:tcPr>
          <w:p w14:paraId="3C5ED3BD" w14:textId="77777777" w:rsidR="00D20FB0" w:rsidRPr="00587DF1" w:rsidRDefault="00D20FB0" w:rsidP="009537BA">
            <w:pPr>
              <w:spacing w:after="0"/>
              <w:rPr>
                <w:rFonts w:ascii="Arial" w:eastAsia="Arial" w:hAnsi="Arial" w:cs="Arial"/>
              </w:rPr>
            </w:pPr>
            <w:r w:rsidRPr="00587DF1">
              <w:rPr>
                <w:rFonts w:ascii="Arial" w:eastAsia="Arial" w:hAnsi="Arial" w:cs="Arial"/>
              </w:rPr>
              <w:t>Workstream leads report to their</w:t>
            </w:r>
            <w:r w:rsidR="002E6FC3" w:rsidRPr="00587DF1">
              <w:rPr>
                <w:rFonts w:ascii="Arial" w:eastAsia="Arial" w:hAnsi="Arial" w:cs="Arial"/>
              </w:rPr>
              <w:t xml:space="preserve"> respective</w:t>
            </w:r>
            <w:r w:rsidRPr="00587DF1">
              <w:rPr>
                <w:rFonts w:ascii="Arial" w:eastAsia="Arial" w:hAnsi="Arial" w:cs="Arial"/>
              </w:rPr>
              <w:t xml:space="preserve"> executive leads. Each workstream lead is jointly appointed by the relevant partner organisations. They are responsible for:</w:t>
            </w:r>
          </w:p>
          <w:p w14:paraId="1CEDBEBF" w14:textId="77777777" w:rsidR="00D20FB0" w:rsidRPr="00587DF1" w:rsidRDefault="00D20FB0" w:rsidP="005E0D57">
            <w:pPr>
              <w:pStyle w:val="ListParagraph"/>
              <w:numPr>
                <w:ilvl w:val="0"/>
                <w:numId w:val="78"/>
              </w:numPr>
              <w:spacing w:after="0"/>
              <w:rPr>
                <w:rFonts w:ascii="Arial" w:eastAsia="Arial" w:hAnsi="Arial" w:cs="Arial"/>
              </w:rPr>
            </w:pPr>
            <w:r w:rsidRPr="00587DF1">
              <w:rPr>
                <w:rFonts w:ascii="Arial" w:eastAsia="Arial" w:hAnsi="Arial" w:cs="Arial"/>
              </w:rPr>
              <w:t>Delivery of workstream outputs in line with programme and budget parameters.</w:t>
            </w:r>
          </w:p>
          <w:p w14:paraId="67BB6AFE" w14:textId="77777777" w:rsidR="00D20FB0" w:rsidRPr="00587DF1" w:rsidRDefault="00D20FB0" w:rsidP="005E0D57">
            <w:pPr>
              <w:pStyle w:val="ListParagraph"/>
              <w:numPr>
                <w:ilvl w:val="0"/>
                <w:numId w:val="78"/>
              </w:numPr>
              <w:spacing w:after="0"/>
              <w:rPr>
                <w:rFonts w:ascii="Arial" w:eastAsia="Arial" w:hAnsi="Arial" w:cs="Arial"/>
              </w:rPr>
            </w:pPr>
            <w:r w:rsidRPr="00587DF1">
              <w:rPr>
                <w:rFonts w:ascii="Arial" w:eastAsia="Arial" w:hAnsi="Arial" w:cs="Arial"/>
              </w:rPr>
              <w:t>Reporting progress to executive leads and the Oriel Executive Board.</w:t>
            </w:r>
          </w:p>
          <w:p w14:paraId="1C0488AA" w14:textId="77777777" w:rsidR="00D20FB0" w:rsidRPr="00587DF1" w:rsidRDefault="00D20FB0" w:rsidP="005E0D57">
            <w:pPr>
              <w:pStyle w:val="ListParagraph"/>
              <w:numPr>
                <w:ilvl w:val="0"/>
                <w:numId w:val="78"/>
              </w:numPr>
              <w:spacing w:after="0"/>
              <w:rPr>
                <w:rFonts w:ascii="Arial" w:eastAsia="Arial" w:hAnsi="Arial" w:cs="Arial"/>
              </w:rPr>
            </w:pPr>
            <w:r w:rsidRPr="00587DF1">
              <w:rPr>
                <w:rFonts w:ascii="Arial" w:eastAsia="Arial" w:hAnsi="Arial" w:cs="Arial"/>
              </w:rPr>
              <w:t>Appointing and managing external advisors.</w:t>
            </w:r>
          </w:p>
          <w:p w14:paraId="74FB94EE" w14:textId="77777777" w:rsidR="00D20FB0" w:rsidRPr="00587DF1" w:rsidRDefault="00D20FB0" w:rsidP="005E0D57">
            <w:pPr>
              <w:pStyle w:val="ListParagraph"/>
              <w:numPr>
                <w:ilvl w:val="0"/>
                <w:numId w:val="78"/>
              </w:numPr>
              <w:spacing w:after="0"/>
              <w:rPr>
                <w:rFonts w:ascii="Arial" w:eastAsia="Arial" w:hAnsi="Arial" w:cs="Arial"/>
              </w:rPr>
            </w:pPr>
            <w:r w:rsidRPr="00587DF1">
              <w:rPr>
                <w:rFonts w:ascii="Arial" w:eastAsia="Arial" w:hAnsi="Arial" w:cs="Arial"/>
              </w:rPr>
              <w:t>Working with other workstreams where interdependencies arise. Oversight of interdependencies is maintained by the PMO.</w:t>
            </w:r>
          </w:p>
          <w:p w14:paraId="728D70FC" w14:textId="77777777" w:rsidR="00D20FB0" w:rsidRPr="00587DF1" w:rsidRDefault="00D20FB0" w:rsidP="005E0D57">
            <w:pPr>
              <w:pStyle w:val="ListParagraph"/>
              <w:numPr>
                <w:ilvl w:val="0"/>
                <w:numId w:val="78"/>
              </w:numPr>
              <w:spacing w:after="0"/>
              <w:rPr>
                <w:rFonts w:ascii="Arial" w:eastAsia="Arial" w:hAnsi="Arial" w:cs="Arial"/>
              </w:rPr>
            </w:pPr>
            <w:r w:rsidRPr="00587DF1">
              <w:rPr>
                <w:rFonts w:ascii="Arial" w:eastAsia="Arial" w:hAnsi="Arial" w:cs="Arial"/>
              </w:rPr>
              <w:t>Working collaboratively with business-as-usual colleagues</w:t>
            </w:r>
            <w:r w:rsidR="003E697D" w:rsidRPr="00587DF1">
              <w:rPr>
                <w:rFonts w:ascii="Arial" w:eastAsia="Arial" w:hAnsi="Arial" w:cs="Arial"/>
              </w:rPr>
              <w:t xml:space="preserve"> where required</w:t>
            </w:r>
            <w:r w:rsidRPr="00587DF1">
              <w:rPr>
                <w:rFonts w:ascii="Arial" w:eastAsia="Arial" w:hAnsi="Arial" w:cs="Arial"/>
              </w:rPr>
              <w:t>.</w:t>
            </w:r>
          </w:p>
          <w:p w14:paraId="37345D92" w14:textId="77777777" w:rsidR="00D20FB0" w:rsidRPr="00587DF1" w:rsidRDefault="00D20FB0" w:rsidP="009537BA">
            <w:pPr>
              <w:spacing w:after="0"/>
              <w:rPr>
                <w:rFonts w:ascii="Arial" w:eastAsia="Arial" w:hAnsi="Arial" w:cs="Arial"/>
              </w:rPr>
            </w:pPr>
          </w:p>
          <w:p w14:paraId="6EF684C6" w14:textId="7255B25D" w:rsidR="00D20FB0" w:rsidRPr="00587DF1" w:rsidRDefault="00D20FB0" w:rsidP="009537BA">
            <w:pPr>
              <w:spacing w:after="0"/>
              <w:rPr>
                <w:rFonts w:ascii="Arial" w:eastAsia="Arial" w:hAnsi="Arial" w:cs="Arial"/>
              </w:rPr>
            </w:pPr>
            <w:r w:rsidRPr="00587DF1">
              <w:rPr>
                <w:rFonts w:ascii="Arial" w:eastAsia="Arial" w:hAnsi="Arial" w:cs="Arial"/>
              </w:rPr>
              <w:t xml:space="preserve">The responsibilities of each workstream are described in Appendix </w:t>
            </w:r>
            <w:r w:rsidR="00CC57B7">
              <w:rPr>
                <w:rFonts w:ascii="Arial" w:eastAsia="Arial" w:hAnsi="Arial" w:cs="Arial"/>
              </w:rPr>
              <w:t>8D</w:t>
            </w:r>
            <w:r w:rsidRPr="00587DF1">
              <w:rPr>
                <w:rFonts w:ascii="Arial" w:eastAsia="Arial" w:hAnsi="Arial" w:cs="Arial"/>
              </w:rPr>
              <w:t>.</w:t>
            </w:r>
          </w:p>
        </w:tc>
      </w:tr>
      <w:tr w:rsidR="00D20FB0" w:rsidRPr="00587DF1" w14:paraId="175C839B" w14:textId="77777777" w:rsidTr="009537BA">
        <w:tc>
          <w:tcPr>
            <w:tcW w:w="2093" w:type="dxa"/>
          </w:tcPr>
          <w:p w14:paraId="69EB2C5F" w14:textId="77777777" w:rsidR="00D20FB0" w:rsidRPr="00587DF1" w:rsidRDefault="00D20FB0" w:rsidP="009537BA">
            <w:pPr>
              <w:spacing w:after="0"/>
              <w:rPr>
                <w:rFonts w:ascii="Arial" w:eastAsia="Arial" w:hAnsi="Arial" w:cs="Arial"/>
              </w:rPr>
            </w:pPr>
            <w:r w:rsidRPr="00587DF1">
              <w:rPr>
                <w:rFonts w:ascii="Arial" w:eastAsia="Arial" w:hAnsi="Arial" w:cs="Arial"/>
              </w:rPr>
              <w:t>PMO</w:t>
            </w:r>
          </w:p>
        </w:tc>
        <w:tc>
          <w:tcPr>
            <w:tcW w:w="7654" w:type="dxa"/>
          </w:tcPr>
          <w:p w14:paraId="7E12192B" w14:textId="77777777" w:rsidR="00D20FB0" w:rsidRPr="00587DF1" w:rsidRDefault="00D20FB0" w:rsidP="009537BA">
            <w:pPr>
              <w:spacing w:after="0"/>
              <w:rPr>
                <w:rFonts w:ascii="Arial" w:eastAsia="Arial" w:hAnsi="Arial" w:cs="Arial"/>
              </w:rPr>
            </w:pPr>
            <w:r w:rsidRPr="00587DF1">
              <w:rPr>
                <w:rFonts w:ascii="Arial" w:eastAsia="Arial" w:hAnsi="Arial" w:cs="Arial"/>
              </w:rPr>
              <w:t>The PMO maintains the governance and project control processes described in this chapter, ensuring that reporting arrangements are maintained effectively. They co-ordinate the workstreams to ensure that deliverables are produced in line with the programme, and that risks and issues are escalated appropriately.</w:t>
            </w:r>
          </w:p>
        </w:tc>
      </w:tr>
      <w:bookmarkEnd w:id="490"/>
    </w:tbl>
    <w:p w14:paraId="533183E2" w14:textId="77777777" w:rsidR="00D20FB0" w:rsidRPr="00587DF1" w:rsidRDefault="00D20FB0" w:rsidP="00D20FB0">
      <w:pPr>
        <w:spacing w:after="0" w:line="240" w:lineRule="auto"/>
        <w:rPr>
          <w:rFonts w:ascii="Arial" w:eastAsia="Arial" w:hAnsi="Arial" w:cs="Arial"/>
        </w:rPr>
      </w:pPr>
    </w:p>
    <w:p w14:paraId="2D9D663F" w14:textId="77777777" w:rsidR="00D20FB0" w:rsidRPr="00587DF1" w:rsidRDefault="00D20FB0" w:rsidP="00D20FB0">
      <w:pPr>
        <w:spacing w:after="0"/>
        <w:rPr>
          <w:rFonts w:ascii="Arial" w:eastAsia="Arial" w:hAnsi="Arial" w:cs="Arial"/>
        </w:rPr>
      </w:pPr>
    </w:p>
    <w:p w14:paraId="0A683D02" w14:textId="094680AA" w:rsidR="00D20FB0" w:rsidRPr="00587DF1" w:rsidRDefault="00D20FB0" w:rsidP="005E0D57">
      <w:pPr>
        <w:pStyle w:val="Heading2"/>
        <w:numPr>
          <w:ilvl w:val="1"/>
          <w:numId w:val="39"/>
        </w:numPr>
        <w:rPr>
          <w:rFonts w:ascii="Arial" w:eastAsia="Arial" w:hAnsi="Arial" w:cs="Arial"/>
        </w:rPr>
      </w:pPr>
      <w:bookmarkStart w:id="491" w:name="_Toc32842781"/>
      <w:r w:rsidRPr="00587DF1">
        <w:rPr>
          <w:rFonts w:ascii="Arial" w:eastAsia="Arial" w:hAnsi="Arial" w:cs="Arial"/>
        </w:rPr>
        <w:t>Change management</w:t>
      </w:r>
      <w:bookmarkEnd w:id="491"/>
    </w:p>
    <w:p w14:paraId="5BF91917" w14:textId="77777777" w:rsidR="00D20FB0" w:rsidRPr="00587DF1" w:rsidRDefault="00D20FB0" w:rsidP="00D20FB0">
      <w:pPr>
        <w:spacing w:after="0" w:line="240" w:lineRule="auto"/>
        <w:rPr>
          <w:rFonts w:ascii="Arial" w:eastAsia="Arial" w:hAnsi="Arial" w:cs="Arial"/>
        </w:rPr>
      </w:pPr>
    </w:p>
    <w:p w14:paraId="7E447D5D" w14:textId="77777777" w:rsidR="00D20FB0" w:rsidRPr="00587DF1" w:rsidRDefault="00D20FB0" w:rsidP="00D20FB0">
      <w:pPr>
        <w:spacing w:after="0"/>
        <w:rPr>
          <w:rFonts w:ascii="Arial" w:eastAsia="Arial" w:hAnsi="Arial" w:cs="Arial"/>
          <w:b/>
          <w:bCs/>
        </w:rPr>
      </w:pPr>
      <w:r w:rsidRPr="00587DF1">
        <w:rPr>
          <w:rFonts w:ascii="Arial" w:eastAsia="Arial" w:hAnsi="Arial" w:cs="Arial"/>
          <w:b/>
          <w:bCs/>
        </w:rPr>
        <w:t>Change management framework</w:t>
      </w:r>
    </w:p>
    <w:p w14:paraId="248A5C36" w14:textId="77777777" w:rsidR="00D20FB0" w:rsidRPr="00587DF1" w:rsidRDefault="00D20FB0" w:rsidP="00D20FB0">
      <w:pPr>
        <w:spacing w:after="0"/>
        <w:rPr>
          <w:rFonts w:ascii="Arial" w:eastAsia="Arial" w:hAnsi="Arial" w:cs="Arial"/>
        </w:rPr>
      </w:pPr>
      <w:r w:rsidRPr="00587DF1">
        <w:rPr>
          <w:rFonts w:ascii="Arial" w:eastAsia="Arial" w:hAnsi="Arial" w:cs="Arial"/>
        </w:rPr>
        <w:t>Changes to a project may arise from:</w:t>
      </w:r>
    </w:p>
    <w:p w14:paraId="6B004E2B" w14:textId="77777777" w:rsidR="00D20FB0" w:rsidRPr="00587DF1" w:rsidRDefault="00D20FB0" w:rsidP="005E0D57">
      <w:pPr>
        <w:pStyle w:val="ListParagraph"/>
        <w:numPr>
          <w:ilvl w:val="0"/>
          <w:numId w:val="79"/>
        </w:numPr>
        <w:spacing w:after="0"/>
        <w:rPr>
          <w:rFonts w:ascii="Arial" w:eastAsia="Arial" w:hAnsi="Arial" w:cs="Arial"/>
        </w:rPr>
      </w:pPr>
      <w:r w:rsidRPr="00587DF1">
        <w:rPr>
          <w:rFonts w:ascii="Arial" w:eastAsia="Arial" w:hAnsi="Arial" w:cs="Arial"/>
          <w:b/>
          <w:bCs/>
        </w:rPr>
        <w:t xml:space="preserve">Project / design development: </w:t>
      </w:r>
      <w:r w:rsidRPr="00587DF1">
        <w:rPr>
          <w:rFonts w:ascii="Arial" w:eastAsia="Arial" w:hAnsi="Arial" w:cs="Arial"/>
        </w:rPr>
        <w:t>These should not impact project time, cost or quality as they are responding to the project brief, and therefore remain within key parameters.</w:t>
      </w:r>
    </w:p>
    <w:p w14:paraId="05C3BD90" w14:textId="77777777" w:rsidR="00D20FB0" w:rsidRPr="00587DF1" w:rsidRDefault="00D20FB0" w:rsidP="005E0D57">
      <w:pPr>
        <w:pStyle w:val="ListParagraph"/>
        <w:numPr>
          <w:ilvl w:val="0"/>
          <w:numId w:val="79"/>
        </w:numPr>
        <w:spacing w:after="0"/>
        <w:rPr>
          <w:rFonts w:ascii="Arial" w:eastAsia="Arial" w:hAnsi="Arial" w:cs="Arial"/>
        </w:rPr>
      </w:pPr>
      <w:r w:rsidRPr="00587DF1">
        <w:rPr>
          <w:rFonts w:ascii="Arial" w:eastAsia="Arial" w:hAnsi="Arial" w:cs="Arial"/>
          <w:b/>
          <w:bCs/>
        </w:rPr>
        <w:lastRenderedPageBreak/>
        <w:t>Changes to the brief:</w:t>
      </w:r>
      <w:r w:rsidRPr="00587DF1">
        <w:rPr>
          <w:rFonts w:ascii="Arial" w:eastAsia="Arial" w:hAnsi="Arial" w:cs="Arial"/>
        </w:rPr>
        <w:t xml:space="preserve"> Any changes of this nature are more likely to have an impact on time, cost or quality. Broadly, the later in the project these changes occur, the greater those impacts are likely to be.</w:t>
      </w:r>
    </w:p>
    <w:p w14:paraId="414BED31" w14:textId="77777777" w:rsidR="00D20FB0" w:rsidRPr="00587DF1" w:rsidRDefault="00D20FB0" w:rsidP="00D20FB0">
      <w:pPr>
        <w:spacing w:after="0"/>
        <w:rPr>
          <w:rFonts w:ascii="Arial" w:eastAsia="Arial" w:hAnsi="Arial" w:cs="Arial"/>
        </w:rPr>
      </w:pPr>
    </w:p>
    <w:p w14:paraId="18D74D44" w14:textId="77777777" w:rsidR="00D20FB0" w:rsidRPr="00587DF1" w:rsidRDefault="00D20FB0" w:rsidP="00D20FB0">
      <w:pPr>
        <w:spacing w:after="0"/>
        <w:rPr>
          <w:rFonts w:ascii="Arial" w:eastAsia="Arial" w:hAnsi="Arial" w:cs="Arial"/>
        </w:rPr>
      </w:pPr>
      <w:r w:rsidRPr="00587DF1">
        <w:rPr>
          <w:rFonts w:ascii="Arial" w:eastAsia="Arial" w:hAnsi="Arial" w:cs="Arial"/>
        </w:rPr>
        <w:t>A project change control process has been agreed. This will be updated as the project enters each new phase (for example upon main contractor appointment, during construction and post-construction).</w:t>
      </w:r>
    </w:p>
    <w:p w14:paraId="16BBE2BA" w14:textId="77777777" w:rsidR="00D20FB0" w:rsidRPr="00587DF1" w:rsidRDefault="00D20FB0" w:rsidP="00D20FB0">
      <w:pPr>
        <w:spacing w:after="0"/>
        <w:rPr>
          <w:rFonts w:ascii="Arial" w:eastAsia="Arial" w:hAnsi="Arial" w:cs="Arial"/>
        </w:rPr>
      </w:pPr>
    </w:p>
    <w:p w14:paraId="40F5B5D0" w14:textId="77777777" w:rsidR="00D20FB0" w:rsidRPr="00587DF1" w:rsidRDefault="00D20FB0" w:rsidP="00D20FB0">
      <w:pPr>
        <w:spacing w:after="0"/>
        <w:rPr>
          <w:rFonts w:ascii="Arial" w:eastAsia="Arial" w:hAnsi="Arial" w:cs="Arial"/>
        </w:rPr>
      </w:pPr>
      <w:r w:rsidRPr="00587DF1">
        <w:rPr>
          <w:rFonts w:ascii="Arial" w:eastAsia="Arial" w:hAnsi="Arial" w:cs="Arial"/>
        </w:rPr>
        <w:t>Changes arising from development of plans (designs, service models, workforce models etc.) will be managed at a workstream level. If a change is considered to be a variation to the brief, or if it is likely to have an impact on time, cost or quality, a change request can be raised by any member of the project team.</w:t>
      </w:r>
    </w:p>
    <w:p w14:paraId="2D4CC7E7" w14:textId="77777777" w:rsidR="00D20FB0" w:rsidRPr="00587DF1" w:rsidRDefault="00D20FB0" w:rsidP="00D20FB0">
      <w:pPr>
        <w:spacing w:after="0"/>
        <w:rPr>
          <w:rFonts w:ascii="Arial" w:eastAsia="Arial" w:hAnsi="Arial" w:cs="Arial"/>
        </w:rPr>
      </w:pPr>
    </w:p>
    <w:p w14:paraId="759DAC80" w14:textId="77777777" w:rsidR="00D20FB0" w:rsidRPr="00587DF1" w:rsidRDefault="00D20FB0" w:rsidP="00D20FB0">
      <w:pPr>
        <w:spacing w:after="0"/>
        <w:rPr>
          <w:rFonts w:ascii="Arial" w:eastAsia="Arial" w:hAnsi="Arial" w:cs="Arial"/>
        </w:rPr>
      </w:pPr>
      <w:r w:rsidRPr="00587DF1">
        <w:rPr>
          <w:rFonts w:ascii="Arial" w:eastAsia="Arial" w:hAnsi="Arial" w:cs="Arial"/>
        </w:rPr>
        <w:t>This will follow a change control process to verify whether the case for change has been appropriately signed off, following an assessment of its relative benefits and impact. Once approved, the change can be formally instructed by the relevant workstream lead.</w:t>
      </w:r>
    </w:p>
    <w:p w14:paraId="3CEFA48F" w14:textId="77777777" w:rsidR="00D20FB0" w:rsidRPr="00587DF1" w:rsidRDefault="00D20FB0" w:rsidP="00D20FB0">
      <w:pPr>
        <w:spacing w:after="0"/>
        <w:rPr>
          <w:rFonts w:ascii="Arial" w:eastAsia="Arial" w:hAnsi="Arial" w:cs="Arial"/>
        </w:rPr>
      </w:pPr>
    </w:p>
    <w:p w14:paraId="5088D7BE" w14:textId="77777777" w:rsidR="00D20FB0" w:rsidRPr="00587DF1" w:rsidRDefault="00D20FB0" w:rsidP="00D20FB0">
      <w:pPr>
        <w:spacing w:after="0"/>
        <w:rPr>
          <w:rFonts w:ascii="Arial" w:eastAsia="Arial" w:hAnsi="Arial" w:cs="Arial"/>
        </w:rPr>
      </w:pPr>
      <w:r w:rsidRPr="00587DF1">
        <w:rPr>
          <w:rFonts w:ascii="Arial" w:eastAsia="Arial" w:hAnsi="Arial" w:cs="Arial"/>
        </w:rPr>
        <w:t>In order to maintain a clear and auditable trail of all changes impacting the scheme design, all changes will be recorded in a change control register.</w:t>
      </w:r>
    </w:p>
    <w:p w14:paraId="2CC96D0A" w14:textId="77777777" w:rsidR="00D20FB0" w:rsidRPr="00587DF1" w:rsidRDefault="00D20FB0" w:rsidP="00D20FB0">
      <w:pPr>
        <w:spacing w:after="0" w:line="240" w:lineRule="auto"/>
        <w:rPr>
          <w:rFonts w:ascii="Arial" w:eastAsia="Arial" w:hAnsi="Arial" w:cs="Arial"/>
          <w:b/>
          <w:bCs/>
        </w:rPr>
      </w:pPr>
    </w:p>
    <w:p w14:paraId="4668EA61" w14:textId="77777777" w:rsidR="00D20FB0" w:rsidRPr="00587DF1" w:rsidRDefault="00D20FB0" w:rsidP="00D20FB0">
      <w:pPr>
        <w:spacing w:after="0" w:line="240" w:lineRule="auto"/>
        <w:rPr>
          <w:rFonts w:ascii="Arial" w:eastAsia="Arial" w:hAnsi="Arial" w:cs="Arial"/>
          <w:b/>
          <w:bCs/>
        </w:rPr>
      </w:pPr>
      <w:r w:rsidRPr="00587DF1">
        <w:rPr>
          <w:rFonts w:ascii="Arial" w:eastAsia="Arial" w:hAnsi="Arial" w:cs="Arial"/>
          <w:b/>
          <w:bCs/>
        </w:rPr>
        <w:t>Organisational change</w:t>
      </w:r>
    </w:p>
    <w:p w14:paraId="41F46B99" w14:textId="51A53C4D" w:rsidR="00D20FB0" w:rsidRPr="00587DF1" w:rsidRDefault="00D20FB0" w:rsidP="00D20FB0">
      <w:pPr>
        <w:spacing w:after="0"/>
        <w:rPr>
          <w:rFonts w:ascii="Arial" w:eastAsia="Arial" w:hAnsi="Arial" w:cs="Arial"/>
        </w:rPr>
      </w:pPr>
      <w:r w:rsidRPr="00587DF1">
        <w:rPr>
          <w:rFonts w:ascii="Arial" w:eastAsia="Arial" w:hAnsi="Arial" w:cs="Arial"/>
        </w:rPr>
        <w:t xml:space="preserve">The new clinical, research and education models, and the emerging IT and workforce strategies described in the Clinical Quality Case (chapter </w:t>
      </w:r>
      <w:r w:rsidR="003E697D" w:rsidRPr="00587DF1">
        <w:rPr>
          <w:rFonts w:ascii="Arial" w:eastAsia="Arial" w:hAnsi="Arial" w:cs="Arial"/>
        </w:rPr>
        <w:fldChar w:fldCharType="begin"/>
      </w:r>
      <w:r w:rsidR="003E697D" w:rsidRPr="00587DF1">
        <w:rPr>
          <w:rFonts w:ascii="Arial" w:eastAsia="Arial" w:hAnsi="Arial" w:cs="Arial"/>
        </w:rPr>
        <w:instrText xml:space="preserve"> REF _Ref27147411 \r \h </w:instrText>
      </w:r>
      <w:r w:rsidR="00587DF1">
        <w:rPr>
          <w:rFonts w:ascii="Arial" w:eastAsia="Arial" w:hAnsi="Arial" w:cs="Arial"/>
        </w:rPr>
        <w:instrText xml:space="preserve"> \* MERGEFORMAT </w:instrText>
      </w:r>
      <w:r w:rsidR="003E697D" w:rsidRPr="00587DF1">
        <w:rPr>
          <w:rFonts w:ascii="Arial" w:eastAsia="Arial" w:hAnsi="Arial" w:cs="Arial"/>
        </w:rPr>
      </w:r>
      <w:r w:rsidR="003E697D" w:rsidRPr="00587DF1">
        <w:rPr>
          <w:rFonts w:ascii="Arial" w:eastAsia="Arial" w:hAnsi="Arial" w:cs="Arial"/>
        </w:rPr>
        <w:fldChar w:fldCharType="separate"/>
      </w:r>
      <w:r w:rsidR="00A936CD">
        <w:rPr>
          <w:rFonts w:ascii="Arial" w:eastAsia="Arial" w:hAnsi="Arial" w:cs="Arial"/>
        </w:rPr>
        <w:t>5</w:t>
      </w:r>
      <w:r w:rsidR="003E697D" w:rsidRPr="00587DF1">
        <w:rPr>
          <w:rFonts w:ascii="Arial" w:eastAsia="Arial" w:hAnsi="Arial" w:cs="Arial"/>
        </w:rPr>
        <w:fldChar w:fldCharType="end"/>
      </w:r>
      <w:r w:rsidRPr="00587DF1">
        <w:rPr>
          <w:rFonts w:ascii="Arial" w:eastAsia="Arial" w:hAnsi="Arial" w:cs="Arial"/>
        </w:rPr>
        <w:t>), represent a significant organisational change for both Moorfields and the IoO. In order to achieve the planned benefits, Moorfields and UCL staff will need to develop a more collaborative approach to delivery of clinical services, research and education. It is recognised that while the new building will be an enabler to this, organisational change management will be key in changing the culture and approach to working, amongst all staff groups.</w:t>
      </w:r>
    </w:p>
    <w:p w14:paraId="58D096AF" w14:textId="77777777" w:rsidR="00D20FB0" w:rsidRPr="00587DF1" w:rsidRDefault="00D20FB0" w:rsidP="00D20FB0">
      <w:pPr>
        <w:spacing w:after="0"/>
        <w:rPr>
          <w:rFonts w:ascii="Arial" w:eastAsia="Arial" w:hAnsi="Arial" w:cs="Arial"/>
        </w:rPr>
      </w:pPr>
    </w:p>
    <w:p w14:paraId="5531AA10" w14:textId="77777777" w:rsidR="00D20FB0" w:rsidRPr="00587DF1" w:rsidRDefault="00D20FB0" w:rsidP="00D20FB0">
      <w:pPr>
        <w:spacing w:after="0"/>
        <w:rPr>
          <w:rFonts w:ascii="Arial" w:eastAsia="Arial" w:hAnsi="Arial" w:cs="Arial"/>
        </w:rPr>
      </w:pPr>
      <w:r w:rsidRPr="00587DF1">
        <w:rPr>
          <w:rFonts w:ascii="Arial" w:eastAsia="Arial" w:hAnsi="Arial" w:cs="Arial"/>
        </w:rPr>
        <w:t>An organisational change management strategy will be developed once designs, workforce models and service plans have been developed in more detail, enabling a gap analysis to be undertaken to complete a detailed assessment of the scale and impact of change on individual departments and job roles.</w:t>
      </w:r>
    </w:p>
    <w:p w14:paraId="6D5616A1" w14:textId="77777777" w:rsidR="00D20FB0" w:rsidRPr="00587DF1" w:rsidRDefault="00D20FB0" w:rsidP="00D20FB0">
      <w:pPr>
        <w:spacing w:after="0"/>
        <w:rPr>
          <w:rFonts w:ascii="Arial" w:eastAsia="Arial" w:hAnsi="Arial" w:cs="Arial"/>
        </w:rPr>
      </w:pPr>
    </w:p>
    <w:p w14:paraId="1AAF1122" w14:textId="77777777" w:rsidR="00D20FB0" w:rsidRPr="00587DF1" w:rsidRDefault="00D20FB0" w:rsidP="00D20FB0">
      <w:pPr>
        <w:spacing w:after="0"/>
        <w:rPr>
          <w:rFonts w:ascii="Arial" w:eastAsia="Arial" w:hAnsi="Arial" w:cs="Arial"/>
        </w:rPr>
      </w:pPr>
      <w:r w:rsidRPr="00587DF1">
        <w:rPr>
          <w:rFonts w:ascii="Arial" w:eastAsia="Arial" w:hAnsi="Arial" w:cs="Arial"/>
        </w:rPr>
        <w:t>Training plans will be developed to ensure all staff understand how to use new systems and technologies to achieve optimum benefits.</w:t>
      </w:r>
    </w:p>
    <w:p w14:paraId="4930F588" w14:textId="77777777" w:rsidR="00D20FB0" w:rsidRPr="00587DF1" w:rsidRDefault="00D20FB0" w:rsidP="00D20FB0">
      <w:pPr>
        <w:spacing w:after="0"/>
        <w:rPr>
          <w:rFonts w:ascii="Arial" w:eastAsia="Arial" w:hAnsi="Arial" w:cs="Arial"/>
        </w:rPr>
      </w:pPr>
    </w:p>
    <w:p w14:paraId="76483460" w14:textId="79C75875" w:rsidR="00D20FB0" w:rsidRPr="00587DF1" w:rsidRDefault="00D20FB0" w:rsidP="00D20FB0">
      <w:pPr>
        <w:spacing w:after="0"/>
        <w:rPr>
          <w:rFonts w:ascii="Arial" w:eastAsia="Arial" w:hAnsi="Arial" w:cs="Arial"/>
        </w:rPr>
      </w:pPr>
      <w:r w:rsidRPr="005112F4">
        <w:rPr>
          <w:rFonts w:ascii="Arial" w:eastAsia="Arial" w:hAnsi="Arial" w:cs="Arial"/>
        </w:rPr>
        <w:t>Given the importance of effective organisational change in achieving the project’s benefits, a Strategy and Transformation Board will be established to oversee organisational change and integration between Moorfields and UCL</w:t>
      </w:r>
      <w:r w:rsidR="005112F4">
        <w:rPr>
          <w:rFonts w:ascii="Arial" w:eastAsia="Arial" w:hAnsi="Arial" w:cs="Arial"/>
        </w:rPr>
        <w:t>.</w:t>
      </w:r>
    </w:p>
    <w:p w14:paraId="4B0E3C23" w14:textId="77777777" w:rsidR="00D20FB0" w:rsidRPr="00587DF1" w:rsidRDefault="00D20FB0" w:rsidP="00D20FB0">
      <w:pPr>
        <w:spacing w:after="0"/>
        <w:rPr>
          <w:rFonts w:ascii="Arial" w:eastAsia="Arial" w:hAnsi="Arial" w:cs="Arial"/>
        </w:rPr>
      </w:pPr>
    </w:p>
    <w:p w14:paraId="7C25EEE4" w14:textId="77777777" w:rsidR="00D20FB0" w:rsidRPr="00587DF1" w:rsidRDefault="00D20FB0" w:rsidP="00D20FB0">
      <w:pPr>
        <w:spacing w:after="0" w:line="240" w:lineRule="auto"/>
        <w:rPr>
          <w:rFonts w:ascii="Arial" w:eastAsia="Arial" w:hAnsi="Arial" w:cs="Arial"/>
        </w:rPr>
      </w:pPr>
    </w:p>
    <w:p w14:paraId="564A9B69" w14:textId="300D10F7" w:rsidR="00D20FB0" w:rsidRPr="00587DF1" w:rsidRDefault="00D20FB0" w:rsidP="005E0D57">
      <w:pPr>
        <w:pStyle w:val="Heading2"/>
        <w:numPr>
          <w:ilvl w:val="1"/>
          <w:numId w:val="39"/>
        </w:numPr>
        <w:rPr>
          <w:rFonts w:ascii="Arial" w:eastAsia="Arial" w:hAnsi="Arial" w:cs="Arial"/>
        </w:rPr>
      </w:pPr>
      <w:bookmarkStart w:id="492" w:name="_Toc32842782"/>
      <w:r w:rsidRPr="00587DF1">
        <w:rPr>
          <w:rFonts w:ascii="Arial" w:eastAsia="Arial" w:hAnsi="Arial" w:cs="Arial"/>
        </w:rPr>
        <w:t>Resourcing strategy</w:t>
      </w:r>
      <w:bookmarkEnd w:id="492"/>
    </w:p>
    <w:p w14:paraId="0738EB48" w14:textId="77777777" w:rsidR="00D20FB0" w:rsidRPr="00587DF1" w:rsidRDefault="00D20FB0" w:rsidP="00D20FB0">
      <w:pPr>
        <w:spacing w:after="0" w:line="240" w:lineRule="auto"/>
        <w:rPr>
          <w:rFonts w:ascii="Arial" w:eastAsia="Arial" w:hAnsi="Arial" w:cs="Arial"/>
        </w:rPr>
      </w:pPr>
    </w:p>
    <w:p w14:paraId="2DA6DE5B" w14:textId="77777777" w:rsidR="00D20FB0" w:rsidRPr="00587DF1" w:rsidRDefault="00D20FB0" w:rsidP="00D20FB0">
      <w:pPr>
        <w:spacing w:after="0"/>
        <w:rPr>
          <w:rFonts w:ascii="Arial" w:eastAsia="Arial" w:hAnsi="Arial" w:cs="Arial"/>
        </w:rPr>
      </w:pPr>
      <w:r w:rsidRPr="00587DF1">
        <w:rPr>
          <w:rFonts w:ascii="Arial" w:eastAsia="Arial" w:hAnsi="Arial" w:cs="Arial"/>
        </w:rPr>
        <w:lastRenderedPageBreak/>
        <w:t>The project resourcing is structured according to governance group and workstream. In addition to the workstream executive and lead, each group also has external advisors to support the delivery. This is shown in the figure below.</w:t>
      </w:r>
    </w:p>
    <w:p w14:paraId="75AD218C" w14:textId="77777777" w:rsidR="00D20FB0" w:rsidRPr="00587DF1" w:rsidRDefault="00D20FB0" w:rsidP="00D20FB0">
      <w:pPr>
        <w:spacing w:after="0" w:line="240" w:lineRule="auto"/>
        <w:rPr>
          <w:rFonts w:ascii="Arial" w:eastAsia="Arial" w:hAnsi="Arial" w:cs="Arial"/>
        </w:rPr>
      </w:pPr>
    </w:p>
    <w:p w14:paraId="0DECE58F" w14:textId="1C352AC7" w:rsidR="00D20FB0" w:rsidRPr="00587DF1" w:rsidRDefault="00D20FB0" w:rsidP="00D20FB0">
      <w:pPr>
        <w:pStyle w:val="Caption"/>
      </w:pPr>
      <w:r w:rsidRPr="00587DF1">
        <w:t xml:space="preserve">Figure </w:t>
      </w:r>
      <w:r w:rsidR="00320059">
        <w:fldChar w:fldCharType="begin"/>
      </w:r>
      <w:r w:rsidR="00320059">
        <w:instrText xml:space="preserve"> SEQ Figure \* ARABIC </w:instrText>
      </w:r>
      <w:r w:rsidR="00320059">
        <w:fldChar w:fldCharType="separate"/>
      </w:r>
      <w:r w:rsidR="00A936CD">
        <w:rPr>
          <w:noProof/>
        </w:rPr>
        <w:t>22</w:t>
      </w:r>
      <w:r w:rsidR="00320059">
        <w:fldChar w:fldCharType="end"/>
      </w:r>
      <w:r w:rsidRPr="00587DF1">
        <w:t xml:space="preserve">: </w:t>
      </w:r>
      <w:r w:rsidRPr="00587DF1">
        <w:rPr>
          <w:b w:val="0"/>
          <w:bCs w:val="0"/>
        </w:rPr>
        <w:t>Workstream resource structure</w:t>
      </w:r>
    </w:p>
    <w:p w14:paraId="3606F672" w14:textId="7B88AF15" w:rsidR="00D20FB0" w:rsidRPr="00587DF1" w:rsidRDefault="00DB02F8" w:rsidP="00DB02F8">
      <w:pPr>
        <w:spacing w:after="0" w:line="240" w:lineRule="auto"/>
        <w:ind w:left="-993"/>
        <w:rPr>
          <w:rFonts w:ascii="Arial" w:eastAsia="Arial" w:hAnsi="Arial" w:cs="Arial"/>
        </w:rPr>
      </w:pPr>
      <w:r>
        <w:rPr>
          <w:noProof/>
        </w:rPr>
        <w:drawing>
          <wp:inline distT="0" distB="0" distL="0" distR="0" wp14:anchorId="055B42FD" wp14:editId="4C65E17F">
            <wp:extent cx="6513354" cy="3422650"/>
            <wp:effectExtent l="0" t="0" r="1905" b="6350"/>
            <wp:docPr id="1483731212" name="Picture 148373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19342" cy="3425797"/>
                    </a:xfrm>
                    <a:prstGeom prst="rect">
                      <a:avLst/>
                    </a:prstGeom>
                  </pic:spPr>
                </pic:pic>
              </a:graphicData>
            </a:graphic>
          </wp:inline>
        </w:drawing>
      </w:r>
    </w:p>
    <w:p w14:paraId="442931D4" w14:textId="77777777" w:rsidR="00D20FB0" w:rsidRPr="00587DF1" w:rsidRDefault="00D20FB0" w:rsidP="00D20FB0">
      <w:pPr>
        <w:spacing w:after="0" w:line="240" w:lineRule="auto"/>
        <w:rPr>
          <w:rFonts w:ascii="Arial" w:eastAsia="Arial" w:hAnsi="Arial" w:cs="Arial"/>
        </w:rPr>
      </w:pPr>
    </w:p>
    <w:p w14:paraId="7B69779D" w14:textId="77777777" w:rsidR="00D20FB0" w:rsidRPr="00587DF1" w:rsidRDefault="00D20FB0" w:rsidP="00D20FB0">
      <w:pPr>
        <w:spacing w:after="0" w:line="240" w:lineRule="auto"/>
        <w:rPr>
          <w:rFonts w:ascii="Arial" w:eastAsia="Arial" w:hAnsi="Arial" w:cs="Arial"/>
        </w:rPr>
      </w:pPr>
    </w:p>
    <w:p w14:paraId="181ECDEE" w14:textId="77777777" w:rsidR="00D20FB0" w:rsidRPr="00587DF1" w:rsidRDefault="00D20FB0" w:rsidP="005E0D57">
      <w:pPr>
        <w:numPr>
          <w:ilvl w:val="2"/>
          <w:numId w:val="39"/>
        </w:numPr>
        <w:pBdr>
          <w:top w:val="nil"/>
          <w:left w:val="nil"/>
          <w:bottom w:val="nil"/>
          <w:right w:val="nil"/>
          <w:between w:val="nil"/>
        </w:pBdr>
        <w:tabs>
          <w:tab w:val="left" w:pos="567"/>
        </w:tabs>
        <w:jc w:val="both"/>
        <w:rPr>
          <w:rFonts w:ascii="Arial" w:eastAsia="Arial" w:hAnsi="Arial" w:cs="Arial"/>
          <w:color w:val="000000"/>
        </w:rPr>
      </w:pPr>
      <w:r w:rsidRPr="00587DF1">
        <w:rPr>
          <w:rFonts w:ascii="Arial" w:eastAsia="Arial" w:hAnsi="Arial" w:cs="Arial"/>
          <w:b/>
          <w:color w:val="000000"/>
        </w:rPr>
        <w:t>Use of specialist advisors</w:t>
      </w:r>
    </w:p>
    <w:p w14:paraId="70CEDBBB" w14:textId="77777777" w:rsidR="00D20FB0" w:rsidRPr="00587DF1" w:rsidRDefault="00D20FB0" w:rsidP="00D20FB0">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The main project advisors are set out in the table below. Most of these have been procured competitively to ensure continuing best value.</w:t>
      </w:r>
    </w:p>
    <w:p w14:paraId="4AD07E95" w14:textId="4B95DAB0" w:rsidR="00D20FB0" w:rsidRPr="00587DF1" w:rsidRDefault="00D20FB0" w:rsidP="00D20FB0">
      <w:pPr>
        <w:pStyle w:val="Caption"/>
      </w:pPr>
      <w:r w:rsidRPr="00587DF1">
        <w:t xml:space="preserve">Figure </w:t>
      </w:r>
      <w:r w:rsidR="00320059">
        <w:fldChar w:fldCharType="begin"/>
      </w:r>
      <w:r w:rsidR="00320059">
        <w:instrText xml:space="preserve"> SEQ Figure \* ARABIC </w:instrText>
      </w:r>
      <w:r w:rsidR="00320059">
        <w:fldChar w:fldCharType="separate"/>
      </w:r>
      <w:r w:rsidR="00A936CD">
        <w:rPr>
          <w:noProof/>
        </w:rPr>
        <w:t>23</w:t>
      </w:r>
      <w:r w:rsidR="00320059">
        <w:fldChar w:fldCharType="end"/>
      </w:r>
      <w:r w:rsidRPr="00587DF1">
        <w:t>:</w:t>
      </w:r>
      <w:r w:rsidRPr="00587DF1">
        <w:rPr>
          <w:b w:val="0"/>
          <w:bCs w:val="0"/>
        </w:rPr>
        <w:t xml:space="preserve"> Key external advisors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885"/>
        <w:gridCol w:w="1902"/>
        <w:gridCol w:w="2278"/>
      </w:tblGrid>
      <w:tr w:rsidR="0025490F" w:rsidRPr="0025490F" w14:paraId="7BCABE4E" w14:textId="77777777" w:rsidTr="0025490F">
        <w:tc>
          <w:tcPr>
            <w:tcW w:w="1951" w:type="dxa"/>
            <w:shd w:val="clear" w:color="auto" w:fill="4F81BD"/>
          </w:tcPr>
          <w:p w14:paraId="3B94F877" w14:textId="77777777" w:rsidR="00D20FB0" w:rsidRPr="0025490F" w:rsidRDefault="00D20FB0" w:rsidP="00D20FB0">
            <w:pPr>
              <w:spacing w:after="0"/>
              <w:rPr>
                <w:rFonts w:ascii="Arial" w:eastAsia="Arial" w:hAnsi="Arial" w:cs="Arial"/>
                <w:b/>
                <w:bCs/>
                <w:color w:val="FFFFFF" w:themeColor="background1"/>
              </w:rPr>
            </w:pPr>
            <w:bookmarkStart w:id="493" w:name="_Hlk33101740"/>
            <w:r w:rsidRPr="0025490F">
              <w:rPr>
                <w:rFonts w:ascii="Arial" w:eastAsia="Arial" w:hAnsi="Arial" w:cs="Arial"/>
                <w:b/>
                <w:bCs/>
                <w:color w:val="FFFFFF" w:themeColor="background1"/>
              </w:rPr>
              <w:t>Organisation</w:t>
            </w:r>
          </w:p>
        </w:tc>
        <w:tc>
          <w:tcPr>
            <w:tcW w:w="2885" w:type="dxa"/>
            <w:shd w:val="clear" w:color="auto" w:fill="4F81BD"/>
          </w:tcPr>
          <w:p w14:paraId="5D0CBB01" w14:textId="77777777" w:rsidR="00D20FB0" w:rsidRPr="0025490F" w:rsidRDefault="00D20FB0" w:rsidP="00D20FB0">
            <w:pPr>
              <w:spacing w:after="0"/>
              <w:rPr>
                <w:rFonts w:ascii="Arial" w:eastAsia="Arial" w:hAnsi="Arial" w:cs="Arial"/>
                <w:b/>
                <w:bCs/>
                <w:color w:val="FFFFFF" w:themeColor="background1"/>
              </w:rPr>
            </w:pPr>
            <w:r w:rsidRPr="0025490F">
              <w:rPr>
                <w:rFonts w:ascii="Arial" w:eastAsia="Arial" w:hAnsi="Arial" w:cs="Arial"/>
                <w:b/>
                <w:bCs/>
                <w:color w:val="FFFFFF" w:themeColor="background1"/>
              </w:rPr>
              <w:t>Role</w:t>
            </w:r>
          </w:p>
        </w:tc>
        <w:tc>
          <w:tcPr>
            <w:tcW w:w="1902" w:type="dxa"/>
            <w:shd w:val="clear" w:color="auto" w:fill="4F81BD"/>
          </w:tcPr>
          <w:p w14:paraId="4C6F0408" w14:textId="77777777" w:rsidR="00D20FB0" w:rsidRPr="0025490F" w:rsidRDefault="00D20FB0" w:rsidP="00D20FB0">
            <w:pPr>
              <w:spacing w:after="0"/>
              <w:rPr>
                <w:rFonts w:ascii="Arial" w:eastAsia="Arial" w:hAnsi="Arial" w:cs="Arial"/>
                <w:b/>
                <w:bCs/>
                <w:color w:val="FFFFFF" w:themeColor="background1"/>
              </w:rPr>
            </w:pPr>
            <w:r w:rsidRPr="0025490F">
              <w:rPr>
                <w:rFonts w:ascii="Arial" w:eastAsia="Arial" w:hAnsi="Arial" w:cs="Arial"/>
                <w:b/>
                <w:bCs/>
                <w:color w:val="FFFFFF" w:themeColor="background1"/>
              </w:rPr>
              <w:t>Reports to</w:t>
            </w:r>
          </w:p>
        </w:tc>
        <w:tc>
          <w:tcPr>
            <w:tcW w:w="2278" w:type="dxa"/>
            <w:shd w:val="clear" w:color="auto" w:fill="4F81BD"/>
          </w:tcPr>
          <w:p w14:paraId="59FA8B9C" w14:textId="77777777" w:rsidR="00D20FB0" w:rsidRPr="0025490F" w:rsidRDefault="00D20FB0" w:rsidP="00D20FB0">
            <w:pPr>
              <w:spacing w:after="0"/>
              <w:rPr>
                <w:rFonts w:ascii="Arial" w:eastAsia="Arial" w:hAnsi="Arial" w:cs="Arial"/>
                <w:b/>
                <w:bCs/>
                <w:color w:val="FFFFFF" w:themeColor="background1"/>
              </w:rPr>
            </w:pPr>
            <w:r w:rsidRPr="0025490F">
              <w:rPr>
                <w:rFonts w:ascii="Arial" w:eastAsia="Arial" w:hAnsi="Arial" w:cs="Arial"/>
                <w:b/>
                <w:bCs/>
                <w:color w:val="FFFFFF" w:themeColor="background1"/>
              </w:rPr>
              <w:t>How procured</w:t>
            </w:r>
          </w:p>
        </w:tc>
      </w:tr>
      <w:tr w:rsidR="005D04DA" w:rsidRPr="00587DF1" w14:paraId="527941B3" w14:textId="77777777" w:rsidTr="00D20FB0">
        <w:tc>
          <w:tcPr>
            <w:tcW w:w="1951" w:type="dxa"/>
            <w:vMerge w:val="restart"/>
          </w:tcPr>
          <w:p w14:paraId="2BF39FFD" w14:textId="77777777" w:rsidR="005D04DA" w:rsidRPr="00587DF1" w:rsidRDefault="005D04DA" w:rsidP="00D20FB0">
            <w:pPr>
              <w:spacing w:after="0"/>
              <w:rPr>
                <w:rFonts w:ascii="Arial" w:eastAsia="Arial" w:hAnsi="Arial" w:cs="Arial"/>
                <w:highlight w:val="yellow"/>
              </w:rPr>
            </w:pPr>
            <w:r w:rsidRPr="00587DF1">
              <w:rPr>
                <w:rFonts w:ascii="Arial" w:eastAsia="Arial" w:hAnsi="Arial" w:cs="Arial"/>
              </w:rPr>
              <w:t>AECOM</w:t>
            </w:r>
          </w:p>
        </w:tc>
        <w:tc>
          <w:tcPr>
            <w:tcW w:w="2885" w:type="dxa"/>
          </w:tcPr>
          <w:p w14:paraId="3C4D64E2" w14:textId="77777777" w:rsidR="005D04DA" w:rsidRPr="00587DF1" w:rsidRDefault="005D04DA" w:rsidP="00D20FB0">
            <w:pPr>
              <w:spacing w:after="0"/>
              <w:rPr>
                <w:rFonts w:ascii="Arial" w:eastAsia="Arial" w:hAnsi="Arial" w:cs="Arial"/>
              </w:rPr>
            </w:pPr>
            <w:r w:rsidRPr="00587DF1">
              <w:rPr>
                <w:rFonts w:ascii="Arial" w:eastAsia="Arial" w:hAnsi="Arial" w:cs="Arial"/>
              </w:rPr>
              <w:t>Project management and infrastructure workstream lead.</w:t>
            </w:r>
          </w:p>
        </w:tc>
        <w:tc>
          <w:tcPr>
            <w:tcW w:w="1902" w:type="dxa"/>
          </w:tcPr>
          <w:p w14:paraId="0023FFE2" w14:textId="77777777" w:rsidR="005D04DA" w:rsidRPr="00587DF1" w:rsidRDefault="005D04DA" w:rsidP="00D20FB0">
            <w:pPr>
              <w:spacing w:after="0"/>
              <w:rPr>
                <w:rFonts w:ascii="Arial" w:eastAsia="Arial" w:hAnsi="Arial" w:cs="Arial"/>
                <w:highlight w:val="yellow"/>
              </w:rPr>
            </w:pPr>
            <w:r w:rsidRPr="00587DF1">
              <w:rPr>
                <w:rFonts w:ascii="Arial" w:eastAsia="Arial" w:hAnsi="Arial" w:cs="Arial"/>
              </w:rPr>
              <w:t>Infrastructure workstream (executive lead)</w:t>
            </w:r>
          </w:p>
        </w:tc>
        <w:tc>
          <w:tcPr>
            <w:tcW w:w="2278" w:type="dxa"/>
          </w:tcPr>
          <w:p w14:paraId="001C230C" w14:textId="77777777" w:rsidR="005D04DA" w:rsidRPr="00587DF1" w:rsidRDefault="005D04DA" w:rsidP="00D20FB0">
            <w:pPr>
              <w:spacing w:after="0"/>
              <w:rPr>
                <w:rFonts w:ascii="Arial" w:eastAsia="Arial" w:hAnsi="Arial" w:cs="Arial"/>
                <w:highlight w:val="yellow"/>
              </w:rPr>
            </w:pPr>
            <w:r w:rsidRPr="00587DF1">
              <w:rPr>
                <w:rFonts w:ascii="Arial" w:eastAsia="Arial" w:hAnsi="Arial" w:cs="Arial"/>
              </w:rPr>
              <w:t>Competitive tender from SBS framework</w:t>
            </w:r>
          </w:p>
        </w:tc>
      </w:tr>
      <w:tr w:rsidR="005D04DA" w:rsidRPr="00587DF1" w14:paraId="109D96C0" w14:textId="77777777" w:rsidTr="00D20FB0">
        <w:tc>
          <w:tcPr>
            <w:tcW w:w="1951" w:type="dxa"/>
            <w:vMerge/>
          </w:tcPr>
          <w:p w14:paraId="10DA5D0A" w14:textId="77777777" w:rsidR="005D04DA" w:rsidRPr="00587DF1" w:rsidRDefault="005D04DA" w:rsidP="00D20FB0">
            <w:pPr>
              <w:spacing w:after="0"/>
              <w:rPr>
                <w:rFonts w:ascii="Arial" w:eastAsia="Arial" w:hAnsi="Arial" w:cs="Arial"/>
              </w:rPr>
            </w:pPr>
          </w:p>
        </w:tc>
        <w:tc>
          <w:tcPr>
            <w:tcW w:w="2885" w:type="dxa"/>
          </w:tcPr>
          <w:p w14:paraId="24300181" w14:textId="77777777" w:rsidR="005D04DA" w:rsidRPr="00587DF1" w:rsidRDefault="005D04DA" w:rsidP="00D20FB0">
            <w:pPr>
              <w:spacing w:after="0"/>
              <w:rPr>
                <w:rFonts w:ascii="Arial" w:eastAsia="Arial" w:hAnsi="Arial" w:cs="Arial"/>
              </w:rPr>
            </w:pPr>
            <w:r w:rsidRPr="00587DF1">
              <w:rPr>
                <w:rFonts w:ascii="Arial" w:eastAsia="Arial" w:hAnsi="Arial" w:cs="Arial"/>
              </w:rPr>
              <w:t>St Pancras site design team.</w:t>
            </w:r>
          </w:p>
        </w:tc>
        <w:tc>
          <w:tcPr>
            <w:tcW w:w="1902" w:type="dxa"/>
          </w:tcPr>
          <w:p w14:paraId="60B68688" w14:textId="77777777" w:rsidR="005D04DA" w:rsidRPr="00587DF1" w:rsidRDefault="005D04DA" w:rsidP="00D20FB0">
            <w:pPr>
              <w:spacing w:after="0"/>
              <w:rPr>
                <w:rFonts w:ascii="Arial" w:eastAsia="Arial" w:hAnsi="Arial" w:cs="Arial"/>
              </w:rPr>
            </w:pPr>
            <w:r w:rsidRPr="00587DF1">
              <w:rPr>
                <w:rFonts w:ascii="Arial" w:eastAsia="Arial" w:hAnsi="Arial" w:cs="Arial"/>
              </w:rPr>
              <w:t>Infrastructure workstream</w:t>
            </w:r>
          </w:p>
        </w:tc>
        <w:tc>
          <w:tcPr>
            <w:tcW w:w="2278" w:type="dxa"/>
          </w:tcPr>
          <w:p w14:paraId="5553F2FC" w14:textId="77777777" w:rsidR="005D04DA" w:rsidRPr="00587DF1" w:rsidRDefault="005D04DA" w:rsidP="00D20FB0">
            <w:pPr>
              <w:spacing w:after="0"/>
              <w:rPr>
                <w:rFonts w:ascii="Arial" w:eastAsia="Arial" w:hAnsi="Arial" w:cs="Arial"/>
              </w:rPr>
            </w:pPr>
            <w:r w:rsidRPr="00587DF1">
              <w:rPr>
                <w:rFonts w:ascii="Arial" w:eastAsia="Arial" w:hAnsi="Arial" w:cs="Arial"/>
              </w:rPr>
              <w:t>OJEU design competition</w:t>
            </w:r>
          </w:p>
        </w:tc>
      </w:tr>
      <w:tr w:rsidR="00D20FB0" w:rsidRPr="00587DF1" w14:paraId="10CF735A" w14:textId="77777777" w:rsidTr="00D20FB0">
        <w:tc>
          <w:tcPr>
            <w:tcW w:w="1951" w:type="dxa"/>
          </w:tcPr>
          <w:p w14:paraId="08ACF821" w14:textId="77777777" w:rsidR="00D20FB0" w:rsidRPr="00587DF1" w:rsidRDefault="00D20FB0" w:rsidP="00D20FB0">
            <w:pPr>
              <w:spacing w:after="0"/>
              <w:rPr>
                <w:rFonts w:ascii="Arial" w:eastAsia="Arial" w:hAnsi="Arial" w:cs="Arial"/>
              </w:rPr>
            </w:pPr>
            <w:r w:rsidRPr="00587DF1">
              <w:rPr>
                <w:rFonts w:ascii="Arial" w:eastAsia="Arial" w:hAnsi="Arial" w:cs="Arial"/>
              </w:rPr>
              <w:t>Henry Riley</w:t>
            </w:r>
          </w:p>
        </w:tc>
        <w:tc>
          <w:tcPr>
            <w:tcW w:w="2885" w:type="dxa"/>
          </w:tcPr>
          <w:p w14:paraId="6EB7BC30" w14:textId="77777777" w:rsidR="00D20FB0" w:rsidRPr="00587DF1" w:rsidRDefault="00D20FB0" w:rsidP="00D20FB0">
            <w:pPr>
              <w:spacing w:after="0"/>
              <w:rPr>
                <w:rFonts w:ascii="Arial" w:eastAsia="Arial" w:hAnsi="Arial" w:cs="Arial"/>
              </w:rPr>
            </w:pPr>
            <w:r w:rsidRPr="00587DF1">
              <w:rPr>
                <w:rFonts w:ascii="Arial" w:eastAsia="Arial" w:hAnsi="Arial" w:cs="Arial"/>
              </w:rPr>
              <w:t>PMO</w:t>
            </w:r>
          </w:p>
        </w:tc>
        <w:tc>
          <w:tcPr>
            <w:tcW w:w="1902" w:type="dxa"/>
          </w:tcPr>
          <w:p w14:paraId="19BB721B" w14:textId="77777777" w:rsidR="00D20FB0" w:rsidRPr="00587DF1" w:rsidRDefault="00D20FB0" w:rsidP="00D20FB0">
            <w:pPr>
              <w:spacing w:after="0"/>
              <w:rPr>
                <w:rFonts w:ascii="Arial" w:eastAsia="Arial" w:hAnsi="Arial" w:cs="Arial"/>
              </w:rPr>
            </w:pPr>
            <w:r w:rsidRPr="00587DF1">
              <w:rPr>
                <w:rFonts w:ascii="Arial" w:eastAsia="Arial" w:hAnsi="Arial" w:cs="Arial"/>
              </w:rPr>
              <w:t>SRO</w:t>
            </w:r>
          </w:p>
        </w:tc>
        <w:tc>
          <w:tcPr>
            <w:tcW w:w="2278" w:type="dxa"/>
          </w:tcPr>
          <w:p w14:paraId="4715223E" w14:textId="77777777" w:rsidR="00D20FB0" w:rsidRPr="00587DF1" w:rsidRDefault="00D20FB0" w:rsidP="00D20FB0">
            <w:pPr>
              <w:spacing w:after="0"/>
              <w:rPr>
                <w:rFonts w:ascii="Arial" w:eastAsia="Arial" w:hAnsi="Arial" w:cs="Arial"/>
              </w:rPr>
            </w:pPr>
            <w:r w:rsidRPr="00587DF1">
              <w:rPr>
                <w:rFonts w:ascii="Arial" w:eastAsia="Arial" w:hAnsi="Arial" w:cs="Arial"/>
              </w:rPr>
              <w:t>SBS framework direct call-off</w:t>
            </w:r>
          </w:p>
        </w:tc>
      </w:tr>
      <w:tr w:rsidR="00D20FB0" w:rsidRPr="00587DF1" w14:paraId="3D7B5DCF" w14:textId="77777777" w:rsidTr="00D20FB0">
        <w:tc>
          <w:tcPr>
            <w:tcW w:w="1951" w:type="dxa"/>
          </w:tcPr>
          <w:p w14:paraId="0188FA79" w14:textId="77777777" w:rsidR="00D20FB0" w:rsidRPr="00587DF1" w:rsidRDefault="00D20FB0" w:rsidP="00D20FB0">
            <w:pPr>
              <w:spacing w:after="0"/>
              <w:rPr>
                <w:rFonts w:ascii="Arial" w:eastAsia="Arial" w:hAnsi="Arial" w:cs="Arial"/>
              </w:rPr>
            </w:pPr>
            <w:r w:rsidRPr="00587DF1">
              <w:rPr>
                <w:rFonts w:ascii="Arial" w:eastAsia="Arial" w:hAnsi="Arial" w:cs="Arial"/>
              </w:rPr>
              <w:t>Gardiner &amp; Theobald (G&amp;T)</w:t>
            </w:r>
          </w:p>
        </w:tc>
        <w:tc>
          <w:tcPr>
            <w:tcW w:w="2885" w:type="dxa"/>
          </w:tcPr>
          <w:p w14:paraId="7EFD9EF6" w14:textId="77777777" w:rsidR="00D20FB0" w:rsidRPr="00587DF1" w:rsidRDefault="00D20FB0" w:rsidP="00D20FB0">
            <w:pPr>
              <w:spacing w:after="0"/>
              <w:rPr>
                <w:rFonts w:ascii="Arial" w:eastAsia="Arial" w:hAnsi="Arial" w:cs="Arial"/>
              </w:rPr>
            </w:pPr>
            <w:r w:rsidRPr="00587DF1">
              <w:rPr>
                <w:rFonts w:ascii="Arial" w:eastAsia="Arial" w:hAnsi="Arial" w:cs="Arial"/>
              </w:rPr>
              <w:t>Trust-side cost consultants</w:t>
            </w:r>
          </w:p>
        </w:tc>
        <w:tc>
          <w:tcPr>
            <w:tcW w:w="1902" w:type="dxa"/>
          </w:tcPr>
          <w:p w14:paraId="62C84D9C" w14:textId="77777777" w:rsidR="00D20FB0" w:rsidRPr="00587DF1" w:rsidRDefault="00D20FB0" w:rsidP="00D20FB0">
            <w:pPr>
              <w:spacing w:after="0"/>
              <w:rPr>
                <w:rFonts w:ascii="Arial" w:eastAsia="Arial" w:hAnsi="Arial" w:cs="Arial"/>
              </w:rPr>
            </w:pPr>
            <w:r w:rsidRPr="00587DF1">
              <w:rPr>
                <w:rFonts w:ascii="Arial" w:eastAsia="Arial" w:hAnsi="Arial" w:cs="Arial"/>
              </w:rPr>
              <w:t>Finance workstream</w:t>
            </w:r>
          </w:p>
        </w:tc>
        <w:tc>
          <w:tcPr>
            <w:tcW w:w="2278" w:type="dxa"/>
          </w:tcPr>
          <w:p w14:paraId="395643FF" w14:textId="77777777" w:rsidR="00D20FB0" w:rsidRPr="00587DF1" w:rsidRDefault="00D20FB0" w:rsidP="00D20FB0">
            <w:pPr>
              <w:spacing w:after="0"/>
              <w:rPr>
                <w:rFonts w:ascii="Arial" w:eastAsia="Arial" w:hAnsi="Arial" w:cs="Arial"/>
              </w:rPr>
            </w:pPr>
            <w:r w:rsidRPr="00587DF1">
              <w:rPr>
                <w:rFonts w:ascii="Arial" w:eastAsia="Arial" w:hAnsi="Arial" w:cs="Arial"/>
              </w:rPr>
              <w:t>Competitive tender from SBS framework</w:t>
            </w:r>
          </w:p>
        </w:tc>
      </w:tr>
      <w:tr w:rsidR="005D04DA" w:rsidRPr="00587DF1" w14:paraId="308FFC3B" w14:textId="77777777" w:rsidTr="005D04DA">
        <w:trPr>
          <w:trHeight w:val="753"/>
        </w:trPr>
        <w:tc>
          <w:tcPr>
            <w:tcW w:w="1951" w:type="dxa"/>
            <w:vMerge w:val="restart"/>
          </w:tcPr>
          <w:p w14:paraId="40CAB5AD" w14:textId="77777777" w:rsidR="005D04DA" w:rsidRPr="00587DF1" w:rsidRDefault="005D04DA" w:rsidP="00D20FB0">
            <w:pPr>
              <w:spacing w:after="0"/>
              <w:rPr>
                <w:rFonts w:ascii="Arial" w:eastAsia="Arial" w:hAnsi="Arial" w:cs="Arial"/>
              </w:rPr>
            </w:pPr>
            <w:r w:rsidRPr="00587DF1">
              <w:rPr>
                <w:rFonts w:ascii="Arial" w:eastAsia="Arial" w:hAnsi="Arial" w:cs="Arial"/>
              </w:rPr>
              <w:t>PA consulting</w:t>
            </w:r>
          </w:p>
        </w:tc>
        <w:tc>
          <w:tcPr>
            <w:tcW w:w="2885" w:type="dxa"/>
          </w:tcPr>
          <w:p w14:paraId="3BA881C5" w14:textId="77777777" w:rsidR="005D04DA" w:rsidRPr="00587DF1" w:rsidRDefault="005D04DA" w:rsidP="00D20FB0">
            <w:pPr>
              <w:spacing w:after="0"/>
              <w:rPr>
                <w:rFonts w:ascii="Arial" w:eastAsia="Arial" w:hAnsi="Arial" w:cs="Arial"/>
              </w:rPr>
            </w:pPr>
            <w:r w:rsidRPr="00587DF1">
              <w:rPr>
                <w:rFonts w:ascii="Arial" w:eastAsia="Arial" w:hAnsi="Arial" w:cs="Arial"/>
              </w:rPr>
              <w:t>Options appraisal</w:t>
            </w:r>
          </w:p>
          <w:p w14:paraId="4A8726D3" w14:textId="77777777" w:rsidR="005D04DA" w:rsidRPr="00587DF1" w:rsidRDefault="005D04DA" w:rsidP="00D20FB0">
            <w:pPr>
              <w:spacing w:after="0"/>
              <w:rPr>
                <w:rFonts w:ascii="Arial" w:eastAsia="Arial" w:hAnsi="Arial" w:cs="Arial"/>
              </w:rPr>
            </w:pPr>
          </w:p>
          <w:p w14:paraId="3DE958B3" w14:textId="77777777" w:rsidR="005D04DA" w:rsidRPr="00587DF1" w:rsidRDefault="005D04DA" w:rsidP="00D20FB0">
            <w:pPr>
              <w:spacing w:after="0"/>
              <w:rPr>
                <w:rFonts w:ascii="Arial" w:eastAsia="Arial" w:hAnsi="Arial" w:cs="Arial"/>
              </w:rPr>
            </w:pPr>
          </w:p>
        </w:tc>
        <w:tc>
          <w:tcPr>
            <w:tcW w:w="1902" w:type="dxa"/>
          </w:tcPr>
          <w:p w14:paraId="3BFCA205" w14:textId="77777777" w:rsidR="005D04DA" w:rsidRPr="00587DF1" w:rsidRDefault="005D04DA" w:rsidP="00D20FB0">
            <w:pPr>
              <w:spacing w:after="0"/>
              <w:rPr>
                <w:rFonts w:ascii="Arial" w:eastAsia="Arial" w:hAnsi="Arial" w:cs="Arial"/>
              </w:rPr>
            </w:pPr>
            <w:r w:rsidRPr="00587DF1">
              <w:rPr>
                <w:rFonts w:ascii="Arial" w:eastAsia="Arial" w:hAnsi="Arial" w:cs="Arial"/>
              </w:rPr>
              <w:t>Finance workstream</w:t>
            </w:r>
          </w:p>
          <w:p w14:paraId="65E06F3C" w14:textId="77777777" w:rsidR="005D04DA" w:rsidRPr="00587DF1" w:rsidRDefault="005D04DA" w:rsidP="00D20FB0">
            <w:pPr>
              <w:spacing w:after="0"/>
              <w:rPr>
                <w:rFonts w:ascii="Arial" w:eastAsia="Arial" w:hAnsi="Arial" w:cs="Arial"/>
              </w:rPr>
            </w:pPr>
          </w:p>
        </w:tc>
        <w:tc>
          <w:tcPr>
            <w:tcW w:w="2278" w:type="dxa"/>
          </w:tcPr>
          <w:p w14:paraId="6E182D55" w14:textId="77777777" w:rsidR="005D04DA" w:rsidRPr="00587DF1" w:rsidRDefault="005D04DA" w:rsidP="00D20FB0">
            <w:pPr>
              <w:spacing w:after="0"/>
              <w:rPr>
                <w:rFonts w:ascii="Arial" w:eastAsia="Arial" w:hAnsi="Arial" w:cs="Arial"/>
              </w:rPr>
            </w:pPr>
            <w:r w:rsidRPr="00587DF1">
              <w:rPr>
                <w:rFonts w:ascii="Arial" w:eastAsia="Arial" w:hAnsi="Arial" w:cs="Arial"/>
              </w:rPr>
              <w:t>Competitive tender from framework</w:t>
            </w:r>
          </w:p>
        </w:tc>
      </w:tr>
      <w:tr w:rsidR="005D04DA" w:rsidRPr="00587DF1" w14:paraId="75AF5676" w14:textId="77777777" w:rsidTr="005D04DA">
        <w:trPr>
          <w:trHeight w:val="132"/>
        </w:trPr>
        <w:tc>
          <w:tcPr>
            <w:tcW w:w="1951" w:type="dxa"/>
            <w:vMerge/>
          </w:tcPr>
          <w:p w14:paraId="1ECC4212" w14:textId="77777777" w:rsidR="005D04DA" w:rsidRPr="00587DF1" w:rsidRDefault="005D04DA" w:rsidP="00D20FB0">
            <w:pPr>
              <w:spacing w:after="0"/>
              <w:rPr>
                <w:rFonts w:ascii="Arial" w:eastAsia="Arial" w:hAnsi="Arial" w:cs="Arial"/>
              </w:rPr>
            </w:pPr>
          </w:p>
        </w:tc>
        <w:tc>
          <w:tcPr>
            <w:tcW w:w="2885" w:type="dxa"/>
          </w:tcPr>
          <w:p w14:paraId="1D0F6FD4" w14:textId="77777777" w:rsidR="005D04DA" w:rsidRPr="00587DF1" w:rsidRDefault="005D04DA" w:rsidP="005D04DA">
            <w:pPr>
              <w:spacing w:after="0"/>
              <w:rPr>
                <w:rFonts w:ascii="Arial" w:eastAsia="Arial" w:hAnsi="Arial" w:cs="Arial"/>
              </w:rPr>
            </w:pPr>
            <w:r w:rsidRPr="00587DF1">
              <w:rPr>
                <w:rFonts w:ascii="Arial" w:eastAsia="Arial" w:hAnsi="Arial" w:cs="Arial"/>
              </w:rPr>
              <w:t>Demand and capacity modelling</w:t>
            </w:r>
          </w:p>
        </w:tc>
        <w:tc>
          <w:tcPr>
            <w:tcW w:w="1902" w:type="dxa"/>
          </w:tcPr>
          <w:p w14:paraId="7441CFD6" w14:textId="77777777" w:rsidR="005D04DA" w:rsidRPr="00587DF1" w:rsidRDefault="005D04DA" w:rsidP="005D04DA">
            <w:pPr>
              <w:spacing w:after="0"/>
              <w:rPr>
                <w:rFonts w:ascii="Arial" w:eastAsia="Arial" w:hAnsi="Arial" w:cs="Arial"/>
              </w:rPr>
            </w:pPr>
            <w:r w:rsidRPr="00587DF1">
              <w:rPr>
                <w:rFonts w:ascii="Arial" w:eastAsia="Arial" w:hAnsi="Arial" w:cs="Arial"/>
              </w:rPr>
              <w:t>Strategic planning workstream</w:t>
            </w:r>
          </w:p>
        </w:tc>
        <w:tc>
          <w:tcPr>
            <w:tcW w:w="2278" w:type="dxa"/>
          </w:tcPr>
          <w:p w14:paraId="1BCF2AF2" w14:textId="77777777" w:rsidR="005D04DA" w:rsidRPr="00587DF1" w:rsidRDefault="005D04DA" w:rsidP="00D20FB0">
            <w:pPr>
              <w:spacing w:after="0"/>
              <w:rPr>
                <w:rFonts w:ascii="Arial" w:eastAsia="Arial" w:hAnsi="Arial" w:cs="Arial"/>
              </w:rPr>
            </w:pPr>
          </w:p>
        </w:tc>
      </w:tr>
      <w:tr w:rsidR="00D20FB0" w:rsidRPr="00587DF1" w14:paraId="2647A5AF" w14:textId="77777777" w:rsidTr="00D20FB0">
        <w:tc>
          <w:tcPr>
            <w:tcW w:w="1951" w:type="dxa"/>
          </w:tcPr>
          <w:p w14:paraId="6294D0D2" w14:textId="77777777" w:rsidR="00D20FB0" w:rsidRPr="00587DF1" w:rsidRDefault="00D20FB0" w:rsidP="00D20FB0">
            <w:pPr>
              <w:spacing w:after="0"/>
              <w:rPr>
                <w:rFonts w:ascii="Arial" w:eastAsia="Arial" w:hAnsi="Arial" w:cs="Arial"/>
              </w:rPr>
            </w:pPr>
            <w:r w:rsidRPr="00587DF1">
              <w:rPr>
                <w:rFonts w:ascii="Arial" w:eastAsia="Arial" w:hAnsi="Arial" w:cs="Arial"/>
              </w:rPr>
              <w:t>Ernst &amp; Young (EY)</w:t>
            </w:r>
          </w:p>
        </w:tc>
        <w:tc>
          <w:tcPr>
            <w:tcW w:w="2885" w:type="dxa"/>
          </w:tcPr>
          <w:p w14:paraId="021BEE1F" w14:textId="77777777" w:rsidR="00D20FB0" w:rsidRPr="00587DF1" w:rsidRDefault="00D20FB0" w:rsidP="00D20FB0">
            <w:pPr>
              <w:spacing w:after="0"/>
              <w:rPr>
                <w:rFonts w:ascii="Arial" w:eastAsia="Arial" w:hAnsi="Arial" w:cs="Arial"/>
              </w:rPr>
            </w:pPr>
            <w:r w:rsidRPr="00587DF1">
              <w:rPr>
                <w:rFonts w:ascii="Arial" w:eastAsia="Arial" w:hAnsi="Arial" w:cs="Arial"/>
              </w:rPr>
              <w:t>Economic modelling and benefits quantification</w:t>
            </w:r>
          </w:p>
        </w:tc>
        <w:tc>
          <w:tcPr>
            <w:tcW w:w="1902" w:type="dxa"/>
          </w:tcPr>
          <w:p w14:paraId="048AC8F9" w14:textId="77777777" w:rsidR="00D20FB0" w:rsidRPr="00587DF1" w:rsidRDefault="00D20FB0" w:rsidP="00D20FB0">
            <w:pPr>
              <w:spacing w:after="0"/>
              <w:rPr>
                <w:rFonts w:ascii="Arial" w:eastAsia="Arial" w:hAnsi="Arial" w:cs="Arial"/>
              </w:rPr>
            </w:pPr>
            <w:r w:rsidRPr="00587DF1">
              <w:rPr>
                <w:rFonts w:ascii="Arial" w:eastAsia="Arial" w:hAnsi="Arial" w:cs="Arial"/>
              </w:rPr>
              <w:t>Finance workstream</w:t>
            </w:r>
          </w:p>
        </w:tc>
        <w:tc>
          <w:tcPr>
            <w:tcW w:w="2278" w:type="dxa"/>
          </w:tcPr>
          <w:p w14:paraId="5B4CA44B" w14:textId="77777777" w:rsidR="00D20FB0" w:rsidRPr="00587DF1" w:rsidRDefault="00D20FB0" w:rsidP="00D20FB0">
            <w:pPr>
              <w:spacing w:after="0"/>
              <w:rPr>
                <w:rFonts w:ascii="Arial" w:eastAsia="Arial" w:hAnsi="Arial" w:cs="Arial"/>
              </w:rPr>
            </w:pPr>
            <w:r w:rsidRPr="00587DF1">
              <w:rPr>
                <w:rFonts w:ascii="Arial" w:eastAsia="Arial" w:hAnsi="Arial" w:cs="Arial"/>
              </w:rPr>
              <w:t>Competitive tender from framework</w:t>
            </w:r>
          </w:p>
        </w:tc>
      </w:tr>
      <w:tr w:rsidR="00D20FB0" w:rsidRPr="00587DF1" w14:paraId="260195FC" w14:textId="77777777" w:rsidTr="00D20FB0">
        <w:tc>
          <w:tcPr>
            <w:tcW w:w="1951" w:type="dxa"/>
          </w:tcPr>
          <w:p w14:paraId="25ABE9F7" w14:textId="77777777" w:rsidR="00D20FB0" w:rsidRPr="00587DF1" w:rsidRDefault="00D20FB0" w:rsidP="00D20FB0">
            <w:pPr>
              <w:spacing w:after="0"/>
              <w:rPr>
                <w:rFonts w:ascii="Arial" w:eastAsia="Arial" w:hAnsi="Arial" w:cs="Arial"/>
              </w:rPr>
            </w:pPr>
            <w:r w:rsidRPr="00587DF1">
              <w:rPr>
                <w:rFonts w:ascii="Arial" w:eastAsia="Arial" w:hAnsi="Arial" w:cs="Arial"/>
              </w:rPr>
              <w:t>CBRE</w:t>
            </w:r>
          </w:p>
        </w:tc>
        <w:tc>
          <w:tcPr>
            <w:tcW w:w="2885" w:type="dxa"/>
          </w:tcPr>
          <w:p w14:paraId="4F3B75D5" w14:textId="77777777" w:rsidR="00D20FB0" w:rsidRPr="00587DF1" w:rsidRDefault="00D20FB0" w:rsidP="00D20FB0">
            <w:pPr>
              <w:spacing w:after="0"/>
              <w:rPr>
                <w:rFonts w:ascii="Arial" w:eastAsia="Arial" w:hAnsi="Arial" w:cs="Arial"/>
              </w:rPr>
            </w:pPr>
            <w:r w:rsidRPr="00587DF1">
              <w:rPr>
                <w:rFonts w:ascii="Arial" w:eastAsia="Arial" w:hAnsi="Arial" w:cs="Arial"/>
              </w:rPr>
              <w:t>Property advisors (disposal and acquisition)</w:t>
            </w:r>
          </w:p>
        </w:tc>
        <w:tc>
          <w:tcPr>
            <w:tcW w:w="1902" w:type="dxa"/>
          </w:tcPr>
          <w:p w14:paraId="372442B2" w14:textId="77777777" w:rsidR="00D20FB0" w:rsidRPr="00587DF1" w:rsidRDefault="00D20FB0" w:rsidP="00D20FB0">
            <w:pPr>
              <w:spacing w:after="0"/>
              <w:rPr>
                <w:rFonts w:ascii="Arial" w:eastAsia="Arial" w:hAnsi="Arial" w:cs="Arial"/>
              </w:rPr>
            </w:pPr>
            <w:r w:rsidRPr="00587DF1">
              <w:rPr>
                <w:rFonts w:ascii="Arial" w:eastAsia="Arial" w:hAnsi="Arial" w:cs="Arial"/>
              </w:rPr>
              <w:t>Infrastructure workstream</w:t>
            </w:r>
          </w:p>
        </w:tc>
        <w:tc>
          <w:tcPr>
            <w:tcW w:w="2278" w:type="dxa"/>
          </w:tcPr>
          <w:p w14:paraId="051F8A19" w14:textId="77777777" w:rsidR="00D20FB0" w:rsidRPr="00587DF1" w:rsidRDefault="00D20FB0" w:rsidP="00D20FB0">
            <w:pPr>
              <w:spacing w:after="0"/>
              <w:rPr>
                <w:rFonts w:ascii="Arial" w:eastAsia="Arial" w:hAnsi="Arial" w:cs="Arial"/>
              </w:rPr>
            </w:pPr>
            <w:r w:rsidRPr="00587DF1">
              <w:rPr>
                <w:rFonts w:ascii="Arial" w:eastAsia="Arial" w:hAnsi="Arial" w:cs="Arial"/>
              </w:rPr>
              <w:t>SBS framework direct call-off</w:t>
            </w:r>
          </w:p>
        </w:tc>
      </w:tr>
      <w:tr w:rsidR="00D20FB0" w:rsidRPr="00587DF1" w14:paraId="5DB4789D" w14:textId="77777777" w:rsidTr="00D20FB0">
        <w:tc>
          <w:tcPr>
            <w:tcW w:w="1951" w:type="dxa"/>
          </w:tcPr>
          <w:p w14:paraId="25E3A12A" w14:textId="77777777" w:rsidR="00D20FB0" w:rsidRPr="00587DF1" w:rsidRDefault="00D20FB0" w:rsidP="00D20FB0">
            <w:pPr>
              <w:spacing w:after="0"/>
              <w:rPr>
                <w:rFonts w:ascii="Arial" w:eastAsia="Arial" w:hAnsi="Arial" w:cs="Arial"/>
              </w:rPr>
            </w:pPr>
            <w:r w:rsidRPr="00587DF1">
              <w:rPr>
                <w:rFonts w:ascii="Arial" w:eastAsia="Arial" w:hAnsi="Arial" w:cs="Arial"/>
              </w:rPr>
              <w:t>Essenture</w:t>
            </w:r>
          </w:p>
        </w:tc>
        <w:tc>
          <w:tcPr>
            <w:tcW w:w="2885" w:type="dxa"/>
          </w:tcPr>
          <w:p w14:paraId="28AAA013" w14:textId="77777777" w:rsidR="00D20FB0" w:rsidRPr="00587DF1" w:rsidRDefault="00D20FB0" w:rsidP="00D20FB0">
            <w:pPr>
              <w:spacing w:after="0"/>
              <w:rPr>
                <w:rFonts w:ascii="Arial" w:eastAsia="Arial" w:hAnsi="Arial" w:cs="Arial"/>
              </w:rPr>
            </w:pPr>
            <w:r w:rsidRPr="00587DF1">
              <w:rPr>
                <w:rFonts w:ascii="Arial" w:eastAsia="Arial" w:hAnsi="Arial" w:cs="Arial"/>
              </w:rPr>
              <w:t>Health planning</w:t>
            </w:r>
          </w:p>
        </w:tc>
        <w:tc>
          <w:tcPr>
            <w:tcW w:w="1902" w:type="dxa"/>
          </w:tcPr>
          <w:p w14:paraId="34CBCE3F" w14:textId="77777777" w:rsidR="00D20FB0" w:rsidRPr="00587DF1" w:rsidRDefault="00D20FB0" w:rsidP="00D20FB0">
            <w:pPr>
              <w:spacing w:after="0"/>
              <w:rPr>
                <w:rFonts w:ascii="Arial" w:eastAsia="Arial" w:hAnsi="Arial" w:cs="Arial"/>
              </w:rPr>
            </w:pPr>
            <w:r w:rsidRPr="00587DF1">
              <w:rPr>
                <w:rFonts w:ascii="Arial" w:eastAsia="Arial" w:hAnsi="Arial" w:cs="Arial"/>
              </w:rPr>
              <w:t>Strategic planning</w:t>
            </w:r>
          </w:p>
        </w:tc>
        <w:tc>
          <w:tcPr>
            <w:tcW w:w="2278" w:type="dxa"/>
          </w:tcPr>
          <w:p w14:paraId="09B41C75" w14:textId="77777777" w:rsidR="00D20FB0" w:rsidRPr="00587DF1" w:rsidRDefault="00D20FB0" w:rsidP="00D20FB0">
            <w:pPr>
              <w:spacing w:after="0"/>
              <w:rPr>
                <w:rFonts w:ascii="Arial" w:eastAsia="Arial" w:hAnsi="Arial" w:cs="Arial"/>
                <w:highlight w:val="yellow"/>
              </w:rPr>
            </w:pPr>
            <w:r w:rsidRPr="00587DF1">
              <w:rPr>
                <w:rFonts w:ascii="Arial" w:eastAsia="Arial" w:hAnsi="Arial" w:cs="Arial"/>
              </w:rPr>
              <w:t>Framework direct call-off</w:t>
            </w:r>
          </w:p>
        </w:tc>
      </w:tr>
      <w:tr w:rsidR="006477E4" w:rsidRPr="00587DF1" w14:paraId="384AFBA6" w14:textId="77777777" w:rsidTr="00D20FB0">
        <w:tc>
          <w:tcPr>
            <w:tcW w:w="1951" w:type="dxa"/>
          </w:tcPr>
          <w:p w14:paraId="6F83FD24" w14:textId="77777777" w:rsidR="006477E4" w:rsidRPr="00587DF1" w:rsidRDefault="006477E4" w:rsidP="006477E4">
            <w:pPr>
              <w:spacing w:after="0"/>
              <w:rPr>
                <w:rFonts w:ascii="Arial" w:eastAsia="Arial" w:hAnsi="Arial" w:cs="Arial"/>
              </w:rPr>
            </w:pPr>
            <w:r>
              <w:rPr>
                <w:rFonts w:ascii="Arial" w:eastAsia="Arial" w:hAnsi="Arial" w:cs="Arial"/>
              </w:rPr>
              <w:t>Chase Reeves &amp; Co</w:t>
            </w:r>
          </w:p>
        </w:tc>
        <w:tc>
          <w:tcPr>
            <w:tcW w:w="2885" w:type="dxa"/>
          </w:tcPr>
          <w:p w14:paraId="359353AD" w14:textId="77777777" w:rsidR="006477E4" w:rsidRPr="00587DF1" w:rsidRDefault="006477E4" w:rsidP="006477E4">
            <w:pPr>
              <w:spacing w:after="0"/>
              <w:rPr>
                <w:rFonts w:ascii="Arial" w:eastAsia="Arial" w:hAnsi="Arial" w:cs="Arial"/>
              </w:rPr>
            </w:pPr>
            <w:r>
              <w:rPr>
                <w:rFonts w:ascii="Arial" w:eastAsia="Arial" w:hAnsi="Arial" w:cs="Arial"/>
              </w:rPr>
              <w:t>JDV advisors</w:t>
            </w:r>
          </w:p>
        </w:tc>
        <w:tc>
          <w:tcPr>
            <w:tcW w:w="1902" w:type="dxa"/>
          </w:tcPr>
          <w:p w14:paraId="6FFDE897" w14:textId="77777777" w:rsidR="006477E4" w:rsidRPr="00587DF1" w:rsidRDefault="006477E4" w:rsidP="006477E4">
            <w:pPr>
              <w:spacing w:after="0"/>
              <w:rPr>
                <w:rFonts w:ascii="Arial" w:eastAsia="Arial" w:hAnsi="Arial" w:cs="Arial"/>
              </w:rPr>
            </w:pPr>
            <w:r>
              <w:rPr>
                <w:rFonts w:ascii="Arial" w:eastAsia="Arial" w:hAnsi="Arial" w:cs="Arial"/>
              </w:rPr>
              <w:t>Finance workstream</w:t>
            </w:r>
          </w:p>
        </w:tc>
        <w:tc>
          <w:tcPr>
            <w:tcW w:w="2278" w:type="dxa"/>
          </w:tcPr>
          <w:p w14:paraId="7AD0D366" w14:textId="77777777" w:rsidR="006477E4" w:rsidRPr="00587DF1" w:rsidRDefault="006477E4" w:rsidP="006477E4">
            <w:pPr>
              <w:spacing w:after="0"/>
              <w:rPr>
                <w:rFonts w:ascii="Arial" w:eastAsia="Arial" w:hAnsi="Arial" w:cs="Arial"/>
              </w:rPr>
            </w:pPr>
            <w:r>
              <w:rPr>
                <w:rFonts w:ascii="Arial" w:eastAsia="Arial" w:hAnsi="Arial" w:cs="Arial"/>
              </w:rPr>
              <w:t>Direct appointment</w:t>
            </w:r>
          </w:p>
        </w:tc>
      </w:tr>
      <w:tr w:rsidR="006477E4" w:rsidRPr="00587DF1" w14:paraId="15616B42" w14:textId="77777777" w:rsidTr="00D20FB0">
        <w:tc>
          <w:tcPr>
            <w:tcW w:w="1951" w:type="dxa"/>
          </w:tcPr>
          <w:p w14:paraId="2FA4D211" w14:textId="77777777" w:rsidR="006477E4" w:rsidRPr="00587DF1" w:rsidRDefault="006477E4" w:rsidP="006477E4">
            <w:pPr>
              <w:spacing w:after="0"/>
              <w:rPr>
                <w:rFonts w:ascii="Arial" w:eastAsia="Arial" w:hAnsi="Arial" w:cs="Arial"/>
              </w:rPr>
            </w:pPr>
            <w:r>
              <w:rPr>
                <w:rFonts w:ascii="Arial" w:eastAsia="Arial" w:hAnsi="Arial" w:cs="Arial"/>
              </w:rPr>
              <w:t>DAC Beachcroft</w:t>
            </w:r>
          </w:p>
        </w:tc>
        <w:tc>
          <w:tcPr>
            <w:tcW w:w="2885" w:type="dxa"/>
          </w:tcPr>
          <w:p w14:paraId="611BA9F2" w14:textId="77777777" w:rsidR="006477E4" w:rsidRPr="00587DF1" w:rsidRDefault="006477E4" w:rsidP="006477E4">
            <w:pPr>
              <w:spacing w:after="0"/>
              <w:rPr>
                <w:rFonts w:ascii="Arial" w:eastAsia="Arial" w:hAnsi="Arial" w:cs="Arial"/>
              </w:rPr>
            </w:pPr>
            <w:r>
              <w:rPr>
                <w:rFonts w:ascii="Arial" w:eastAsia="Arial" w:hAnsi="Arial" w:cs="Arial"/>
              </w:rPr>
              <w:t>Legal advisors</w:t>
            </w:r>
          </w:p>
        </w:tc>
        <w:tc>
          <w:tcPr>
            <w:tcW w:w="1902" w:type="dxa"/>
          </w:tcPr>
          <w:p w14:paraId="7D538599" w14:textId="77777777" w:rsidR="006477E4" w:rsidRPr="00587DF1" w:rsidRDefault="006477E4" w:rsidP="006477E4">
            <w:pPr>
              <w:spacing w:after="0"/>
              <w:rPr>
                <w:rFonts w:ascii="Arial" w:eastAsia="Arial" w:hAnsi="Arial" w:cs="Arial"/>
              </w:rPr>
            </w:pPr>
            <w:r>
              <w:rPr>
                <w:rFonts w:ascii="Arial" w:eastAsia="Arial" w:hAnsi="Arial" w:cs="Arial"/>
              </w:rPr>
              <w:t>Infrastructure workstream</w:t>
            </w:r>
          </w:p>
        </w:tc>
        <w:tc>
          <w:tcPr>
            <w:tcW w:w="2278" w:type="dxa"/>
          </w:tcPr>
          <w:p w14:paraId="083932E0" w14:textId="77777777" w:rsidR="006477E4" w:rsidRPr="00587DF1" w:rsidRDefault="006477E4" w:rsidP="006477E4">
            <w:pPr>
              <w:spacing w:after="0"/>
              <w:rPr>
                <w:rFonts w:ascii="Arial" w:eastAsia="Arial" w:hAnsi="Arial" w:cs="Arial"/>
              </w:rPr>
            </w:pPr>
            <w:r w:rsidRPr="005A09E4">
              <w:rPr>
                <w:rFonts w:ascii="Arial" w:eastAsia="Arial" w:hAnsi="Arial" w:cs="Arial"/>
              </w:rPr>
              <w:t>Competitive tender</w:t>
            </w:r>
          </w:p>
        </w:tc>
      </w:tr>
      <w:tr w:rsidR="00D20FB0" w:rsidRPr="00587DF1" w14:paraId="54F72151" w14:textId="77777777" w:rsidTr="00D20FB0">
        <w:tc>
          <w:tcPr>
            <w:tcW w:w="1951" w:type="dxa"/>
          </w:tcPr>
          <w:p w14:paraId="555C7913" w14:textId="77777777" w:rsidR="00D20FB0" w:rsidRPr="00587DF1" w:rsidRDefault="00D20FB0" w:rsidP="00D20FB0">
            <w:pPr>
              <w:spacing w:after="0"/>
              <w:rPr>
                <w:rFonts w:ascii="Arial" w:eastAsia="Arial" w:hAnsi="Arial" w:cs="Arial"/>
              </w:rPr>
            </w:pPr>
            <w:r w:rsidRPr="00587DF1">
              <w:rPr>
                <w:rFonts w:ascii="Arial" w:eastAsia="Arial" w:hAnsi="Arial" w:cs="Arial"/>
              </w:rPr>
              <w:t>Currie &amp; Brown</w:t>
            </w:r>
          </w:p>
        </w:tc>
        <w:tc>
          <w:tcPr>
            <w:tcW w:w="2885" w:type="dxa"/>
          </w:tcPr>
          <w:p w14:paraId="579DAD49" w14:textId="77777777" w:rsidR="00D20FB0" w:rsidRPr="00587DF1" w:rsidRDefault="00D20FB0" w:rsidP="00D20FB0">
            <w:pPr>
              <w:spacing w:after="0"/>
              <w:rPr>
                <w:rFonts w:ascii="Arial" w:eastAsia="Arial" w:hAnsi="Arial" w:cs="Arial"/>
              </w:rPr>
            </w:pPr>
            <w:r w:rsidRPr="00587DF1">
              <w:rPr>
                <w:rFonts w:ascii="Arial" w:eastAsia="Arial" w:hAnsi="Arial" w:cs="Arial"/>
              </w:rPr>
              <w:t>OBC author</w:t>
            </w:r>
          </w:p>
        </w:tc>
        <w:tc>
          <w:tcPr>
            <w:tcW w:w="1902" w:type="dxa"/>
          </w:tcPr>
          <w:p w14:paraId="570DAC20" w14:textId="77777777" w:rsidR="00D20FB0" w:rsidRPr="00587DF1" w:rsidRDefault="00D20FB0" w:rsidP="00D20FB0">
            <w:pPr>
              <w:spacing w:after="0"/>
              <w:rPr>
                <w:rFonts w:ascii="Arial" w:eastAsia="Arial" w:hAnsi="Arial" w:cs="Arial"/>
              </w:rPr>
            </w:pPr>
            <w:r w:rsidRPr="00587DF1">
              <w:rPr>
                <w:rFonts w:ascii="Arial" w:eastAsia="Arial" w:hAnsi="Arial" w:cs="Arial"/>
              </w:rPr>
              <w:t>SRO</w:t>
            </w:r>
          </w:p>
        </w:tc>
        <w:tc>
          <w:tcPr>
            <w:tcW w:w="2278" w:type="dxa"/>
          </w:tcPr>
          <w:p w14:paraId="429122F6" w14:textId="77777777" w:rsidR="00D20FB0" w:rsidRPr="00587DF1" w:rsidRDefault="00D20FB0" w:rsidP="00D20FB0">
            <w:pPr>
              <w:spacing w:after="0"/>
              <w:rPr>
                <w:rFonts w:ascii="Arial" w:eastAsia="Arial" w:hAnsi="Arial" w:cs="Arial"/>
              </w:rPr>
            </w:pPr>
            <w:r w:rsidRPr="00587DF1">
              <w:rPr>
                <w:rFonts w:ascii="Arial" w:eastAsia="Arial" w:hAnsi="Arial" w:cs="Arial"/>
              </w:rPr>
              <w:t>Competitive tender</w:t>
            </w:r>
          </w:p>
        </w:tc>
      </w:tr>
      <w:bookmarkEnd w:id="493"/>
    </w:tbl>
    <w:p w14:paraId="27C5F41F" w14:textId="77777777" w:rsidR="00D20FB0" w:rsidRDefault="00D20FB0" w:rsidP="00D20FB0">
      <w:pPr>
        <w:spacing w:after="0" w:line="240" w:lineRule="auto"/>
        <w:rPr>
          <w:rFonts w:ascii="Arial" w:eastAsia="Arial" w:hAnsi="Arial" w:cs="Arial"/>
        </w:rPr>
      </w:pPr>
    </w:p>
    <w:p w14:paraId="70331EFA" w14:textId="3C84320F" w:rsidR="005D04DA" w:rsidRDefault="00E5260B" w:rsidP="00D20FB0">
      <w:pPr>
        <w:spacing w:after="0" w:line="240" w:lineRule="auto"/>
        <w:rPr>
          <w:rFonts w:ascii="Arial" w:eastAsia="Arial" w:hAnsi="Arial" w:cs="Arial"/>
        </w:rPr>
      </w:pPr>
      <w:r>
        <w:rPr>
          <w:rFonts w:ascii="Arial" w:eastAsia="Arial" w:hAnsi="Arial" w:cs="Arial"/>
        </w:rPr>
        <w:t xml:space="preserve">The fee requirement to continue the project to FBC stage is estimated at </w:t>
      </w:r>
      <w:r w:rsidRPr="00E5260B">
        <w:rPr>
          <w:rFonts w:ascii="Arial" w:eastAsia="Arial" w:hAnsi="Arial" w:cs="Arial"/>
          <w:b/>
          <w:bCs/>
        </w:rPr>
        <w:t>£</w:t>
      </w:r>
      <w:r w:rsidR="002B2926">
        <w:rPr>
          <w:rFonts w:ascii="Arial" w:eastAsia="Arial" w:hAnsi="Arial" w:cs="Arial"/>
          <w:b/>
          <w:bCs/>
        </w:rPr>
        <w:t>XXX</w:t>
      </w:r>
      <w:r w:rsidRPr="00E5260B">
        <w:rPr>
          <w:rFonts w:ascii="Arial" w:eastAsia="Arial" w:hAnsi="Arial" w:cs="Arial"/>
          <w:b/>
          <w:bCs/>
        </w:rPr>
        <w:t>m</w:t>
      </w:r>
      <w:r>
        <w:rPr>
          <w:rFonts w:ascii="Arial" w:eastAsia="Arial" w:hAnsi="Arial" w:cs="Arial"/>
        </w:rPr>
        <w:t>.</w:t>
      </w:r>
    </w:p>
    <w:p w14:paraId="7438553A" w14:textId="77777777" w:rsidR="005D04DA" w:rsidRPr="00587DF1" w:rsidRDefault="005D04DA" w:rsidP="00D20FB0">
      <w:pPr>
        <w:spacing w:after="0" w:line="240" w:lineRule="auto"/>
        <w:rPr>
          <w:rFonts w:ascii="Arial" w:eastAsia="Arial" w:hAnsi="Arial" w:cs="Arial"/>
        </w:rPr>
      </w:pPr>
    </w:p>
    <w:p w14:paraId="302A8E61" w14:textId="77777777" w:rsidR="00D20FB0" w:rsidRPr="00587DF1" w:rsidRDefault="00D20FB0" w:rsidP="00D20FB0">
      <w:pPr>
        <w:spacing w:after="0" w:line="240" w:lineRule="auto"/>
        <w:rPr>
          <w:rFonts w:ascii="Arial" w:eastAsia="Arial" w:hAnsi="Arial" w:cs="Arial"/>
        </w:rPr>
      </w:pPr>
    </w:p>
    <w:p w14:paraId="6BA4DFE6" w14:textId="77777777" w:rsidR="00D20FB0" w:rsidRPr="00587DF1" w:rsidRDefault="00D20FB0" w:rsidP="005E0D57">
      <w:pPr>
        <w:numPr>
          <w:ilvl w:val="2"/>
          <w:numId w:val="39"/>
        </w:numPr>
        <w:pBdr>
          <w:top w:val="nil"/>
          <w:left w:val="nil"/>
          <w:bottom w:val="nil"/>
          <w:right w:val="nil"/>
          <w:between w:val="nil"/>
        </w:pBdr>
        <w:tabs>
          <w:tab w:val="left" w:pos="567"/>
        </w:tabs>
        <w:jc w:val="both"/>
        <w:rPr>
          <w:rFonts w:ascii="Arial" w:eastAsia="Arial" w:hAnsi="Arial" w:cs="Arial"/>
          <w:color w:val="000000"/>
        </w:rPr>
      </w:pPr>
      <w:r w:rsidRPr="00587DF1">
        <w:rPr>
          <w:rFonts w:ascii="Arial" w:eastAsia="Arial" w:hAnsi="Arial" w:cs="Arial"/>
          <w:b/>
          <w:color w:val="000000"/>
        </w:rPr>
        <w:t>Contract management</w:t>
      </w:r>
    </w:p>
    <w:p w14:paraId="2F2E7164" w14:textId="6AA87404" w:rsidR="00D20FB0" w:rsidRPr="00587DF1" w:rsidRDefault="00D20FB0" w:rsidP="003E697D">
      <w:pPr>
        <w:spacing w:after="0"/>
        <w:rPr>
          <w:rFonts w:ascii="Arial" w:eastAsia="Arial" w:hAnsi="Arial" w:cs="Arial"/>
        </w:rPr>
      </w:pPr>
      <w:r w:rsidRPr="00587DF1">
        <w:rPr>
          <w:rFonts w:ascii="Arial" w:eastAsia="Arial" w:hAnsi="Arial" w:cs="Arial"/>
        </w:rPr>
        <w:t>The project’s professional advisors are procured competitively using frameworks where appropriate (see table above). Advisors are appointed under NHS standard terms and conditions, and are managed at a workstream level. All advisors have a pre-agreed scope and schedule of deliverables which are matched to the project programme. These are reviewed regularly, and payments are made upon completion of pre-agreed outputs to a satisfactory standard.</w:t>
      </w:r>
    </w:p>
    <w:p w14:paraId="23C0E677" w14:textId="77777777" w:rsidR="00D20FB0" w:rsidRPr="00587DF1" w:rsidRDefault="00D20FB0" w:rsidP="00D20FB0">
      <w:pPr>
        <w:spacing w:after="0" w:line="240" w:lineRule="auto"/>
        <w:rPr>
          <w:rFonts w:ascii="Arial" w:eastAsia="Arial" w:hAnsi="Arial" w:cs="Arial"/>
        </w:rPr>
      </w:pPr>
    </w:p>
    <w:p w14:paraId="3A56349A" w14:textId="6BB12081" w:rsidR="00D20FB0" w:rsidRPr="00587DF1" w:rsidRDefault="00D20FB0" w:rsidP="003E697D">
      <w:pPr>
        <w:spacing w:after="0"/>
        <w:rPr>
          <w:rFonts w:ascii="Arial" w:eastAsia="Arial" w:hAnsi="Arial" w:cs="Arial"/>
        </w:rPr>
      </w:pPr>
      <w:r w:rsidRPr="00587DF1">
        <w:rPr>
          <w:rFonts w:ascii="Arial" w:eastAsia="Arial" w:hAnsi="Arial" w:cs="Arial"/>
        </w:rPr>
        <w:t xml:space="preserve">The proposed contract management arrangements for the main contractor are described in section </w:t>
      </w:r>
      <w:r w:rsidR="00A05747">
        <w:rPr>
          <w:rFonts w:ascii="Arial" w:eastAsia="Arial" w:hAnsi="Arial" w:cs="Arial"/>
        </w:rPr>
        <w:fldChar w:fldCharType="begin"/>
      </w:r>
      <w:r w:rsidR="00A05747">
        <w:rPr>
          <w:rFonts w:ascii="Arial" w:eastAsia="Arial" w:hAnsi="Arial" w:cs="Arial"/>
        </w:rPr>
        <w:instrText xml:space="preserve"> REF _Ref30077328 \r \h </w:instrText>
      </w:r>
      <w:r w:rsidR="00A05747">
        <w:rPr>
          <w:rFonts w:ascii="Arial" w:eastAsia="Arial" w:hAnsi="Arial" w:cs="Arial"/>
        </w:rPr>
      </w:r>
      <w:r w:rsidR="00A05747">
        <w:rPr>
          <w:rFonts w:ascii="Arial" w:eastAsia="Arial" w:hAnsi="Arial" w:cs="Arial"/>
        </w:rPr>
        <w:fldChar w:fldCharType="separate"/>
      </w:r>
      <w:r w:rsidR="00A936CD">
        <w:rPr>
          <w:rFonts w:ascii="Arial" w:eastAsia="Arial" w:hAnsi="Arial" w:cs="Arial"/>
        </w:rPr>
        <w:t>7.6</w:t>
      </w:r>
      <w:r w:rsidR="00A05747">
        <w:rPr>
          <w:rFonts w:ascii="Arial" w:eastAsia="Arial" w:hAnsi="Arial" w:cs="Arial"/>
        </w:rPr>
        <w:fldChar w:fldCharType="end"/>
      </w:r>
      <w:r w:rsidR="00A05747">
        <w:rPr>
          <w:rFonts w:ascii="Arial" w:eastAsia="Arial" w:hAnsi="Arial" w:cs="Arial"/>
        </w:rPr>
        <w:t xml:space="preserve"> </w:t>
      </w:r>
      <w:r w:rsidRPr="00587DF1">
        <w:rPr>
          <w:rFonts w:ascii="Arial" w:eastAsia="Arial" w:hAnsi="Arial" w:cs="Arial"/>
        </w:rPr>
        <w:t>of the Commercial Case.</w:t>
      </w:r>
    </w:p>
    <w:p w14:paraId="182CDBD4" w14:textId="77777777" w:rsidR="00D20FB0" w:rsidRPr="00587DF1" w:rsidRDefault="00D20FB0" w:rsidP="00D20FB0">
      <w:pPr>
        <w:spacing w:after="0" w:line="240" w:lineRule="auto"/>
        <w:rPr>
          <w:rFonts w:ascii="Arial" w:eastAsia="Arial" w:hAnsi="Arial" w:cs="Arial"/>
          <w:highlight w:val="yellow"/>
        </w:rPr>
      </w:pPr>
    </w:p>
    <w:p w14:paraId="0BFA0C5D" w14:textId="77777777" w:rsidR="00D20FB0" w:rsidRPr="00587DF1" w:rsidRDefault="00D20FB0" w:rsidP="00D20FB0">
      <w:pPr>
        <w:spacing w:after="0" w:line="240" w:lineRule="auto"/>
        <w:rPr>
          <w:rFonts w:ascii="Arial" w:eastAsia="Arial" w:hAnsi="Arial" w:cs="Arial"/>
        </w:rPr>
      </w:pPr>
    </w:p>
    <w:p w14:paraId="12B9160B" w14:textId="4F7C11AA" w:rsidR="00D20FB0" w:rsidRPr="00587DF1" w:rsidRDefault="00D20FB0" w:rsidP="005E0D57">
      <w:pPr>
        <w:pStyle w:val="Heading2"/>
        <w:numPr>
          <w:ilvl w:val="1"/>
          <w:numId w:val="39"/>
        </w:numPr>
        <w:rPr>
          <w:rFonts w:ascii="Arial" w:eastAsia="Arial" w:hAnsi="Arial" w:cs="Arial"/>
        </w:rPr>
      </w:pPr>
      <w:bookmarkStart w:id="494" w:name="_Ref27746178"/>
      <w:bookmarkStart w:id="495" w:name="_Toc32842783"/>
      <w:r w:rsidRPr="00587DF1">
        <w:rPr>
          <w:rFonts w:ascii="Arial" w:eastAsia="Arial" w:hAnsi="Arial" w:cs="Arial"/>
        </w:rPr>
        <w:t>Programme milestones</w:t>
      </w:r>
      <w:bookmarkEnd w:id="494"/>
      <w:bookmarkEnd w:id="495"/>
    </w:p>
    <w:p w14:paraId="618F57B2" w14:textId="77777777" w:rsidR="00D20FB0" w:rsidRPr="00587DF1" w:rsidRDefault="00D20FB0" w:rsidP="00D20FB0">
      <w:pPr>
        <w:spacing w:after="0" w:line="240" w:lineRule="auto"/>
        <w:rPr>
          <w:rFonts w:ascii="Arial" w:eastAsia="Arial" w:hAnsi="Arial" w:cs="Arial"/>
          <w:highlight w:val="yellow"/>
        </w:rPr>
      </w:pPr>
    </w:p>
    <w:p w14:paraId="53242E3D" w14:textId="3039558E" w:rsidR="00D20FB0" w:rsidRPr="00587DF1" w:rsidRDefault="00D20FB0" w:rsidP="00D20FB0">
      <w:pPr>
        <w:spacing w:after="0"/>
        <w:rPr>
          <w:rFonts w:ascii="Arial" w:eastAsia="Arial" w:hAnsi="Arial" w:cs="Arial"/>
        </w:rPr>
      </w:pPr>
      <w:bookmarkStart w:id="496" w:name="_Hlk12885805"/>
      <w:r w:rsidRPr="00587DF1">
        <w:rPr>
          <w:rFonts w:ascii="Arial" w:eastAsia="Arial" w:hAnsi="Arial" w:cs="Arial"/>
        </w:rPr>
        <w:t xml:space="preserve">The project programme </w:t>
      </w:r>
      <w:r w:rsidR="00CC57B7">
        <w:rPr>
          <w:rFonts w:ascii="Arial" w:eastAsia="Arial" w:hAnsi="Arial" w:cs="Arial"/>
        </w:rPr>
        <w:t xml:space="preserve">is included at Appendix 8C. It </w:t>
      </w:r>
      <w:r w:rsidRPr="00587DF1">
        <w:rPr>
          <w:rFonts w:ascii="Arial" w:eastAsia="Arial" w:hAnsi="Arial" w:cs="Arial"/>
        </w:rPr>
        <w:t>has been developed by the PMO in conjunction with workstream leads and executives. It is maintained by the PMO, who monitors progress against milestones. Elements of the programme are managed at a workstream level, and workstream leads are responsible for highlighting potential areas of programme pressure to the PMO. Any changes to the programme which affect the critical path, or significantly impact an area of float thereby increasing project risk, are shared with the Oriel Executive Board for acceptance.</w:t>
      </w:r>
    </w:p>
    <w:p w14:paraId="2E0ECD8D" w14:textId="77777777" w:rsidR="00D20FB0" w:rsidRPr="00587DF1" w:rsidRDefault="00D20FB0" w:rsidP="00D20FB0">
      <w:pPr>
        <w:spacing w:after="0"/>
        <w:rPr>
          <w:rFonts w:ascii="Arial" w:eastAsia="Arial" w:hAnsi="Arial" w:cs="Arial"/>
        </w:rPr>
      </w:pPr>
    </w:p>
    <w:p w14:paraId="08F06993" w14:textId="77777777" w:rsidR="00D20FB0" w:rsidRPr="00587DF1" w:rsidRDefault="00D20FB0" w:rsidP="00D20FB0">
      <w:pPr>
        <w:spacing w:after="0"/>
        <w:rPr>
          <w:rFonts w:ascii="Arial" w:eastAsia="Arial" w:hAnsi="Arial" w:cs="Arial"/>
        </w:rPr>
      </w:pPr>
      <w:r w:rsidRPr="00587DF1">
        <w:rPr>
          <w:rFonts w:ascii="Arial" w:eastAsia="Arial" w:hAnsi="Arial" w:cs="Arial"/>
        </w:rPr>
        <w:t>Key dependencies between the critical paths of Oriel, C&amp;I and the Whittington’s projects are monitored at regular meetings between these organisations and NHS regulators.</w:t>
      </w:r>
    </w:p>
    <w:p w14:paraId="0A0EED98" w14:textId="77777777" w:rsidR="00D20FB0" w:rsidRPr="00587DF1" w:rsidRDefault="00D20FB0" w:rsidP="00D20FB0">
      <w:pPr>
        <w:spacing w:after="0"/>
        <w:rPr>
          <w:rFonts w:ascii="Arial" w:eastAsia="Arial" w:hAnsi="Arial" w:cs="Arial"/>
        </w:rPr>
      </w:pPr>
    </w:p>
    <w:p w14:paraId="23CE932F" w14:textId="46F13390" w:rsidR="00E5260B" w:rsidRDefault="00D20FB0" w:rsidP="00D20FB0">
      <w:pPr>
        <w:spacing w:after="0"/>
        <w:rPr>
          <w:rFonts w:ascii="Arial" w:eastAsia="Arial" w:hAnsi="Arial" w:cs="Arial"/>
        </w:rPr>
      </w:pPr>
      <w:r w:rsidRPr="00587DF1">
        <w:rPr>
          <w:rFonts w:ascii="Arial" w:eastAsia="Arial" w:hAnsi="Arial" w:cs="Arial"/>
        </w:rPr>
        <w:t xml:space="preserve">The design programme will be developed by the architects at increasing level of detail at each stage. Contractors will be invited to submit detailed construction programmes during </w:t>
      </w:r>
      <w:r w:rsidRPr="00587DF1">
        <w:rPr>
          <w:rFonts w:ascii="Arial" w:eastAsia="Arial" w:hAnsi="Arial" w:cs="Arial"/>
        </w:rPr>
        <w:lastRenderedPageBreak/>
        <w:t>the</w:t>
      </w:r>
      <w:r w:rsidRPr="00587DF1">
        <w:rPr>
          <w:rFonts w:ascii="Arial" w:eastAsia="Arial" w:hAnsi="Arial" w:cs="Arial"/>
          <w:bCs/>
          <w:color w:val="000000"/>
        </w:rPr>
        <w:t xml:space="preserve"> </w:t>
      </w:r>
      <w:r w:rsidRPr="00587DF1">
        <w:rPr>
          <w:rFonts w:ascii="Arial" w:eastAsia="Arial" w:hAnsi="Arial" w:cs="Arial"/>
        </w:rPr>
        <w:t>tender process, which will provide certainty as to the building completion date. This will be included at FBC, along with the recommended preferred bidder.</w:t>
      </w:r>
    </w:p>
    <w:p w14:paraId="345CC921" w14:textId="77777777" w:rsidR="009537BA" w:rsidRDefault="009537BA" w:rsidP="00D20FB0">
      <w:pPr>
        <w:spacing w:after="0"/>
        <w:rPr>
          <w:rFonts w:ascii="Arial" w:eastAsia="Arial" w:hAnsi="Arial" w:cs="Arial"/>
        </w:rPr>
      </w:pPr>
    </w:p>
    <w:p w14:paraId="79002386" w14:textId="5B205929" w:rsidR="006477E4" w:rsidRDefault="006477E4" w:rsidP="00D20FB0">
      <w:pPr>
        <w:spacing w:after="0"/>
        <w:rPr>
          <w:rFonts w:ascii="Arial" w:eastAsia="Arial" w:hAnsi="Arial" w:cs="Arial"/>
        </w:rPr>
      </w:pPr>
      <w:r>
        <w:rPr>
          <w:rFonts w:ascii="Arial" w:eastAsia="Arial" w:hAnsi="Arial" w:cs="Arial"/>
        </w:rPr>
        <w:t>The critical path is shown below</w:t>
      </w:r>
      <w:r w:rsidR="00600E4C">
        <w:rPr>
          <w:rFonts w:ascii="Arial" w:eastAsia="Arial" w:hAnsi="Arial" w:cs="Arial"/>
        </w:rPr>
        <w:t>:</w:t>
      </w:r>
    </w:p>
    <w:p w14:paraId="142690FE" w14:textId="5FB5D79B" w:rsidR="006477E4" w:rsidRDefault="006477E4" w:rsidP="006477E4">
      <w:pPr>
        <w:pStyle w:val="Caption"/>
      </w:pPr>
      <w:r>
        <w:t xml:space="preserve">Figure </w:t>
      </w:r>
      <w:r w:rsidR="00320059">
        <w:fldChar w:fldCharType="begin"/>
      </w:r>
      <w:r w:rsidR="00320059">
        <w:instrText xml:space="preserve"> SEQ Figure \* ARABIC </w:instrText>
      </w:r>
      <w:r w:rsidR="00320059">
        <w:fldChar w:fldCharType="separate"/>
      </w:r>
      <w:r w:rsidR="00A936CD">
        <w:rPr>
          <w:noProof/>
        </w:rPr>
        <w:t>24</w:t>
      </w:r>
      <w:r w:rsidR="00320059">
        <w:fldChar w:fldCharType="end"/>
      </w:r>
      <w:r>
        <w:t xml:space="preserve">: </w:t>
      </w:r>
      <w:r>
        <w:rPr>
          <w:b w:val="0"/>
          <w:bCs w:val="0"/>
        </w:rPr>
        <w:t>Programme critical path</w:t>
      </w:r>
    </w:p>
    <w:p w14:paraId="2695280E" w14:textId="77777777" w:rsidR="006477E4" w:rsidRPr="00587DF1" w:rsidRDefault="006477E4" w:rsidP="006477E4">
      <w:pPr>
        <w:spacing w:after="0"/>
        <w:ind w:left="-851"/>
        <w:rPr>
          <w:rFonts w:ascii="Arial" w:eastAsia="Arial" w:hAnsi="Arial" w:cs="Arial"/>
        </w:rPr>
      </w:pPr>
      <w:r>
        <w:rPr>
          <w:noProof/>
        </w:rPr>
        <w:drawing>
          <wp:inline distT="0" distB="0" distL="0" distR="0" wp14:anchorId="5A93819E" wp14:editId="67E07A1D">
            <wp:extent cx="6770714" cy="3665157"/>
            <wp:effectExtent l="0" t="0" r="0" b="0"/>
            <wp:docPr id="1483731204" name="Picture 148373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81744" cy="3671128"/>
                    </a:xfrm>
                    <a:prstGeom prst="rect">
                      <a:avLst/>
                    </a:prstGeom>
                  </pic:spPr>
                </pic:pic>
              </a:graphicData>
            </a:graphic>
          </wp:inline>
        </w:drawing>
      </w:r>
    </w:p>
    <w:p w14:paraId="432E7B60" w14:textId="77777777" w:rsidR="00D20FB0" w:rsidRPr="00587DF1" w:rsidRDefault="00D20FB0" w:rsidP="00D20FB0">
      <w:pPr>
        <w:spacing w:after="0"/>
        <w:rPr>
          <w:rFonts w:ascii="Arial" w:eastAsia="Arial" w:hAnsi="Arial" w:cs="Arial"/>
        </w:rPr>
      </w:pPr>
    </w:p>
    <w:p w14:paraId="693FE6FE" w14:textId="77777777" w:rsidR="00D20FB0" w:rsidRPr="00587DF1" w:rsidRDefault="00D20FB0" w:rsidP="00D20FB0">
      <w:pPr>
        <w:spacing w:after="0"/>
        <w:rPr>
          <w:rFonts w:ascii="Arial" w:eastAsia="Arial" w:hAnsi="Arial" w:cs="Arial"/>
        </w:rPr>
      </w:pPr>
      <w:r w:rsidRPr="00587DF1">
        <w:rPr>
          <w:rFonts w:ascii="Arial" w:eastAsia="Arial" w:hAnsi="Arial" w:cs="Arial"/>
        </w:rPr>
        <w:t>The key project milestones are shown in the table below.</w:t>
      </w:r>
    </w:p>
    <w:bookmarkEnd w:id="496"/>
    <w:p w14:paraId="538D854D" w14:textId="77777777" w:rsidR="00D20FB0" w:rsidRPr="00587DF1" w:rsidRDefault="00D20FB0" w:rsidP="00D20FB0">
      <w:pPr>
        <w:spacing w:after="0" w:line="240" w:lineRule="auto"/>
        <w:rPr>
          <w:rFonts w:ascii="Arial" w:eastAsia="Arial" w:hAnsi="Arial" w:cs="Arial"/>
        </w:rPr>
      </w:pPr>
    </w:p>
    <w:p w14:paraId="773FAB71" w14:textId="21761F62" w:rsidR="00D20FB0" w:rsidRPr="00587DF1" w:rsidRDefault="00D20FB0" w:rsidP="00CC57B7">
      <w:pPr>
        <w:pStyle w:val="Caption"/>
        <w:spacing w:before="0"/>
      </w:pPr>
      <w:r w:rsidRPr="00587DF1">
        <w:t xml:space="preserve">Table </w:t>
      </w:r>
      <w:r w:rsidRPr="00587DF1">
        <w:fldChar w:fldCharType="begin"/>
      </w:r>
      <w:r w:rsidRPr="00587DF1">
        <w:instrText xml:space="preserve"> SEQ Table \* ARABIC </w:instrText>
      </w:r>
      <w:r w:rsidRPr="00587DF1">
        <w:fldChar w:fldCharType="separate"/>
      </w:r>
      <w:r w:rsidR="00A936CD">
        <w:rPr>
          <w:noProof/>
        </w:rPr>
        <w:t>42</w:t>
      </w:r>
      <w:r w:rsidRPr="00587DF1">
        <w:fldChar w:fldCharType="end"/>
      </w:r>
      <w:r w:rsidRPr="00587DF1">
        <w:t>:</w:t>
      </w:r>
      <w:r w:rsidRPr="00587DF1">
        <w:rPr>
          <w:noProof/>
        </w:rPr>
        <w:t xml:space="preserve"> </w:t>
      </w:r>
      <w:r w:rsidRPr="00587DF1">
        <w:rPr>
          <w:b w:val="0"/>
          <w:bCs w:val="0"/>
          <w:noProof/>
        </w:rPr>
        <w:t>Key project milestones</w:t>
      </w:r>
    </w:p>
    <w:tbl>
      <w:tblPr>
        <w:tblW w:w="670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894"/>
      </w:tblGrid>
      <w:tr w:rsidR="0025490F" w:rsidRPr="0025490F" w14:paraId="1ADDFA31" w14:textId="77777777" w:rsidTr="00CC57B7">
        <w:trPr>
          <w:trHeight w:val="288"/>
        </w:trPr>
        <w:tc>
          <w:tcPr>
            <w:tcW w:w="4815" w:type="dxa"/>
            <w:shd w:val="clear" w:color="auto" w:fill="4F81BD"/>
            <w:vAlign w:val="bottom"/>
            <w:hideMark/>
          </w:tcPr>
          <w:p w14:paraId="60A11166" w14:textId="77777777" w:rsidR="00D20FB0" w:rsidRPr="0025490F" w:rsidRDefault="00D20FB0" w:rsidP="00D20FB0">
            <w:pPr>
              <w:spacing w:after="0"/>
              <w:rPr>
                <w:rFonts w:ascii="Arial" w:eastAsia="Arial" w:hAnsi="Arial" w:cs="Arial"/>
                <w:b/>
                <w:bCs/>
                <w:color w:val="FFFFFF" w:themeColor="background1"/>
              </w:rPr>
            </w:pPr>
            <w:r w:rsidRPr="0025490F">
              <w:rPr>
                <w:rFonts w:ascii="Arial" w:eastAsia="Arial" w:hAnsi="Arial" w:cs="Arial"/>
                <w:b/>
                <w:bCs/>
                <w:color w:val="FFFFFF" w:themeColor="background1"/>
              </w:rPr>
              <w:t>Milestone</w:t>
            </w:r>
          </w:p>
        </w:tc>
        <w:tc>
          <w:tcPr>
            <w:tcW w:w="1894" w:type="dxa"/>
            <w:shd w:val="clear" w:color="auto" w:fill="4F81BD"/>
            <w:noWrap/>
            <w:vAlign w:val="bottom"/>
            <w:hideMark/>
          </w:tcPr>
          <w:p w14:paraId="1E255FEE" w14:textId="77777777" w:rsidR="00D20FB0" w:rsidRPr="0025490F" w:rsidRDefault="00D20FB0" w:rsidP="00D20FB0">
            <w:pPr>
              <w:spacing w:after="0"/>
              <w:rPr>
                <w:rFonts w:ascii="Arial" w:eastAsia="Arial" w:hAnsi="Arial" w:cs="Arial"/>
                <w:b/>
                <w:bCs/>
                <w:color w:val="FFFFFF" w:themeColor="background1"/>
              </w:rPr>
            </w:pPr>
            <w:r w:rsidRPr="0025490F">
              <w:rPr>
                <w:rFonts w:ascii="Arial" w:eastAsia="Arial" w:hAnsi="Arial" w:cs="Arial"/>
                <w:b/>
                <w:bCs/>
                <w:color w:val="FFFFFF" w:themeColor="background1"/>
              </w:rPr>
              <w:t>Date</w:t>
            </w:r>
          </w:p>
        </w:tc>
      </w:tr>
      <w:tr w:rsidR="002D79C2" w:rsidRPr="00587DF1" w14:paraId="3183B49F" w14:textId="77777777" w:rsidTr="00CC57B7">
        <w:trPr>
          <w:trHeight w:val="288"/>
        </w:trPr>
        <w:tc>
          <w:tcPr>
            <w:tcW w:w="4815" w:type="dxa"/>
            <w:shd w:val="clear" w:color="auto" w:fill="auto"/>
            <w:vAlign w:val="bottom"/>
            <w:hideMark/>
          </w:tcPr>
          <w:p w14:paraId="50D3DD47" w14:textId="77777777" w:rsidR="002D79C2" w:rsidRPr="00587DF1" w:rsidRDefault="002D79C2" w:rsidP="002D79C2">
            <w:pPr>
              <w:spacing w:after="0"/>
              <w:rPr>
                <w:rFonts w:ascii="Arial" w:eastAsia="Arial" w:hAnsi="Arial" w:cs="Arial"/>
              </w:rPr>
            </w:pPr>
            <w:r w:rsidRPr="00587DF1">
              <w:rPr>
                <w:rFonts w:ascii="Arial" w:eastAsia="Arial" w:hAnsi="Arial" w:cs="Arial"/>
              </w:rPr>
              <w:t>OBC submission to regulators</w:t>
            </w:r>
          </w:p>
        </w:tc>
        <w:tc>
          <w:tcPr>
            <w:tcW w:w="1894" w:type="dxa"/>
            <w:shd w:val="clear" w:color="auto" w:fill="auto"/>
            <w:noWrap/>
            <w:hideMark/>
          </w:tcPr>
          <w:p w14:paraId="6ADCBE76" w14:textId="77777777" w:rsidR="002D79C2" w:rsidRPr="00587DF1" w:rsidRDefault="002D79C2" w:rsidP="006477E4">
            <w:pPr>
              <w:spacing w:after="0"/>
              <w:jc w:val="right"/>
              <w:rPr>
                <w:rFonts w:ascii="Arial" w:eastAsia="Arial" w:hAnsi="Arial" w:cs="Arial"/>
              </w:rPr>
            </w:pPr>
            <w:r w:rsidRPr="00732F67">
              <w:rPr>
                <w:rFonts w:ascii="Arial" w:eastAsia="Arial" w:hAnsi="Arial" w:cs="Arial"/>
              </w:rPr>
              <w:t>Feb-20</w:t>
            </w:r>
          </w:p>
        </w:tc>
      </w:tr>
      <w:tr w:rsidR="002D79C2" w:rsidRPr="00587DF1" w14:paraId="23885DA1" w14:textId="77777777" w:rsidTr="00CC57B7">
        <w:trPr>
          <w:trHeight w:val="288"/>
        </w:trPr>
        <w:tc>
          <w:tcPr>
            <w:tcW w:w="4815" w:type="dxa"/>
            <w:shd w:val="clear" w:color="auto" w:fill="auto"/>
            <w:vAlign w:val="bottom"/>
            <w:hideMark/>
          </w:tcPr>
          <w:p w14:paraId="24B50610" w14:textId="77777777" w:rsidR="002D79C2" w:rsidRPr="00587DF1" w:rsidRDefault="002D79C2" w:rsidP="002D79C2">
            <w:pPr>
              <w:spacing w:after="0"/>
              <w:rPr>
                <w:rFonts w:ascii="Arial" w:eastAsia="Arial" w:hAnsi="Arial" w:cs="Arial"/>
              </w:rPr>
            </w:pPr>
            <w:r w:rsidRPr="00587DF1">
              <w:rPr>
                <w:rFonts w:ascii="Arial" w:eastAsia="Arial" w:hAnsi="Arial" w:cs="Arial"/>
              </w:rPr>
              <w:t>Contractor procurement</w:t>
            </w:r>
            <w:r>
              <w:rPr>
                <w:rFonts w:ascii="Arial" w:eastAsia="Arial" w:hAnsi="Arial" w:cs="Arial"/>
              </w:rPr>
              <w:t xml:space="preserve"> commences</w:t>
            </w:r>
          </w:p>
        </w:tc>
        <w:tc>
          <w:tcPr>
            <w:tcW w:w="1894" w:type="dxa"/>
            <w:shd w:val="clear" w:color="auto" w:fill="auto"/>
            <w:noWrap/>
            <w:hideMark/>
          </w:tcPr>
          <w:p w14:paraId="4FB66688" w14:textId="77777777" w:rsidR="002D79C2" w:rsidRPr="00587DF1" w:rsidRDefault="002D79C2" w:rsidP="006477E4">
            <w:pPr>
              <w:spacing w:after="0"/>
              <w:jc w:val="right"/>
              <w:rPr>
                <w:rFonts w:ascii="Arial" w:eastAsia="Arial" w:hAnsi="Arial" w:cs="Arial"/>
              </w:rPr>
            </w:pPr>
            <w:r w:rsidRPr="00732F67">
              <w:rPr>
                <w:rFonts w:ascii="Arial" w:eastAsia="Arial" w:hAnsi="Arial" w:cs="Arial"/>
              </w:rPr>
              <w:t>Mar-20</w:t>
            </w:r>
          </w:p>
        </w:tc>
      </w:tr>
      <w:tr w:rsidR="002D79C2" w:rsidRPr="00587DF1" w14:paraId="551218FB" w14:textId="77777777" w:rsidTr="00CC57B7">
        <w:trPr>
          <w:trHeight w:val="288"/>
        </w:trPr>
        <w:tc>
          <w:tcPr>
            <w:tcW w:w="4815" w:type="dxa"/>
            <w:shd w:val="clear" w:color="auto" w:fill="auto"/>
            <w:vAlign w:val="bottom"/>
            <w:hideMark/>
          </w:tcPr>
          <w:p w14:paraId="417CA462" w14:textId="77777777" w:rsidR="002D79C2" w:rsidRPr="00587DF1" w:rsidRDefault="002D79C2" w:rsidP="002D79C2">
            <w:pPr>
              <w:spacing w:after="0"/>
              <w:rPr>
                <w:rFonts w:ascii="Arial" w:eastAsia="Arial" w:hAnsi="Arial" w:cs="Arial"/>
              </w:rPr>
            </w:pPr>
            <w:r w:rsidRPr="00587DF1">
              <w:rPr>
                <w:rFonts w:ascii="Arial" w:eastAsia="Arial" w:hAnsi="Arial" w:cs="Arial"/>
              </w:rPr>
              <w:t>Marketing of City Road commences</w:t>
            </w:r>
          </w:p>
        </w:tc>
        <w:tc>
          <w:tcPr>
            <w:tcW w:w="1894" w:type="dxa"/>
            <w:shd w:val="clear" w:color="auto" w:fill="auto"/>
            <w:noWrap/>
            <w:hideMark/>
          </w:tcPr>
          <w:p w14:paraId="65BB1499" w14:textId="77777777" w:rsidR="002D79C2" w:rsidRPr="00587DF1" w:rsidRDefault="002D79C2" w:rsidP="006477E4">
            <w:pPr>
              <w:spacing w:after="0"/>
              <w:jc w:val="right"/>
              <w:rPr>
                <w:rFonts w:ascii="Arial" w:eastAsia="Arial" w:hAnsi="Arial" w:cs="Arial"/>
              </w:rPr>
            </w:pPr>
            <w:r w:rsidRPr="00732F67">
              <w:rPr>
                <w:rFonts w:ascii="Arial" w:eastAsia="Arial" w:hAnsi="Arial" w:cs="Arial"/>
              </w:rPr>
              <w:t>Mar-20</w:t>
            </w:r>
          </w:p>
        </w:tc>
      </w:tr>
      <w:tr w:rsidR="002D79C2" w:rsidRPr="00587DF1" w14:paraId="676C8968" w14:textId="77777777" w:rsidTr="00CC57B7">
        <w:trPr>
          <w:trHeight w:val="288"/>
        </w:trPr>
        <w:tc>
          <w:tcPr>
            <w:tcW w:w="4815" w:type="dxa"/>
            <w:shd w:val="clear" w:color="auto" w:fill="auto"/>
            <w:vAlign w:val="bottom"/>
            <w:hideMark/>
          </w:tcPr>
          <w:p w14:paraId="32554880" w14:textId="77777777" w:rsidR="002D79C2" w:rsidRPr="00587DF1" w:rsidRDefault="002D79C2" w:rsidP="002D79C2">
            <w:pPr>
              <w:spacing w:after="0"/>
              <w:rPr>
                <w:rFonts w:ascii="Arial" w:eastAsia="Arial" w:hAnsi="Arial" w:cs="Arial"/>
              </w:rPr>
            </w:pPr>
            <w:r w:rsidRPr="00587DF1">
              <w:rPr>
                <w:rFonts w:ascii="Arial" w:eastAsia="Arial" w:hAnsi="Arial" w:cs="Arial"/>
              </w:rPr>
              <w:t>OBC approval</w:t>
            </w:r>
          </w:p>
        </w:tc>
        <w:tc>
          <w:tcPr>
            <w:tcW w:w="1894" w:type="dxa"/>
            <w:shd w:val="clear" w:color="auto" w:fill="auto"/>
            <w:noWrap/>
            <w:hideMark/>
          </w:tcPr>
          <w:p w14:paraId="0CCB1EE2" w14:textId="77777777" w:rsidR="002D79C2" w:rsidRPr="00587DF1" w:rsidRDefault="002D79C2" w:rsidP="006477E4">
            <w:pPr>
              <w:spacing w:after="0"/>
              <w:jc w:val="right"/>
              <w:rPr>
                <w:rFonts w:ascii="Arial" w:eastAsia="Arial" w:hAnsi="Arial" w:cs="Arial"/>
              </w:rPr>
            </w:pPr>
            <w:r w:rsidRPr="00732F67">
              <w:rPr>
                <w:rFonts w:ascii="Arial" w:eastAsia="Arial" w:hAnsi="Arial" w:cs="Arial"/>
              </w:rPr>
              <w:t>Sep-20</w:t>
            </w:r>
          </w:p>
        </w:tc>
      </w:tr>
      <w:tr w:rsidR="002D79C2" w:rsidRPr="00587DF1" w14:paraId="28A5C1C0" w14:textId="77777777" w:rsidTr="00CC57B7">
        <w:trPr>
          <w:trHeight w:val="288"/>
        </w:trPr>
        <w:tc>
          <w:tcPr>
            <w:tcW w:w="4815" w:type="dxa"/>
            <w:shd w:val="clear" w:color="auto" w:fill="auto"/>
            <w:vAlign w:val="bottom"/>
            <w:hideMark/>
          </w:tcPr>
          <w:p w14:paraId="49E05BA8" w14:textId="018768A6" w:rsidR="002D79C2" w:rsidRPr="00587DF1" w:rsidRDefault="00967C47" w:rsidP="002D79C2">
            <w:pPr>
              <w:spacing w:after="0"/>
              <w:rPr>
                <w:rFonts w:ascii="Arial" w:eastAsia="Arial" w:hAnsi="Arial" w:cs="Arial"/>
              </w:rPr>
            </w:pPr>
            <w:r>
              <w:rPr>
                <w:rFonts w:ascii="Arial" w:eastAsia="Arial" w:hAnsi="Arial" w:cs="Arial"/>
              </w:rPr>
              <w:t>Town</w:t>
            </w:r>
            <w:r w:rsidR="002D79C2" w:rsidRPr="00587DF1">
              <w:rPr>
                <w:rFonts w:ascii="Arial" w:eastAsia="Arial" w:hAnsi="Arial" w:cs="Arial"/>
              </w:rPr>
              <w:t xml:space="preserve"> planning submission</w:t>
            </w:r>
          </w:p>
        </w:tc>
        <w:tc>
          <w:tcPr>
            <w:tcW w:w="1894" w:type="dxa"/>
            <w:shd w:val="clear" w:color="auto" w:fill="auto"/>
            <w:noWrap/>
            <w:hideMark/>
          </w:tcPr>
          <w:p w14:paraId="3F29260E" w14:textId="77777777" w:rsidR="002D79C2" w:rsidRPr="00587DF1" w:rsidRDefault="002D79C2" w:rsidP="006477E4">
            <w:pPr>
              <w:spacing w:after="0"/>
              <w:jc w:val="right"/>
              <w:rPr>
                <w:rFonts w:ascii="Arial" w:eastAsia="Arial" w:hAnsi="Arial" w:cs="Arial"/>
              </w:rPr>
            </w:pPr>
            <w:r w:rsidRPr="00732F67">
              <w:rPr>
                <w:rFonts w:ascii="Arial" w:eastAsia="Arial" w:hAnsi="Arial" w:cs="Arial"/>
              </w:rPr>
              <w:t>Sep-20</w:t>
            </w:r>
          </w:p>
        </w:tc>
      </w:tr>
      <w:tr w:rsidR="00D20FB0" w:rsidRPr="00587DF1" w14:paraId="63C19A75" w14:textId="77777777" w:rsidTr="00CC57B7">
        <w:trPr>
          <w:trHeight w:val="288"/>
        </w:trPr>
        <w:tc>
          <w:tcPr>
            <w:tcW w:w="4815" w:type="dxa"/>
            <w:shd w:val="clear" w:color="auto" w:fill="auto"/>
            <w:vAlign w:val="bottom"/>
            <w:hideMark/>
          </w:tcPr>
          <w:p w14:paraId="7A06B458" w14:textId="0BA8AA34" w:rsidR="00D20FB0" w:rsidRPr="00587DF1" w:rsidRDefault="00E5260B" w:rsidP="00D20FB0">
            <w:pPr>
              <w:spacing w:after="0"/>
              <w:rPr>
                <w:rFonts w:ascii="Arial" w:eastAsia="Arial" w:hAnsi="Arial" w:cs="Arial"/>
              </w:rPr>
            </w:pPr>
            <w:r>
              <w:rPr>
                <w:rFonts w:ascii="Arial" w:eastAsia="Arial" w:hAnsi="Arial" w:cs="Arial"/>
              </w:rPr>
              <w:t>Resolution to grant town</w:t>
            </w:r>
            <w:r w:rsidR="00D20FB0" w:rsidRPr="00587DF1">
              <w:rPr>
                <w:rFonts w:ascii="Arial" w:eastAsia="Arial" w:hAnsi="Arial" w:cs="Arial"/>
              </w:rPr>
              <w:t xml:space="preserve"> planning (target date)</w:t>
            </w:r>
          </w:p>
        </w:tc>
        <w:tc>
          <w:tcPr>
            <w:tcW w:w="1894" w:type="dxa"/>
            <w:shd w:val="clear" w:color="auto" w:fill="auto"/>
            <w:noWrap/>
            <w:hideMark/>
          </w:tcPr>
          <w:p w14:paraId="6E418CC0" w14:textId="6356891D" w:rsidR="00D20FB0" w:rsidRPr="00587DF1" w:rsidRDefault="00E5260B" w:rsidP="006477E4">
            <w:pPr>
              <w:spacing w:after="0"/>
              <w:jc w:val="right"/>
              <w:rPr>
                <w:rFonts w:ascii="Arial" w:eastAsia="Arial" w:hAnsi="Arial" w:cs="Arial"/>
              </w:rPr>
            </w:pPr>
            <w:r>
              <w:rPr>
                <w:rFonts w:ascii="Arial" w:eastAsia="Arial" w:hAnsi="Arial" w:cs="Arial"/>
              </w:rPr>
              <w:t>Feb-21</w:t>
            </w:r>
          </w:p>
        </w:tc>
      </w:tr>
      <w:tr w:rsidR="00D20FB0" w:rsidRPr="00587DF1" w14:paraId="200F1AFB" w14:textId="77777777" w:rsidTr="00CC57B7">
        <w:trPr>
          <w:trHeight w:val="288"/>
        </w:trPr>
        <w:tc>
          <w:tcPr>
            <w:tcW w:w="4815" w:type="dxa"/>
            <w:shd w:val="clear" w:color="auto" w:fill="auto"/>
            <w:vAlign w:val="bottom"/>
            <w:hideMark/>
          </w:tcPr>
          <w:p w14:paraId="154F6C53" w14:textId="77777777" w:rsidR="00D20FB0" w:rsidRPr="00587DF1" w:rsidRDefault="00D20FB0" w:rsidP="00D20FB0">
            <w:pPr>
              <w:spacing w:after="0"/>
              <w:rPr>
                <w:rFonts w:ascii="Arial" w:eastAsia="Arial" w:hAnsi="Arial" w:cs="Arial"/>
              </w:rPr>
            </w:pPr>
            <w:r w:rsidRPr="00587DF1">
              <w:rPr>
                <w:rFonts w:ascii="Arial" w:eastAsia="Arial" w:hAnsi="Arial" w:cs="Arial"/>
              </w:rPr>
              <w:t>Acquisition of Oriel site at St Pancras</w:t>
            </w:r>
          </w:p>
        </w:tc>
        <w:tc>
          <w:tcPr>
            <w:tcW w:w="1894" w:type="dxa"/>
            <w:shd w:val="clear" w:color="auto" w:fill="auto"/>
            <w:noWrap/>
            <w:hideMark/>
          </w:tcPr>
          <w:p w14:paraId="22FB5C42" w14:textId="0CE6B188" w:rsidR="00D20FB0" w:rsidRPr="00587DF1" w:rsidRDefault="00E5260B" w:rsidP="006477E4">
            <w:pPr>
              <w:spacing w:after="0"/>
              <w:jc w:val="right"/>
              <w:rPr>
                <w:rFonts w:ascii="Arial" w:eastAsia="Arial" w:hAnsi="Arial" w:cs="Arial"/>
              </w:rPr>
            </w:pPr>
            <w:r>
              <w:rPr>
                <w:rFonts w:ascii="Arial" w:eastAsia="Arial" w:hAnsi="Arial" w:cs="Arial"/>
              </w:rPr>
              <w:t>Mar-21</w:t>
            </w:r>
          </w:p>
        </w:tc>
      </w:tr>
      <w:tr w:rsidR="00D20FB0" w:rsidRPr="00587DF1" w14:paraId="05614C9D" w14:textId="77777777" w:rsidTr="00CC57B7">
        <w:trPr>
          <w:trHeight w:val="288"/>
        </w:trPr>
        <w:tc>
          <w:tcPr>
            <w:tcW w:w="4815" w:type="dxa"/>
            <w:shd w:val="clear" w:color="auto" w:fill="auto"/>
            <w:vAlign w:val="bottom"/>
            <w:hideMark/>
          </w:tcPr>
          <w:p w14:paraId="7E8AE233" w14:textId="4593297F" w:rsidR="00D20FB0" w:rsidRPr="00587DF1" w:rsidRDefault="00D20FB0" w:rsidP="00D20FB0">
            <w:pPr>
              <w:spacing w:after="0"/>
              <w:rPr>
                <w:rFonts w:ascii="Arial" w:eastAsia="Arial" w:hAnsi="Arial" w:cs="Arial"/>
              </w:rPr>
            </w:pPr>
            <w:r w:rsidRPr="00587DF1">
              <w:rPr>
                <w:rFonts w:ascii="Arial" w:eastAsia="Arial" w:hAnsi="Arial" w:cs="Arial"/>
              </w:rPr>
              <w:t>Contractor selection</w:t>
            </w:r>
            <w:r w:rsidR="00E5260B">
              <w:rPr>
                <w:rFonts w:ascii="Arial" w:eastAsia="Arial" w:hAnsi="Arial" w:cs="Arial"/>
              </w:rPr>
              <w:t xml:space="preserve"> and agree contract sum</w:t>
            </w:r>
          </w:p>
        </w:tc>
        <w:tc>
          <w:tcPr>
            <w:tcW w:w="1894" w:type="dxa"/>
            <w:shd w:val="clear" w:color="auto" w:fill="auto"/>
            <w:noWrap/>
            <w:hideMark/>
          </w:tcPr>
          <w:p w14:paraId="3114C89F" w14:textId="14F4ADBE" w:rsidR="00D20FB0" w:rsidRPr="00587DF1" w:rsidRDefault="00E5260B" w:rsidP="006477E4">
            <w:pPr>
              <w:spacing w:after="0"/>
              <w:jc w:val="right"/>
              <w:rPr>
                <w:rFonts w:ascii="Arial" w:eastAsia="Arial" w:hAnsi="Arial" w:cs="Arial"/>
              </w:rPr>
            </w:pPr>
            <w:r>
              <w:rPr>
                <w:rFonts w:ascii="Arial" w:eastAsia="Arial" w:hAnsi="Arial" w:cs="Arial"/>
              </w:rPr>
              <w:t>Jun-21</w:t>
            </w:r>
          </w:p>
        </w:tc>
      </w:tr>
      <w:tr w:rsidR="002D79C2" w:rsidRPr="00587DF1" w14:paraId="361C9F47" w14:textId="77777777" w:rsidTr="00CC57B7">
        <w:trPr>
          <w:trHeight w:val="288"/>
        </w:trPr>
        <w:tc>
          <w:tcPr>
            <w:tcW w:w="4815" w:type="dxa"/>
            <w:shd w:val="clear" w:color="auto" w:fill="auto"/>
            <w:vAlign w:val="bottom"/>
            <w:hideMark/>
          </w:tcPr>
          <w:p w14:paraId="00C4D624" w14:textId="77777777" w:rsidR="002D79C2" w:rsidRPr="00587DF1" w:rsidRDefault="002D79C2" w:rsidP="002D79C2">
            <w:pPr>
              <w:spacing w:after="0"/>
              <w:rPr>
                <w:rFonts w:ascii="Arial" w:eastAsia="Arial" w:hAnsi="Arial" w:cs="Arial"/>
              </w:rPr>
            </w:pPr>
            <w:r w:rsidRPr="00587DF1">
              <w:rPr>
                <w:rFonts w:ascii="Arial" w:eastAsia="Arial" w:hAnsi="Arial" w:cs="Arial"/>
              </w:rPr>
              <w:t>Preferred bidder selected City Road</w:t>
            </w:r>
          </w:p>
        </w:tc>
        <w:tc>
          <w:tcPr>
            <w:tcW w:w="1894" w:type="dxa"/>
            <w:shd w:val="clear" w:color="auto" w:fill="auto"/>
            <w:noWrap/>
            <w:hideMark/>
          </w:tcPr>
          <w:p w14:paraId="1A57D1E9" w14:textId="5D6D5D33" w:rsidR="002D79C2" w:rsidRPr="00587DF1" w:rsidRDefault="00E5260B" w:rsidP="006477E4">
            <w:pPr>
              <w:spacing w:after="0"/>
              <w:jc w:val="right"/>
              <w:rPr>
                <w:rFonts w:ascii="Arial" w:eastAsia="Arial" w:hAnsi="Arial" w:cs="Arial"/>
              </w:rPr>
            </w:pPr>
            <w:r>
              <w:rPr>
                <w:rFonts w:ascii="Arial" w:eastAsia="Arial" w:hAnsi="Arial" w:cs="Arial"/>
              </w:rPr>
              <w:t>Mar-21</w:t>
            </w:r>
          </w:p>
        </w:tc>
      </w:tr>
      <w:tr w:rsidR="002D79C2" w:rsidRPr="00587DF1" w14:paraId="66635FE7" w14:textId="77777777" w:rsidTr="00CC57B7">
        <w:trPr>
          <w:trHeight w:val="288"/>
        </w:trPr>
        <w:tc>
          <w:tcPr>
            <w:tcW w:w="4815" w:type="dxa"/>
            <w:shd w:val="clear" w:color="auto" w:fill="auto"/>
            <w:vAlign w:val="bottom"/>
            <w:hideMark/>
          </w:tcPr>
          <w:p w14:paraId="03173EA7" w14:textId="77777777" w:rsidR="002D79C2" w:rsidRPr="00587DF1" w:rsidRDefault="002D79C2" w:rsidP="002D79C2">
            <w:pPr>
              <w:spacing w:after="0"/>
              <w:rPr>
                <w:rFonts w:ascii="Arial" w:eastAsia="Arial" w:hAnsi="Arial" w:cs="Arial"/>
              </w:rPr>
            </w:pPr>
            <w:r w:rsidRPr="00587DF1">
              <w:rPr>
                <w:rFonts w:ascii="Arial" w:eastAsia="Arial" w:hAnsi="Arial" w:cs="Arial"/>
              </w:rPr>
              <w:t>FBC submission to regulators</w:t>
            </w:r>
          </w:p>
        </w:tc>
        <w:tc>
          <w:tcPr>
            <w:tcW w:w="1894" w:type="dxa"/>
            <w:shd w:val="clear" w:color="auto" w:fill="auto"/>
            <w:noWrap/>
            <w:hideMark/>
          </w:tcPr>
          <w:p w14:paraId="2DCB2BFD" w14:textId="574D9D2E" w:rsidR="002D79C2" w:rsidRPr="00587DF1" w:rsidRDefault="00E5260B" w:rsidP="006477E4">
            <w:pPr>
              <w:spacing w:after="0"/>
              <w:jc w:val="right"/>
              <w:rPr>
                <w:rFonts w:ascii="Arial" w:eastAsia="Arial" w:hAnsi="Arial" w:cs="Arial"/>
              </w:rPr>
            </w:pPr>
            <w:r>
              <w:rPr>
                <w:rFonts w:ascii="Arial" w:eastAsia="Arial" w:hAnsi="Arial" w:cs="Arial"/>
              </w:rPr>
              <w:t>Aug-21</w:t>
            </w:r>
          </w:p>
        </w:tc>
      </w:tr>
      <w:tr w:rsidR="002D79C2" w:rsidRPr="00587DF1" w14:paraId="20A13E15" w14:textId="77777777" w:rsidTr="00CC57B7">
        <w:trPr>
          <w:trHeight w:val="300"/>
        </w:trPr>
        <w:tc>
          <w:tcPr>
            <w:tcW w:w="4815" w:type="dxa"/>
            <w:shd w:val="clear" w:color="auto" w:fill="auto"/>
            <w:vAlign w:val="bottom"/>
            <w:hideMark/>
          </w:tcPr>
          <w:p w14:paraId="0D630D58" w14:textId="77777777" w:rsidR="002D79C2" w:rsidRPr="00587DF1" w:rsidRDefault="002D79C2" w:rsidP="002D79C2">
            <w:pPr>
              <w:spacing w:after="0"/>
              <w:rPr>
                <w:rFonts w:ascii="Arial" w:eastAsia="Arial" w:hAnsi="Arial" w:cs="Arial"/>
              </w:rPr>
            </w:pPr>
            <w:r w:rsidRPr="00587DF1">
              <w:rPr>
                <w:rFonts w:ascii="Arial" w:eastAsia="Arial" w:hAnsi="Arial" w:cs="Arial"/>
              </w:rPr>
              <w:t>Commence planning process City Road</w:t>
            </w:r>
          </w:p>
        </w:tc>
        <w:tc>
          <w:tcPr>
            <w:tcW w:w="1894" w:type="dxa"/>
            <w:shd w:val="clear" w:color="auto" w:fill="auto"/>
            <w:noWrap/>
            <w:hideMark/>
          </w:tcPr>
          <w:p w14:paraId="2C039614" w14:textId="68653C8E" w:rsidR="002D79C2" w:rsidRPr="00587DF1" w:rsidRDefault="00E5260B" w:rsidP="006477E4">
            <w:pPr>
              <w:spacing w:after="0"/>
              <w:jc w:val="right"/>
              <w:rPr>
                <w:rFonts w:ascii="Arial" w:eastAsia="Arial" w:hAnsi="Arial" w:cs="Arial"/>
              </w:rPr>
            </w:pPr>
            <w:r>
              <w:rPr>
                <w:rFonts w:ascii="Arial" w:eastAsia="Arial" w:hAnsi="Arial" w:cs="Arial"/>
              </w:rPr>
              <w:t>Mar-21</w:t>
            </w:r>
          </w:p>
        </w:tc>
      </w:tr>
      <w:tr w:rsidR="00D20FB0" w:rsidRPr="00587DF1" w14:paraId="224EC64C" w14:textId="77777777" w:rsidTr="00CC57B7">
        <w:trPr>
          <w:trHeight w:val="288"/>
        </w:trPr>
        <w:tc>
          <w:tcPr>
            <w:tcW w:w="4815" w:type="dxa"/>
            <w:shd w:val="clear" w:color="auto" w:fill="auto"/>
            <w:vAlign w:val="bottom"/>
            <w:hideMark/>
          </w:tcPr>
          <w:p w14:paraId="011F4B80" w14:textId="77777777" w:rsidR="00D20FB0" w:rsidRPr="00587DF1" w:rsidRDefault="00D20FB0" w:rsidP="00D20FB0">
            <w:pPr>
              <w:spacing w:after="0"/>
              <w:rPr>
                <w:rFonts w:ascii="Arial" w:eastAsia="Arial" w:hAnsi="Arial" w:cs="Arial"/>
              </w:rPr>
            </w:pPr>
            <w:r w:rsidRPr="00587DF1">
              <w:rPr>
                <w:rFonts w:ascii="Arial" w:eastAsia="Arial" w:hAnsi="Arial" w:cs="Arial"/>
              </w:rPr>
              <w:t>FBC approval</w:t>
            </w:r>
          </w:p>
        </w:tc>
        <w:tc>
          <w:tcPr>
            <w:tcW w:w="1894" w:type="dxa"/>
            <w:shd w:val="clear" w:color="auto" w:fill="auto"/>
            <w:noWrap/>
            <w:hideMark/>
          </w:tcPr>
          <w:p w14:paraId="28A02240" w14:textId="53AD64DB" w:rsidR="00D20FB0" w:rsidRPr="00587DF1" w:rsidRDefault="00E5260B" w:rsidP="006477E4">
            <w:pPr>
              <w:spacing w:after="0"/>
              <w:jc w:val="right"/>
              <w:rPr>
                <w:rFonts w:ascii="Arial" w:eastAsia="Arial" w:hAnsi="Arial" w:cs="Arial"/>
              </w:rPr>
            </w:pPr>
            <w:r>
              <w:rPr>
                <w:rFonts w:ascii="Arial" w:eastAsia="Arial" w:hAnsi="Arial" w:cs="Arial"/>
              </w:rPr>
              <w:t>Feb-22</w:t>
            </w:r>
          </w:p>
        </w:tc>
      </w:tr>
      <w:tr w:rsidR="00D20FB0" w:rsidRPr="00587DF1" w14:paraId="4741C9D9" w14:textId="77777777" w:rsidTr="00CC57B7">
        <w:trPr>
          <w:trHeight w:val="288"/>
        </w:trPr>
        <w:tc>
          <w:tcPr>
            <w:tcW w:w="4815" w:type="dxa"/>
            <w:shd w:val="clear" w:color="auto" w:fill="auto"/>
            <w:vAlign w:val="bottom"/>
            <w:hideMark/>
          </w:tcPr>
          <w:p w14:paraId="7ECC0CEA" w14:textId="77777777" w:rsidR="00D20FB0" w:rsidRPr="00587DF1" w:rsidRDefault="00D20FB0" w:rsidP="00D20FB0">
            <w:pPr>
              <w:spacing w:after="0"/>
              <w:rPr>
                <w:rFonts w:ascii="Arial" w:eastAsia="Arial" w:hAnsi="Arial" w:cs="Arial"/>
              </w:rPr>
            </w:pPr>
            <w:r w:rsidRPr="00587DF1">
              <w:rPr>
                <w:rFonts w:ascii="Arial" w:eastAsia="Arial" w:hAnsi="Arial" w:cs="Arial"/>
              </w:rPr>
              <w:t>Early vacant possession</w:t>
            </w:r>
            <w:r w:rsidR="006477E4">
              <w:rPr>
                <w:rFonts w:ascii="Arial" w:eastAsia="Arial" w:hAnsi="Arial" w:cs="Arial"/>
              </w:rPr>
              <w:t xml:space="preserve"> and commencement of enabling works</w:t>
            </w:r>
          </w:p>
        </w:tc>
        <w:tc>
          <w:tcPr>
            <w:tcW w:w="1894" w:type="dxa"/>
            <w:shd w:val="clear" w:color="auto" w:fill="auto"/>
            <w:noWrap/>
            <w:hideMark/>
          </w:tcPr>
          <w:p w14:paraId="75187B5E" w14:textId="3A05D025" w:rsidR="00D20FB0" w:rsidRPr="00587DF1" w:rsidRDefault="00E5260B" w:rsidP="006477E4">
            <w:pPr>
              <w:spacing w:after="0"/>
              <w:jc w:val="right"/>
              <w:rPr>
                <w:rFonts w:ascii="Arial" w:eastAsia="Arial" w:hAnsi="Arial" w:cs="Arial"/>
              </w:rPr>
            </w:pPr>
            <w:r>
              <w:rPr>
                <w:rFonts w:ascii="Arial" w:eastAsia="Arial" w:hAnsi="Arial" w:cs="Arial"/>
              </w:rPr>
              <w:t>Jan-22</w:t>
            </w:r>
          </w:p>
        </w:tc>
      </w:tr>
      <w:tr w:rsidR="00D20FB0" w:rsidRPr="00587DF1" w14:paraId="31FB9C6A" w14:textId="77777777" w:rsidTr="00CC57B7">
        <w:trPr>
          <w:trHeight w:val="288"/>
        </w:trPr>
        <w:tc>
          <w:tcPr>
            <w:tcW w:w="4815" w:type="dxa"/>
            <w:shd w:val="clear" w:color="auto" w:fill="auto"/>
            <w:vAlign w:val="bottom"/>
            <w:hideMark/>
          </w:tcPr>
          <w:p w14:paraId="41E957AF" w14:textId="77777777" w:rsidR="00D20FB0" w:rsidRPr="00587DF1" w:rsidRDefault="00D20FB0" w:rsidP="00D20FB0">
            <w:pPr>
              <w:spacing w:after="0"/>
              <w:rPr>
                <w:rFonts w:ascii="Arial" w:eastAsia="Arial" w:hAnsi="Arial" w:cs="Arial"/>
              </w:rPr>
            </w:pPr>
            <w:r w:rsidRPr="00587DF1">
              <w:rPr>
                <w:rFonts w:ascii="Arial" w:eastAsia="Arial" w:hAnsi="Arial" w:cs="Arial"/>
              </w:rPr>
              <w:t>Full vacant possession</w:t>
            </w:r>
          </w:p>
        </w:tc>
        <w:tc>
          <w:tcPr>
            <w:tcW w:w="1894" w:type="dxa"/>
            <w:shd w:val="clear" w:color="auto" w:fill="auto"/>
            <w:noWrap/>
            <w:hideMark/>
          </w:tcPr>
          <w:p w14:paraId="2FD5A3DA" w14:textId="3109ED24" w:rsidR="00D20FB0" w:rsidRPr="00587DF1" w:rsidRDefault="00E5260B" w:rsidP="006477E4">
            <w:pPr>
              <w:spacing w:after="0"/>
              <w:jc w:val="right"/>
              <w:rPr>
                <w:rFonts w:ascii="Arial" w:eastAsia="Arial" w:hAnsi="Arial" w:cs="Arial"/>
              </w:rPr>
            </w:pPr>
            <w:r>
              <w:rPr>
                <w:rFonts w:ascii="Arial" w:eastAsia="Arial" w:hAnsi="Arial" w:cs="Arial"/>
              </w:rPr>
              <w:t>Jul-22</w:t>
            </w:r>
          </w:p>
        </w:tc>
      </w:tr>
      <w:tr w:rsidR="002D79C2" w:rsidRPr="00587DF1" w14:paraId="729DBA35" w14:textId="77777777" w:rsidTr="00CC57B7">
        <w:trPr>
          <w:trHeight w:val="288"/>
        </w:trPr>
        <w:tc>
          <w:tcPr>
            <w:tcW w:w="4815" w:type="dxa"/>
            <w:shd w:val="clear" w:color="auto" w:fill="auto"/>
            <w:vAlign w:val="bottom"/>
            <w:hideMark/>
          </w:tcPr>
          <w:p w14:paraId="1CAC6D85" w14:textId="538B3CC8" w:rsidR="002D79C2" w:rsidRPr="00587DF1" w:rsidRDefault="00E5260B" w:rsidP="002D79C2">
            <w:pPr>
              <w:spacing w:after="0"/>
              <w:rPr>
                <w:rFonts w:ascii="Arial" w:eastAsia="Arial" w:hAnsi="Arial" w:cs="Arial"/>
              </w:rPr>
            </w:pPr>
            <w:r>
              <w:rPr>
                <w:rFonts w:ascii="Arial" w:eastAsia="Arial" w:hAnsi="Arial" w:cs="Arial"/>
              </w:rPr>
              <w:lastRenderedPageBreak/>
              <w:t>Main works s</w:t>
            </w:r>
            <w:r w:rsidR="002D79C2" w:rsidRPr="00587DF1">
              <w:rPr>
                <w:rFonts w:ascii="Arial" w:eastAsia="Arial" w:hAnsi="Arial" w:cs="Arial"/>
              </w:rPr>
              <w:t>tart on site</w:t>
            </w:r>
          </w:p>
        </w:tc>
        <w:tc>
          <w:tcPr>
            <w:tcW w:w="1894" w:type="dxa"/>
            <w:shd w:val="clear" w:color="auto" w:fill="auto"/>
            <w:noWrap/>
            <w:hideMark/>
          </w:tcPr>
          <w:p w14:paraId="1DF24715" w14:textId="1E8F53C6" w:rsidR="002D79C2" w:rsidRPr="00587DF1" w:rsidRDefault="00E5260B" w:rsidP="006477E4">
            <w:pPr>
              <w:spacing w:after="0"/>
              <w:jc w:val="right"/>
              <w:rPr>
                <w:rFonts w:ascii="Arial" w:eastAsia="Arial" w:hAnsi="Arial" w:cs="Arial"/>
              </w:rPr>
            </w:pPr>
            <w:r>
              <w:rPr>
                <w:rFonts w:ascii="Arial" w:eastAsia="Arial" w:hAnsi="Arial" w:cs="Arial"/>
              </w:rPr>
              <w:t>Jul-22</w:t>
            </w:r>
          </w:p>
        </w:tc>
      </w:tr>
      <w:tr w:rsidR="002D79C2" w:rsidRPr="00587DF1" w14:paraId="0EAAD3D1" w14:textId="77777777" w:rsidTr="00CC57B7">
        <w:trPr>
          <w:trHeight w:val="288"/>
        </w:trPr>
        <w:tc>
          <w:tcPr>
            <w:tcW w:w="4815" w:type="dxa"/>
            <w:shd w:val="clear" w:color="auto" w:fill="auto"/>
            <w:vAlign w:val="bottom"/>
            <w:hideMark/>
          </w:tcPr>
          <w:p w14:paraId="27FD6B55" w14:textId="77777777" w:rsidR="002D79C2" w:rsidRPr="00587DF1" w:rsidRDefault="002D79C2" w:rsidP="002D79C2">
            <w:pPr>
              <w:spacing w:after="0"/>
              <w:rPr>
                <w:rFonts w:ascii="Arial" w:eastAsia="Arial" w:hAnsi="Arial" w:cs="Arial"/>
              </w:rPr>
            </w:pPr>
            <w:r w:rsidRPr="00587DF1">
              <w:rPr>
                <w:rFonts w:ascii="Arial" w:eastAsia="Arial" w:hAnsi="Arial" w:cs="Arial"/>
              </w:rPr>
              <w:t>Practical completion</w:t>
            </w:r>
          </w:p>
        </w:tc>
        <w:tc>
          <w:tcPr>
            <w:tcW w:w="1894" w:type="dxa"/>
            <w:shd w:val="clear" w:color="auto" w:fill="auto"/>
            <w:noWrap/>
            <w:hideMark/>
          </w:tcPr>
          <w:p w14:paraId="400B5AE5" w14:textId="34FA1576" w:rsidR="002D79C2" w:rsidRPr="00587DF1" w:rsidRDefault="00E5260B" w:rsidP="006477E4">
            <w:pPr>
              <w:spacing w:after="0"/>
              <w:jc w:val="right"/>
              <w:rPr>
                <w:rFonts w:ascii="Arial" w:eastAsia="Arial" w:hAnsi="Arial" w:cs="Arial"/>
              </w:rPr>
            </w:pPr>
            <w:r>
              <w:rPr>
                <w:rFonts w:ascii="Arial" w:eastAsia="Arial" w:hAnsi="Arial" w:cs="Arial"/>
              </w:rPr>
              <w:t>Aug-25</w:t>
            </w:r>
          </w:p>
        </w:tc>
      </w:tr>
      <w:tr w:rsidR="002D79C2" w:rsidRPr="00587DF1" w14:paraId="141F43D2" w14:textId="77777777" w:rsidTr="00CC57B7">
        <w:trPr>
          <w:trHeight w:val="288"/>
        </w:trPr>
        <w:tc>
          <w:tcPr>
            <w:tcW w:w="4815" w:type="dxa"/>
            <w:shd w:val="clear" w:color="auto" w:fill="auto"/>
            <w:vAlign w:val="bottom"/>
            <w:hideMark/>
          </w:tcPr>
          <w:p w14:paraId="4A8CBD7C" w14:textId="77777777" w:rsidR="002D79C2" w:rsidRPr="00587DF1" w:rsidRDefault="002D79C2" w:rsidP="002D79C2">
            <w:pPr>
              <w:spacing w:after="0"/>
              <w:rPr>
                <w:rFonts w:ascii="Arial" w:eastAsia="Arial" w:hAnsi="Arial" w:cs="Arial"/>
              </w:rPr>
            </w:pPr>
            <w:r w:rsidRPr="00587DF1">
              <w:rPr>
                <w:rFonts w:ascii="Arial" w:eastAsia="Arial" w:hAnsi="Arial" w:cs="Arial"/>
              </w:rPr>
              <w:t>Commissioning and decant complete</w:t>
            </w:r>
          </w:p>
        </w:tc>
        <w:tc>
          <w:tcPr>
            <w:tcW w:w="1894" w:type="dxa"/>
            <w:shd w:val="clear" w:color="auto" w:fill="auto"/>
            <w:noWrap/>
            <w:hideMark/>
          </w:tcPr>
          <w:p w14:paraId="144E1F9B" w14:textId="7E971E8C" w:rsidR="002D79C2" w:rsidRPr="00587DF1" w:rsidRDefault="00E5260B" w:rsidP="006477E4">
            <w:pPr>
              <w:spacing w:after="0"/>
              <w:jc w:val="right"/>
              <w:rPr>
                <w:rFonts w:ascii="Arial" w:eastAsia="Arial" w:hAnsi="Arial" w:cs="Arial"/>
              </w:rPr>
            </w:pPr>
            <w:r>
              <w:rPr>
                <w:rFonts w:ascii="Arial" w:eastAsia="Arial" w:hAnsi="Arial" w:cs="Arial"/>
              </w:rPr>
              <w:t>Jan-26</w:t>
            </w:r>
          </w:p>
        </w:tc>
      </w:tr>
    </w:tbl>
    <w:p w14:paraId="0E797FD9" w14:textId="77777777" w:rsidR="00D20FB0" w:rsidRPr="00587DF1" w:rsidRDefault="00D20FB0" w:rsidP="00D20FB0">
      <w:pPr>
        <w:spacing w:after="0" w:line="240" w:lineRule="auto"/>
        <w:rPr>
          <w:rFonts w:ascii="Arial" w:eastAsia="Arial" w:hAnsi="Arial" w:cs="Arial"/>
          <w:highlight w:val="yellow"/>
        </w:rPr>
      </w:pPr>
    </w:p>
    <w:p w14:paraId="72817E63" w14:textId="67532CFA" w:rsidR="00E5260B" w:rsidRPr="00E5260B" w:rsidRDefault="00E5260B" w:rsidP="0082206E">
      <w:pPr>
        <w:spacing w:after="0"/>
        <w:rPr>
          <w:rFonts w:ascii="Arial" w:eastAsia="Arial" w:hAnsi="Arial" w:cs="Arial"/>
        </w:rPr>
      </w:pPr>
      <w:r w:rsidRPr="00E5260B">
        <w:rPr>
          <w:rFonts w:ascii="Arial" w:eastAsia="Arial" w:hAnsi="Arial" w:cs="Arial"/>
        </w:rPr>
        <w:t xml:space="preserve">It should be </w:t>
      </w:r>
      <w:r>
        <w:rPr>
          <w:rFonts w:ascii="Arial" w:eastAsia="Arial" w:hAnsi="Arial" w:cs="Arial"/>
        </w:rPr>
        <w:t xml:space="preserve">noted that this programme </w:t>
      </w:r>
      <w:r w:rsidR="0082206E">
        <w:rPr>
          <w:rFonts w:ascii="Arial" w:eastAsia="Arial" w:hAnsi="Arial" w:cs="Arial"/>
        </w:rPr>
        <w:t xml:space="preserve">is </w:t>
      </w:r>
      <w:r>
        <w:rPr>
          <w:rFonts w:ascii="Arial" w:eastAsia="Arial" w:hAnsi="Arial" w:cs="Arial"/>
        </w:rPr>
        <w:t xml:space="preserve">based on the assumption that C&amp;I </w:t>
      </w:r>
      <w:r w:rsidR="0082206E">
        <w:rPr>
          <w:rFonts w:ascii="Arial" w:eastAsia="Arial" w:hAnsi="Arial" w:cs="Arial"/>
        </w:rPr>
        <w:t>are</w:t>
      </w:r>
      <w:r>
        <w:rPr>
          <w:rFonts w:ascii="Arial" w:eastAsia="Arial" w:hAnsi="Arial" w:cs="Arial"/>
        </w:rPr>
        <w:t xml:space="preserve"> able to grant the partners early access to the St Pancras site in January 2022. As this has not yet been agreed, the finance case is based on a ‘worst case’ assumption that work cannot commence until the full vacant possession date of July 2022. This enables the trust to take a prudent assumption on inflation costs.</w:t>
      </w:r>
    </w:p>
    <w:p w14:paraId="64867B22" w14:textId="77777777" w:rsidR="00E5260B" w:rsidRPr="00587DF1" w:rsidRDefault="00E5260B" w:rsidP="00D20FB0">
      <w:pPr>
        <w:spacing w:after="0" w:line="240" w:lineRule="auto"/>
        <w:rPr>
          <w:rFonts w:ascii="Arial" w:eastAsia="Arial" w:hAnsi="Arial" w:cs="Arial"/>
          <w:highlight w:val="yellow"/>
        </w:rPr>
      </w:pPr>
    </w:p>
    <w:p w14:paraId="0048CB08" w14:textId="6F218AD6" w:rsidR="00D20FB0" w:rsidRPr="00587DF1" w:rsidRDefault="00D20FB0" w:rsidP="005E0D57">
      <w:pPr>
        <w:pStyle w:val="Heading2"/>
        <w:numPr>
          <w:ilvl w:val="1"/>
          <w:numId w:val="39"/>
        </w:numPr>
        <w:rPr>
          <w:rFonts w:ascii="Arial" w:hAnsi="Arial" w:cs="Arial"/>
        </w:rPr>
      </w:pPr>
      <w:bookmarkStart w:id="497" w:name="_Ref27746251"/>
      <w:bookmarkStart w:id="498" w:name="_Toc32842784"/>
      <w:r w:rsidRPr="00587DF1">
        <w:rPr>
          <w:rFonts w:ascii="Arial" w:eastAsia="Arial" w:hAnsi="Arial" w:cs="Arial"/>
        </w:rPr>
        <w:t>Benefits</w:t>
      </w:r>
      <w:bookmarkEnd w:id="497"/>
      <w:bookmarkEnd w:id="498"/>
    </w:p>
    <w:p w14:paraId="03A1B186" w14:textId="77777777" w:rsidR="00D20FB0" w:rsidRPr="00587DF1" w:rsidRDefault="00D20FB0" w:rsidP="00D20FB0">
      <w:pPr>
        <w:spacing w:after="0" w:line="240" w:lineRule="auto"/>
        <w:rPr>
          <w:rFonts w:ascii="Arial" w:eastAsia="Arial" w:hAnsi="Arial" w:cs="Arial"/>
          <w:color w:val="FF0000"/>
        </w:rPr>
      </w:pPr>
    </w:p>
    <w:p w14:paraId="6D241D52" w14:textId="77777777" w:rsidR="00D20FB0" w:rsidRPr="00587DF1" w:rsidRDefault="00D20FB0" w:rsidP="0082206E">
      <w:pPr>
        <w:spacing w:after="0"/>
        <w:rPr>
          <w:rFonts w:ascii="Arial" w:eastAsia="Arial" w:hAnsi="Arial" w:cs="Arial"/>
        </w:rPr>
      </w:pPr>
      <w:bookmarkStart w:id="499" w:name="_Hlk27148163"/>
      <w:r w:rsidRPr="00587DF1">
        <w:rPr>
          <w:rFonts w:ascii="Arial" w:eastAsia="Arial" w:hAnsi="Arial" w:cs="Arial"/>
        </w:rPr>
        <w:t>A schedule of project benefits has been identified, which represent the desired outcomes for the project. Realisation of these is key to project success. Four classes of benefit have been identified:</w:t>
      </w:r>
    </w:p>
    <w:p w14:paraId="1D85D17B" w14:textId="21479414" w:rsidR="00D20FB0" w:rsidRPr="00587DF1" w:rsidRDefault="00D20FB0" w:rsidP="005E0D57">
      <w:pPr>
        <w:pStyle w:val="ListParagraph"/>
        <w:numPr>
          <w:ilvl w:val="0"/>
          <w:numId w:val="8"/>
        </w:numPr>
        <w:spacing w:after="0"/>
        <w:rPr>
          <w:rFonts w:ascii="Arial" w:eastAsia="Arial" w:hAnsi="Arial" w:cs="Arial"/>
        </w:rPr>
      </w:pPr>
      <w:r w:rsidRPr="00587DF1">
        <w:rPr>
          <w:rFonts w:ascii="Arial" w:eastAsia="Arial" w:hAnsi="Arial" w:cs="Arial"/>
          <w:b/>
          <w:bCs/>
        </w:rPr>
        <w:t>Cash releasing</w:t>
      </w:r>
      <w:r w:rsidRPr="00587DF1">
        <w:rPr>
          <w:rFonts w:ascii="Arial" w:eastAsia="Arial" w:hAnsi="Arial" w:cs="Arial"/>
        </w:rPr>
        <w:t xml:space="preserve"> – reduce costs for the organisation in such a way that the resources can be re-allocated elsewhere e.g. reduced operating costs or increasing income. These are represented in the </w:t>
      </w:r>
      <w:r w:rsidR="00236908">
        <w:rPr>
          <w:rFonts w:ascii="Arial" w:eastAsia="Arial" w:hAnsi="Arial" w:cs="Arial"/>
          <w:bCs/>
          <w:color w:val="000000"/>
        </w:rPr>
        <w:t xml:space="preserve">Finance Case </w:t>
      </w:r>
      <w:r w:rsidRPr="00587DF1">
        <w:rPr>
          <w:rFonts w:ascii="Arial" w:eastAsia="Arial" w:hAnsi="Arial" w:cs="Arial"/>
        </w:rPr>
        <w:t>(</w:t>
      </w:r>
      <w:r w:rsidR="00CC57B7">
        <w:rPr>
          <w:rFonts w:ascii="Arial" w:eastAsia="Arial" w:hAnsi="Arial" w:cs="Arial"/>
        </w:rPr>
        <w:t>C</w:t>
      </w:r>
      <w:r w:rsidRPr="00587DF1">
        <w:rPr>
          <w:rFonts w:ascii="Arial" w:eastAsia="Arial" w:hAnsi="Arial" w:cs="Arial"/>
        </w:rPr>
        <w:t xml:space="preserve">hapter </w:t>
      </w:r>
      <w:r w:rsidR="003E697D" w:rsidRPr="00587DF1">
        <w:rPr>
          <w:rFonts w:ascii="Arial" w:eastAsia="Arial" w:hAnsi="Arial" w:cs="Arial"/>
        </w:rPr>
        <w:fldChar w:fldCharType="begin"/>
      </w:r>
      <w:r w:rsidR="003E697D" w:rsidRPr="00587DF1">
        <w:rPr>
          <w:rFonts w:ascii="Arial" w:eastAsia="Arial" w:hAnsi="Arial" w:cs="Arial"/>
        </w:rPr>
        <w:instrText xml:space="preserve"> REF _Ref27148249 \r \h </w:instrText>
      </w:r>
      <w:r w:rsidR="00587DF1">
        <w:rPr>
          <w:rFonts w:ascii="Arial" w:eastAsia="Arial" w:hAnsi="Arial" w:cs="Arial"/>
        </w:rPr>
        <w:instrText xml:space="preserve"> \* MERGEFORMAT </w:instrText>
      </w:r>
      <w:r w:rsidR="003E697D" w:rsidRPr="00587DF1">
        <w:rPr>
          <w:rFonts w:ascii="Arial" w:eastAsia="Arial" w:hAnsi="Arial" w:cs="Arial"/>
        </w:rPr>
      </w:r>
      <w:r w:rsidR="003E697D" w:rsidRPr="00587DF1">
        <w:rPr>
          <w:rFonts w:ascii="Arial" w:eastAsia="Arial" w:hAnsi="Arial" w:cs="Arial"/>
        </w:rPr>
        <w:fldChar w:fldCharType="separate"/>
      </w:r>
      <w:r w:rsidR="00A936CD">
        <w:rPr>
          <w:rFonts w:ascii="Arial" w:eastAsia="Arial" w:hAnsi="Arial" w:cs="Arial"/>
        </w:rPr>
        <w:t>6</w:t>
      </w:r>
      <w:r w:rsidR="003E697D" w:rsidRPr="00587DF1">
        <w:rPr>
          <w:rFonts w:ascii="Arial" w:eastAsia="Arial" w:hAnsi="Arial" w:cs="Arial"/>
        </w:rPr>
        <w:fldChar w:fldCharType="end"/>
      </w:r>
      <w:r w:rsidRPr="00587DF1">
        <w:rPr>
          <w:rFonts w:ascii="Arial" w:eastAsia="Arial" w:hAnsi="Arial" w:cs="Arial"/>
        </w:rPr>
        <w:t>).</w:t>
      </w:r>
    </w:p>
    <w:p w14:paraId="31C22497" w14:textId="7C54BA08" w:rsidR="00D20FB0" w:rsidRPr="00587DF1" w:rsidRDefault="00D20FB0" w:rsidP="005E0D57">
      <w:pPr>
        <w:pStyle w:val="ListParagraph"/>
        <w:numPr>
          <w:ilvl w:val="0"/>
          <w:numId w:val="8"/>
        </w:numPr>
        <w:spacing w:after="0"/>
        <w:rPr>
          <w:rFonts w:ascii="Arial" w:eastAsia="Arial" w:hAnsi="Arial" w:cs="Arial"/>
        </w:rPr>
      </w:pPr>
      <w:r w:rsidRPr="00587DF1">
        <w:rPr>
          <w:rFonts w:ascii="Arial" w:eastAsia="Arial" w:hAnsi="Arial" w:cs="Arial"/>
          <w:b/>
          <w:bCs/>
        </w:rPr>
        <w:t>Non-cash releasing</w:t>
      </w:r>
      <w:r w:rsidRPr="00587DF1">
        <w:rPr>
          <w:rFonts w:ascii="Arial" w:eastAsia="Arial" w:hAnsi="Arial" w:cs="Arial"/>
        </w:rPr>
        <w:t xml:space="preserve"> – financial benefits which do not release resources for re-allocation e.g. improved efficiency (set out in the Benefits Realisation Plan at Appendix </w:t>
      </w:r>
      <w:r w:rsidR="00CC57B7">
        <w:rPr>
          <w:rFonts w:ascii="Arial" w:eastAsia="Arial" w:hAnsi="Arial" w:cs="Arial"/>
        </w:rPr>
        <w:t>8A</w:t>
      </w:r>
      <w:r w:rsidRPr="00587DF1">
        <w:rPr>
          <w:rFonts w:ascii="Arial" w:eastAsia="Arial" w:hAnsi="Arial" w:cs="Arial"/>
        </w:rPr>
        <w:t>).</w:t>
      </w:r>
    </w:p>
    <w:p w14:paraId="00028495" w14:textId="5C512D40" w:rsidR="00D20FB0" w:rsidRPr="00587DF1" w:rsidRDefault="00D20FB0" w:rsidP="005E0D57">
      <w:pPr>
        <w:pStyle w:val="ListParagraph"/>
        <w:numPr>
          <w:ilvl w:val="0"/>
          <w:numId w:val="8"/>
        </w:numPr>
        <w:spacing w:after="0"/>
        <w:rPr>
          <w:rFonts w:ascii="Arial" w:eastAsia="Arial" w:hAnsi="Arial" w:cs="Arial"/>
        </w:rPr>
      </w:pPr>
      <w:r w:rsidRPr="00587DF1">
        <w:rPr>
          <w:rFonts w:ascii="Arial" w:eastAsia="Arial" w:hAnsi="Arial" w:cs="Arial"/>
          <w:b/>
          <w:bCs/>
        </w:rPr>
        <w:t>Quantifiable benefits</w:t>
      </w:r>
      <w:r w:rsidRPr="00587DF1">
        <w:rPr>
          <w:rFonts w:ascii="Arial" w:eastAsia="Arial" w:hAnsi="Arial" w:cs="Arial"/>
        </w:rPr>
        <w:t xml:space="preserve"> – can be measured but do not have a financial impact e.g. improved outcome (set out in the Benefits Realisation Plan at Appendix </w:t>
      </w:r>
      <w:r w:rsidR="00CC57B7">
        <w:rPr>
          <w:rFonts w:ascii="Arial" w:eastAsia="Arial" w:hAnsi="Arial" w:cs="Arial"/>
        </w:rPr>
        <w:t>8A</w:t>
      </w:r>
      <w:r w:rsidRPr="00587DF1">
        <w:rPr>
          <w:rFonts w:ascii="Arial" w:eastAsia="Arial" w:hAnsi="Arial" w:cs="Arial"/>
        </w:rPr>
        <w:t>).</w:t>
      </w:r>
    </w:p>
    <w:p w14:paraId="7BA505CB" w14:textId="77777777" w:rsidR="00D20FB0" w:rsidRPr="00587DF1" w:rsidRDefault="00D20FB0" w:rsidP="005E0D57">
      <w:pPr>
        <w:pStyle w:val="ListParagraph"/>
        <w:numPr>
          <w:ilvl w:val="0"/>
          <w:numId w:val="8"/>
        </w:numPr>
        <w:spacing w:after="0"/>
        <w:rPr>
          <w:rFonts w:ascii="Arial" w:eastAsia="Arial" w:hAnsi="Arial" w:cs="Arial"/>
        </w:rPr>
      </w:pPr>
      <w:r w:rsidRPr="00587DF1">
        <w:rPr>
          <w:rFonts w:ascii="Arial" w:eastAsia="Arial" w:hAnsi="Arial" w:cs="Arial"/>
          <w:b/>
          <w:bCs/>
        </w:rPr>
        <w:t>Qualitative benefits</w:t>
      </w:r>
      <w:r w:rsidRPr="00587DF1">
        <w:rPr>
          <w:rFonts w:ascii="Arial" w:eastAsia="Arial" w:hAnsi="Arial" w:cs="Arial"/>
        </w:rPr>
        <w:t xml:space="preserve"> – are of value but cannot be quantified e.g. happier patients.</w:t>
      </w:r>
    </w:p>
    <w:p w14:paraId="04DC2966" w14:textId="77777777" w:rsidR="00D20FB0" w:rsidRPr="00587DF1" w:rsidRDefault="00D20FB0" w:rsidP="00D20FB0">
      <w:pPr>
        <w:spacing w:after="0"/>
        <w:rPr>
          <w:rFonts w:ascii="Arial" w:eastAsia="Arial" w:hAnsi="Arial" w:cs="Arial"/>
        </w:rPr>
      </w:pPr>
    </w:p>
    <w:p w14:paraId="0D2CD7A5" w14:textId="77777777" w:rsidR="00D20FB0" w:rsidRPr="00587DF1" w:rsidRDefault="00D20FB0" w:rsidP="00D20FB0">
      <w:pPr>
        <w:spacing w:after="0"/>
        <w:rPr>
          <w:rFonts w:ascii="Arial" w:eastAsia="Arial" w:hAnsi="Arial" w:cs="Arial"/>
        </w:rPr>
      </w:pPr>
      <w:r w:rsidRPr="00587DF1">
        <w:rPr>
          <w:rFonts w:ascii="Arial" w:eastAsia="Arial" w:hAnsi="Arial" w:cs="Arial"/>
        </w:rPr>
        <w:t>The overall planned benefits for Oriel are as follows:</w:t>
      </w:r>
    </w:p>
    <w:p w14:paraId="0C598127" w14:textId="77777777" w:rsidR="00D20FB0" w:rsidRPr="00587DF1" w:rsidRDefault="00D20FB0" w:rsidP="005E0D57">
      <w:pPr>
        <w:pStyle w:val="ListParagraph"/>
        <w:numPr>
          <w:ilvl w:val="0"/>
          <w:numId w:val="8"/>
        </w:numPr>
        <w:spacing w:after="0"/>
        <w:rPr>
          <w:rFonts w:ascii="Arial" w:eastAsia="Arial" w:hAnsi="Arial" w:cs="Arial"/>
        </w:rPr>
      </w:pPr>
      <w:r w:rsidRPr="00587DF1">
        <w:rPr>
          <w:rFonts w:ascii="Arial" w:eastAsia="Arial" w:hAnsi="Arial" w:cs="Arial"/>
        </w:rPr>
        <w:t>Maintain current high clinical standards.</w:t>
      </w:r>
    </w:p>
    <w:p w14:paraId="60BC6F16" w14:textId="77777777" w:rsidR="00D20FB0" w:rsidRPr="00587DF1" w:rsidRDefault="00D20FB0" w:rsidP="005E0D57">
      <w:pPr>
        <w:pStyle w:val="ListParagraph"/>
        <w:numPr>
          <w:ilvl w:val="0"/>
          <w:numId w:val="8"/>
        </w:numPr>
        <w:spacing w:after="0"/>
        <w:rPr>
          <w:rFonts w:ascii="Arial" w:eastAsia="Arial" w:hAnsi="Arial" w:cs="Arial"/>
        </w:rPr>
      </w:pPr>
      <w:r w:rsidRPr="00587DF1">
        <w:rPr>
          <w:rFonts w:ascii="Arial" w:eastAsia="Arial" w:hAnsi="Arial" w:cs="Arial"/>
        </w:rPr>
        <w:t>Improved patient experience.</w:t>
      </w:r>
    </w:p>
    <w:p w14:paraId="37FE887E" w14:textId="77777777" w:rsidR="00D20FB0" w:rsidRPr="00587DF1" w:rsidRDefault="00D20FB0" w:rsidP="005E0D57">
      <w:pPr>
        <w:pStyle w:val="ListParagraph"/>
        <w:numPr>
          <w:ilvl w:val="0"/>
          <w:numId w:val="8"/>
        </w:numPr>
        <w:spacing w:after="0"/>
        <w:rPr>
          <w:rFonts w:ascii="Arial" w:eastAsia="Arial" w:hAnsi="Arial" w:cs="Arial"/>
        </w:rPr>
      </w:pPr>
      <w:r w:rsidRPr="00587DF1">
        <w:rPr>
          <w:rFonts w:ascii="Arial" w:eastAsia="Arial" w:hAnsi="Arial" w:cs="Arial"/>
        </w:rPr>
        <w:t>Improved access to clinical services.</w:t>
      </w:r>
    </w:p>
    <w:p w14:paraId="3AC71A06" w14:textId="77777777" w:rsidR="00D20FB0" w:rsidRPr="00587DF1" w:rsidRDefault="00D20FB0" w:rsidP="005E0D57">
      <w:pPr>
        <w:pStyle w:val="ListParagraph"/>
        <w:numPr>
          <w:ilvl w:val="0"/>
          <w:numId w:val="8"/>
        </w:numPr>
        <w:spacing w:after="0"/>
        <w:rPr>
          <w:rFonts w:ascii="Arial" w:eastAsia="Arial" w:hAnsi="Arial" w:cs="Arial"/>
        </w:rPr>
      </w:pPr>
      <w:r w:rsidRPr="00587DF1">
        <w:rPr>
          <w:rFonts w:ascii="Arial" w:eastAsia="Arial" w:hAnsi="Arial" w:cs="Arial"/>
        </w:rPr>
        <w:t>Increased research output.</w:t>
      </w:r>
    </w:p>
    <w:p w14:paraId="033E2044" w14:textId="77777777" w:rsidR="00D20FB0" w:rsidRPr="00587DF1" w:rsidRDefault="00D20FB0" w:rsidP="005E0D57">
      <w:pPr>
        <w:pStyle w:val="ListParagraph"/>
        <w:numPr>
          <w:ilvl w:val="0"/>
          <w:numId w:val="8"/>
        </w:numPr>
        <w:spacing w:after="0"/>
        <w:rPr>
          <w:rFonts w:ascii="Arial" w:eastAsia="Arial" w:hAnsi="Arial" w:cs="Arial"/>
        </w:rPr>
      </w:pPr>
      <w:r w:rsidRPr="00587DF1">
        <w:rPr>
          <w:rFonts w:ascii="Arial" w:eastAsia="Arial" w:hAnsi="Arial" w:cs="Arial"/>
        </w:rPr>
        <w:t>Improved clinical education.</w:t>
      </w:r>
    </w:p>
    <w:p w14:paraId="01687A25" w14:textId="77777777" w:rsidR="00D20FB0" w:rsidRPr="00587DF1" w:rsidRDefault="00D20FB0" w:rsidP="005E0D57">
      <w:pPr>
        <w:pStyle w:val="ListParagraph"/>
        <w:numPr>
          <w:ilvl w:val="0"/>
          <w:numId w:val="8"/>
        </w:numPr>
        <w:spacing w:after="0"/>
        <w:rPr>
          <w:rFonts w:ascii="Arial" w:eastAsia="Arial" w:hAnsi="Arial" w:cs="Arial"/>
        </w:rPr>
      </w:pPr>
      <w:r w:rsidRPr="00587DF1">
        <w:rPr>
          <w:rFonts w:ascii="Arial" w:eastAsia="Arial" w:hAnsi="Arial" w:cs="Arial"/>
        </w:rPr>
        <w:t>Improved staff satisfaction and retention.</w:t>
      </w:r>
    </w:p>
    <w:p w14:paraId="20227BB8" w14:textId="77777777" w:rsidR="00D20FB0" w:rsidRPr="00587DF1" w:rsidRDefault="00D20FB0" w:rsidP="005E0D57">
      <w:pPr>
        <w:pStyle w:val="ListParagraph"/>
        <w:numPr>
          <w:ilvl w:val="0"/>
          <w:numId w:val="8"/>
        </w:numPr>
        <w:spacing w:after="0"/>
        <w:rPr>
          <w:rFonts w:ascii="Arial" w:eastAsia="Arial" w:hAnsi="Arial" w:cs="Arial"/>
        </w:rPr>
      </w:pPr>
      <w:r w:rsidRPr="00587DF1">
        <w:rPr>
          <w:rFonts w:ascii="Arial" w:eastAsia="Arial" w:hAnsi="Arial" w:cs="Arial"/>
        </w:rPr>
        <w:t>Flexibility to respond to future change.</w:t>
      </w:r>
    </w:p>
    <w:p w14:paraId="65F0F4A3" w14:textId="77777777" w:rsidR="00D20FB0" w:rsidRPr="00587DF1" w:rsidRDefault="00D20FB0" w:rsidP="005E0D57">
      <w:pPr>
        <w:pStyle w:val="ListParagraph"/>
        <w:numPr>
          <w:ilvl w:val="0"/>
          <w:numId w:val="8"/>
        </w:numPr>
        <w:spacing w:after="0"/>
        <w:rPr>
          <w:rFonts w:ascii="Arial" w:eastAsia="Arial" w:hAnsi="Arial" w:cs="Arial"/>
        </w:rPr>
      </w:pPr>
      <w:r w:rsidRPr="00587DF1">
        <w:rPr>
          <w:rFonts w:ascii="Arial" w:eastAsia="Arial" w:hAnsi="Arial" w:cs="Arial"/>
        </w:rPr>
        <w:t>Improved efficiency and reduced wasted time.</w:t>
      </w:r>
    </w:p>
    <w:p w14:paraId="67E6041E" w14:textId="77777777" w:rsidR="00D20FB0" w:rsidRPr="00587DF1" w:rsidRDefault="00D20FB0" w:rsidP="005E0D57">
      <w:pPr>
        <w:pStyle w:val="ListParagraph"/>
        <w:numPr>
          <w:ilvl w:val="0"/>
          <w:numId w:val="8"/>
        </w:numPr>
        <w:spacing w:after="0"/>
        <w:rPr>
          <w:rFonts w:ascii="Arial" w:eastAsia="Arial" w:hAnsi="Arial" w:cs="Arial"/>
        </w:rPr>
      </w:pPr>
      <w:r w:rsidRPr="00587DF1">
        <w:rPr>
          <w:rFonts w:ascii="Arial" w:eastAsia="Arial" w:hAnsi="Arial" w:cs="Arial"/>
        </w:rPr>
        <w:t>Reduced environmental impact.</w:t>
      </w:r>
    </w:p>
    <w:p w14:paraId="7E38CE75" w14:textId="77777777" w:rsidR="00D20FB0" w:rsidRPr="00587DF1" w:rsidRDefault="00D20FB0" w:rsidP="00D20FB0">
      <w:pPr>
        <w:tabs>
          <w:tab w:val="left" w:pos="6120"/>
        </w:tabs>
        <w:spacing w:after="0"/>
        <w:rPr>
          <w:rFonts w:ascii="Arial" w:eastAsia="Arial" w:hAnsi="Arial" w:cs="Arial"/>
        </w:rPr>
      </w:pPr>
      <w:r w:rsidRPr="00587DF1">
        <w:rPr>
          <w:rFonts w:ascii="Arial" w:eastAsia="Arial" w:hAnsi="Arial" w:cs="Arial"/>
        </w:rPr>
        <w:tab/>
      </w:r>
    </w:p>
    <w:p w14:paraId="39EB59D4" w14:textId="7806E427" w:rsidR="00D20FB0" w:rsidRPr="00587DF1" w:rsidRDefault="00D20FB0" w:rsidP="00D20FB0">
      <w:pPr>
        <w:spacing w:after="0"/>
        <w:rPr>
          <w:rFonts w:ascii="Arial" w:eastAsia="Arial" w:hAnsi="Arial" w:cs="Arial"/>
        </w:rPr>
      </w:pPr>
      <w:bookmarkStart w:id="500" w:name="_Hlk12884892"/>
      <w:r w:rsidRPr="00587DF1">
        <w:rPr>
          <w:rFonts w:ascii="Arial" w:eastAsia="Arial" w:hAnsi="Arial" w:cs="Arial"/>
        </w:rPr>
        <w:t xml:space="preserve">The benefits realisation plan is included in Appendix </w:t>
      </w:r>
      <w:r w:rsidR="00CC57B7">
        <w:rPr>
          <w:rFonts w:ascii="Arial" w:eastAsia="Arial" w:hAnsi="Arial" w:cs="Arial"/>
        </w:rPr>
        <w:t>8A</w:t>
      </w:r>
      <w:r w:rsidRPr="00587DF1">
        <w:rPr>
          <w:rFonts w:ascii="Arial" w:eastAsia="Arial" w:hAnsi="Arial" w:cs="Arial"/>
        </w:rPr>
        <w:t xml:space="preserve"> and sets out how each benefit will be measured. These have been identified through a benefits mapping exercise involving key clinical and non-clinical staff, and reflect the benefits quantified in the Economic Case where possible. Most benefits have baseline and target data (which will be further developed for FBC), with a responsible owner identified. These individuals will be responsible for ensuring benefits are achieved. Progress will be monitored by the Oriel Executive Board, which will take appropriate corrective action should delivery be threatened.</w:t>
      </w:r>
      <w:bookmarkEnd w:id="499"/>
      <w:bookmarkEnd w:id="500"/>
    </w:p>
    <w:p w14:paraId="14E1F7D4" w14:textId="77777777" w:rsidR="00D20FB0" w:rsidRPr="00587DF1" w:rsidRDefault="00D20FB0" w:rsidP="00D20FB0">
      <w:pPr>
        <w:spacing w:after="0" w:line="240" w:lineRule="auto"/>
        <w:rPr>
          <w:rFonts w:ascii="Arial" w:eastAsia="Arial" w:hAnsi="Arial" w:cs="Arial"/>
          <w:highlight w:val="yellow"/>
        </w:rPr>
      </w:pPr>
    </w:p>
    <w:p w14:paraId="3BED4360" w14:textId="75B60822" w:rsidR="00D20FB0" w:rsidRPr="00587DF1" w:rsidRDefault="00D20FB0" w:rsidP="005E0D57">
      <w:pPr>
        <w:pStyle w:val="Heading2"/>
        <w:numPr>
          <w:ilvl w:val="1"/>
          <w:numId w:val="39"/>
        </w:numPr>
        <w:rPr>
          <w:rFonts w:ascii="Arial" w:eastAsia="Arial" w:hAnsi="Arial" w:cs="Arial"/>
        </w:rPr>
      </w:pPr>
      <w:bookmarkStart w:id="501" w:name="_Toc32842785"/>
      <w:r w:rsidRPr="00587DF1">
        <w:rPr>
          <w:rFonts w:ascii="Arial" w:eastAsia="Arial" w:hAnsi="Arial" w:cs="Arial"/>
        </w:rPr>
        <w:t>Risk management</w:t>
      </w:r>
      <w:bookmarkEnd w:id="501"/>
    </w:p>
    <w:p w14:paraId="183E9F08" w14:textId="77777777" w:rsidR="00D20FB0" w:rsidRPr="00587DF1" w:rsidRDefault="00D20FB0" w:rsidP="00D20FB0">
      <w:pPr>
        <w:spacing w:after="0" w:line="240" w:lineRule="auto"/>
        <w:rPr>
          <w:rFonts w:ascii="Arial" w:eastAsia="Arial" w:hAnsi="Arial" w:cs="Arial"/>
          <w:highlight w:val="yellow"/>
        </w:rPr>
      </w:pPr>
    </w:p>
    <w:p w14:paraId="3567B1A0" w14:textId="77777777" w:rsidR="00D20FB0" w:rsidRPr="00587DF1" w:rsidRDefault="00D20FB0" w:rsidP="005E0D57">
      <w:pPr>
        <w:numPr>
          <w:ilvl w:val="2"/>
          <w:numId w:val="39"/>
        </w:numPr>
        <w:pBdr>
          <w:top w:val="nil"/>
          <w:left w:val="nil"/>
          <w:bottom w:val="nil"/>
          <w:right w:val="nil"/>
          <w:between w:val="nil"/>
        </w:pBdr>
        <w:tabs>
          <w:tab w:val="left" w:pos="567"/>
        </w:tabs>
        <w:jc w:val="both"/>
        <w:rPr>
          <w:rFonts w:ascii="Arial" w:eastAsia="Arial" w:hAnsi="Arial" w:cs="Arial"/>
          <w:b/>
          <w:color w:val="000000"/>
        </w:rPr>
      </w:pPr>
      <w:r w:rsidRPr="00587DF1">
        <w:rPr>
          <w:rFonts w:ascii="Arial" w:eastAsia="Arial" w:hAnsi="Arial" w:cs="Arial"/>
          <w:b/>
          <w:color w:val="000000"/>
        </w:rPr>
        <w:lastRenderedPageBreak/>
        <w:t>Introduction</w:t>
      </w:r>
    </w:p>
    <w:p w14:paraId="6616180C" w14:textId="6EB16226" w:rsidR="00D20FB0" w:rsidRPr="00587DF1" w:rsidRDefault="00D20FB0" w:rsidP="00D20FB0">
      <w:pPr>
        <w:pBdr>
          <w:top w:val="nil"/>
          <w:left w:val="nil"/>
          <w:bottom w:val="nil"/>
          <w:right w:val="nil"/>
          <w:between w:val="nil"/>
        </w:pBdr>
        <w:tabs>
          <w:tab w:val="left" w:pos="567"/>
        </w:tabs>
        <w:rPr>
          <w:rFonts w:ascii="Arial" w:eastAsia="Arial" w:hAnsi="Arial" w:cs="Arial"/>
          <w:bCs/>
          <w:color w:val="000000"/>
        </w:rPr>
      </w:pPr>
      <w:bookmarkStart w:id="502" w:name="_Toc115254394"/>
      <w:bookmarkStart w:id="503" w:name="_Toc115254864"/>
      <w:r w:rsidRPr="00587DF1">
        <w:rPr>
          <w:rFonts w:ascii="Arial" w:eastAsia="Arial" w:hAnsi="Arial" w:cs="Arial"/>
          <w:bCs/>
          <w:color w:val="000000"/>
        </w:rPr>
        <w:t>The objective of risk management is to identify and assess the risks to successful project delivery</w:t>
      </w:r>
      <w:bookmarkStart w:id="504" w:name="_Toc115254395"/>
      <w:bookmarkStart w:id="505" w:name="_Toc115254865"/>
      <w:bookmarkEnd w:id="502"/>
      <w:bookmarkEnd w:id="503"/>
      <w:r w:rsidRPr="00587DF1">
        <w:rPr>
          <w:rFonts w:ascii="Arial" w:eastAsia="Arial" w:hAnsi="Arial" w:cs="Arial"/>
          <w:bCs/>
          <w:color w:val="000000"/>
        </w:rPr>
        <w:t>, identify a risk response (e.g. mitigating action) and assign a risk owner. Part of the mitigating action has been to assign financial values to risks where applicable, to inform the contingency sums to be included in the project cost.</w:t>
      </w:r>
      <w:bookmarkEnd w:id="504"/>
      <w:bookmarkEnd w:id="505"/>
      <w:r w:rsidRPr="00587DF1">
        <w:rPr>
          <w:rFonts w:ascii="Arial" w:eastAsia="Arial" w:hAnsi="Arial" w:cs="Arial"/>
          <w:bCs/>
          <w:color w:val="000000"/>
        </w:rPr>
        <w:t xml:space="preserve"> Risk management is an ongoing process throughout the duration of the project.</w:t>
      </w:r>
    </w:p>
    <w:p w14:paraId="78A564CA" w14:textId="77777777" w:rsidR="00D20FB0" w:rsidRPr="00587DF1" w:rsidRDefault="00D20FB0" w:rsidP="005E0D57">
      <w:pPr>
        <w:numPr>
          <w:ilvl w:val="2"/>
          <w:numId w:val="39"/>
        </w:numPr>
        <w:pBdr>
          <w:top w:val="nil"/>
          <w:left w:val="nil"/>
          <w:bottom w:val="nil"/>
          <w:right w:val="nil"/>
          <w:between w:val="nil"/>
        </w:pBdr>
        <w:tabs>
          <w:tab w:val="left" w:pos="567"/>
        </w:tabs>
        <w:jc w:val="both"/>
        <w:rPr>
          <w:rFonts w:ascii="Arial" w:eastAsia="Arial" w:hAnsi="Arial" w:cs="Arial"/>
          <w:b/>
          <w:color w:val="000000"/>
        </w:rPr>
      </w:pPr>
      <w:r w:rsidRPr="00587DF1">
        <w:rPr>
          <w:rFonts w:ascii="Arial" w:eastAsia="Arial" w:hAnsi="Arial" w:cs="Arial"/>
          <w:b/>
          <w:color w:val="000000"/>
        </w:rPr>
        <w:t>Risk management strategy</w:t>
      </w:r>
    </w:p>
    <w:p w14:paraId="7C1890D1" w14:textId="77777777" w:rsidR="00D20FB0" w:rsidRPr="00587DF1" w:rsidRDefault="00D20FB0" w:rsidP="00D20FB0">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 xml:space="preserve">The project manages risk in alignment with the Moorfields and UCL risk management frameworks, the Capital Investment Manual, the Treasury Green Book and PRINCE2 methodology. The risk management strategy is designed to ensure that the risks associated with all elements of the project have been identified, weighted, and action plans developed in a risk register. </w:t>
      </w:r>
    </w:p>
    <w:p w14:paraId="55789072" w14:textId="77777777" w:rsidR="00D20FB0" w:rsidRPr="00587DF1" w:rsidRDefault="00D20FB0" w:rsidP="00D20FB0">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Risks to Oriel are logged and scored for their probability of occurring and their likely impact in terms of cost and time, which generates an overall risk score. This is undertaken at a workstream level, with oversight from the PMO. All risks have a responsible owner and a response identified, which is usually a mitigating action. The top risks are reviewed on a monthly basis by the Oriel Executive Board to ensure that all reasonable measures have been taken to mitigate them, note any changes and identify new risks as they arise. This group is responsible for escalating risks as required. Risk review workshops are also held with all workstream leads to review the risk register.</w:t>
      </w:r>
    </w:p>
    <w:p w14:paraId="0D4A3C42" w14:textId="77777777" w:rsidR="00D20FB0" w:rsidRPr="00587DF1" w:rsidRDefault="00D20FB0" w:rsidP="00D20FB0">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This risk management process (shown below) will be regularly repeated throughout the project.</w:t>
      </w:r>
    </w:p>
    <w:p w14:paraId="73F67775" w14:textId="172D9186" w:rsidR="00D20FB0" w:rsidRPr="00587DF1" w:rsidRDefault="00D20FB0" w:rsidP="00D20FB0">
      <w:pPr>
        <w:pStyle w:val="Caption"/>
      </w:pPr>
      <w:r w:rsidRPr="00587DF1">
        <w:t xml:space="preserve">Figure </w:t>
      </w:r>
      <w:r w:rsidR="00320059">
        <w:fldChar w:fldCharType="begin"/>
      </w:r>
      <w:r w:rsidR="00320059">
        <w:instrText xml:space="preserve"> SEQ Figure \* ARABIC </w:instrText>
      </w:r>
      <w:r w:rsidR="00320059">
        <w:fldChar w:fldCharType="separate"/>
      </w:r>
      <w:r w:rsidR="00A936CD">
        <w:rPr>
          <w:noProof/>
        </w:rPr>
        <w:t>25</w:t>
      </w:r>
      <w:r w:rsidR="00320059">
        <w:fldChar w:fldCharType="end"/>
      </w:r>
      <w:r w:rsidRPr="00587DF1">
        <w:t xml:space="preserve">: </w:t>
      </w:r>
      <w:r w:rsidRPr="00587DF1">
        <w:rPr>
          <w:b w:val="0"/>
          <w:bCs w:val="0"/>
        </w:rPr>
        <w:t>Risk management lifecycle</w:t>
      </w:r>
    </w:p>
    <w:p w14:paraId="5151A848" w14:textId="77777777" w:rsidR="00D20FB0" w:rsidRPr="00587DF1" w:rsidRDefault="00D20FB0" w:rsidP="00D20FB0">
      <w:pPr>
        <w:rPr>
          <w:rFonts w:ascii="Arial" w:hAnsi="Arial" w:cs="Arial"/>
        </w:rPr>
      </w:pPr>
      <w:r w:rsidRPr="00587DF1">
        <w:rPr>
          <w:rFonts w:ascii="Arial" w:hAnsi="Arial" w:cs="Arial"/>
          <w:noProof/>
        </w:rPr>
        <w:drawing>
          <wp:inline distT="0" distB="0" distL="0" distR="0" wp14:anchorId="29B9A412" wp14:editId="51D811D7">
            <wp:extent cx="5731510" cy="1183042"/>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1183042"/>
                    </a:xfrm>
                    <a:prstGeom prst="rect">
                      <a:avLst/>
                    </a:prstGeom>
                  </pic:spPr>
                </pic:pic>
              </a:graphicData>
            </a:graphic>
          </wp:inline>
        </w:drawing>
      </w:r>
    </w:p>
    <w:p w14:paraId="6009A1FB" w14:textId="3B6B96DE" w:rsidR="00623BDC" w:rsidRDefault="00D20FB0" w:rsidP="00623BDC">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 xml:space="preserve">The highest ‘red’ project risks are shown in the table below. All have mitigation plans in place. More detail can be found in the full risk register in </w:t>
      </w:r>
      <w:r w:rsidR="00CC57B7">
        <w:rPr>
          <w:rFonts w:ascii="Arial" w:eastAsia="Arial" w:hAnsi="Arial" w:cs="Arial"/>
          <w:bCs/>
          <w:color w:val="000000"/>
        </w:rPr>
        <w:t>Appendix 8B</w:t>
      </w:r>
      <w:r w:rsidRPr="00587DF1">
        <w:rPr>
          <w:rFonts w:ascii="Arial" w:eastAsia="Arial" w:hAnsi="Arial" w:cs="Arial"/>
          <w:bCs/>
          <w:color w:val="000000"/>
        </w:rPr>
        <w:t>.</w:t>
      </w:r>
    </w:p>
    <w:p w14:paraId="65CBE325" w14:textId="2BE30BED" w:rsidR="00623BDC" w:rsidRDefault="00623BDC" w:rsidP="00623BDC">
      <w:pPr>
        <w:pStyle w:val="Caption"/>
      </w:pPr>
      <w:r>
        <w:t xml:space="preserve">Table </w:t>
      </w:r>
      <w:r>
        <w:fldChar w:fldCharType="begin"/>
      </w:r>
      <w:r>
        <w:instrText xml:space="preserve"> SEQ Table \* ARABIC </w:instrText>
      </w:r>
      <w:r>
        <w:fldChar w:fldCharType="separate"/>
      </w:r>
      <w:r w:rsidR="00A936CD">
        <w:rPr>
          <w:noProof/>
        </w:rPr>
        <w:t>43</w:t>
      </w:r>
      <w:r>
        <w:fldChar w:fldCharType="end"/>
      </w:r>
      <w:r>
        <w:t xml:space="preserve">: </w:t>
      </w:r>
      <w:r>
        <w:rPr>
          <w:b w:val="0"/>
          <w:bCs w:val="0"/>
        </w:rPr>
        <w:t>Oriel top risks</w:t>
      </w:r>
    </w:p>
    <w:tbl>
      <w:tblPr>
        <w:tblW w:w="9782" w:type="dxa"/>
        <w:tblInd w:w="-416" w:type="dxa"/>
        <w:tblCellMar>
          <w:left w:w="0" w:type="dxa"/>
          <w:right w:w="0" w:type="dxa"/>
        </w:tblCellMar>
        <w:tblLook w:val="0600" w:firstRow="0" w:lastRow="0" w:firstColumn="0" w:lastColumn="0" w:noHBand="1" w:noVBand="1"/>
      </w:tblPr>
      <w:tblGrid>
        <w:gridCol w:w="1843"/>
        <w:gridCol w:w="2268"/>
        <w:gridCol w:w="4253"/>
        <w:gridCol w:w="1418"/>
      </w:tblGrid>
      <w:tr w:rsidR="00623BDC" w:rsidRPr="00623BDC" w14:paraId="424707B7" w14:textId="77777777" w:rsidTr="00E5260B">
        <w:trPr>
          <w:trHeight w:val="57"/>
        </w:trPr>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 w:type="dxa"/>
              <w:left w:w="3" w:type="dxa"/>
              <w:bottom w:w="0" w:type="dxa"/>
              <w:right w:w="3" w:type="dxa"/>
            </w:tcMar>
            <w:hideMark/>
          </w:tcPr>
          <w:p w14:paraId="6C9811EB" w14:textId="77777777" w:rsidR="00623BDC" w:rsidRPr="00623BDC" w:rsidRDefault="00623BDC" w:rsidP="00AE22D1">
            <w:pPr>
              <w:spacing w:after="0"/>
              <w:ind w:left="155"/>
              <w:rPr>
                <w:rFonts w:ascii="Arial" w:eastAsia="Arial" w:hAnsi="Arial" w:cs="Arial"/>
              </w:rPr>
            </w:pPr>
            <w:r w:rsidRPr="00623BDC">
              <w:rPr>
                <w:rFonts w:ascii="Arial" w:eastAsia="Arial" w:hAnsi="Arial" w:cs="Arial"/>
                <w:b/>
                <w:bCs/>
              </w:rPr>
              <w:t>Risk</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3" w:type="dxa"/>
              <w:left w:w="3" w:type="dxa"/>
              <w:bottom w:w="0" w:type="dxa"/>
              <w:right w:w="3" w:type="dxa"/>
            </w:tcMar>
            <w:hideMark/>
          </w:tcPr>
          <w:p w14:paraId="20F44841" w14:textId="77777777" w:rsidR="00623BDC" w:rsidRPr="00623BDC" w:rsidRDefault="00623BDC" w:rsidP="00AE22D1">
            <w:pPr>
              <w:spacing w:after="0"/>
              <w:ind w:left="145"/>
              <w:rPr>
                <w:rFonts w:ascii="Arial" w:eastAsia="Arial" w:hAnsi="Arial" w:cs="Arial"/>
              </w:rPr>
            </w:pPr>
            <w:r w:rsidRPr="00623BDC">
              <w:rPr>
                <w:rFonts w:ascii="Arial" w:eastAsia="Arial" w:hAnsi="Arial" w:cs="Arial"/>
                <w:b/>
                <w:bCs/>
              </w:rPr>
              <w:t>Potential impact</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3" w:type="dxa"/>
              <w:left w:w="3" w:type="dxa"/>
              <w:bottom w:w="0" w:type="dxa"/>
              <w:right w:w="3" w:type="dxa"/>
            </w:tcMar>
            <w:hideMark/>
          </w:tcPr>
          <w:p w14:paraId="56849E09" w14:textId="77777777" w:rsidR="00623BDC" w:rsidRPr="00623BDC" w:rsidRDefault="00623BDC" w:rsidP="00AE22D1">
            <w:pPr>
              <w:spacing w:after="0"/>
              <w:ind w:left="146"/>
              <w:rPr>
                <w:rFonts w:ascii="Arial" w:eastAsia="Arial" w:hAnsi="Arial" w:cs="Arial"/>
              </w:rPr>
            </w:pPr>
            <w:r w:rsidRPr="00623BDC">
              <w:rPr>
                <w:rFonts w:ascii="Arial" w:eastAsia="Arial" w:hAnsi="Arial" w:cs="Arial"/>
                <w:b/>
                <w:bCs/>
              </w:rPr>
              <w:t>Mitigation</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3" w:type="dxa"/>
              <w:left w:w="3" w:type="dxa"/>
              <w:bottom w:w="0" w:type="dxa"/>
              <w:right w:w="3" w:type="dxa"/>
            </w:tcMar>
            <w:hideMark/>
          </w:tcPr>
          <w:p w14:paraId="38AF907E" w14:textId="77777777" w:rsidR="00623BDC" w:rsidRPr="00623BDC" w:rsidRDefault="00623BDC" w:rsidP="00AE22D1">
            <w:pPr>
              <w:spacing w:after="0"/>
              <w:ind w:left="146"/>
              <w:rPr>
                <w:rFonts w:ascii="Arial" w:eastAsia="Arial" w:hAnsi="Arial" w:cs="Arial"/>
              </w:rPr>
            </w:pPr>
            <w:r w:rsidRPr="00623BDC">
              <w:rPr>
                <w:rFonts w:ascii="Arial" w:eastAsia="Arial" w:hAnsi="Arial" w:cs="Arial"/>
                <w:b/>
                <w:bCs/>
              </w:rPr>
              <w:t>Post-mitigation score</w:t>
            </w:r>
          </w:p>
        </w:tc>
      </w:tr>
      <w:tr w:rsidR="00623BDC" w:rsidRPr="00623BDC" w14:paraId="6AB03419" w14:textId="77777777" w:rsidTr="00E5260B">
        <w:trPr>
          <w:trHeight w:val="1176"/>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hideMark/>
          </w:tcPr>
          <w:p w14:paraId="39FFDE6F" w14:textId="0B8B3515" w:rsidR="00623BDC" w:rsidRPr="00623BDC" w:rsidRDefault="00623BDC" w:rsidP="00AE22D1">
            <w:pPr>
              <w:spacing w:after="0"/>
              <w:ind w:left="155"/>
              <w:rPr>
                <w:rFonts w:ascii="Arial" w:eastAsia="Arial" w:hAnsi="Arial" w:cs="Arial"/>
              </w:rPr>
            </w:pPr>
            <w:r w:rsidRPr="00623BDC">
              <w:rPr>
                <w:rFonts w:ascii="Arial" w:eastAsia="Arial" w:hAnsi="Arial" w:cs="Arial"/>
              </w:rPr>
              <w:t xml:space="preserve">Delay </w:t>
            </w:r>
            <w:r w:rsidR="0082206E">
              <w:rPr>
                <w:rFonts w:ascii="Arial" w:eastAsia="Arial" w:hAnsi="Arial" w:cs="Arial"/>
              </w:rPr>
              <w:t>to</w:t>
            </w:r>
            <w:r w:rsidRPr="00623BDC">
              <w:rPr>
                <w:rFonts w:ascii="Arial" w:eastAsia="Arial" w:hAnsi="Arial" w:cs="Arial"/>
              </w:rPr>
              <w:t xml:space="preserve"> Vacant possession at St Pancras by C&amp;I</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hideMark/>
          </w:tcPr>
          <w:p w14:paraId="280511D5" w14:textId="77777777" w:rsidR="00623BDC" w:rsidRPr="00623BDC" w:rsidRDefault="00623BDC" w:rsidP="00AE22D1">
            <w:pPr>
              <w:spacing w:after="0"/>
              <w:ind w:left="145"/>
              <w:rPr>
                <w:rFonts w:ascii="Arial" w:eastAsia="Arial" w:hAnsi="Arial" w:cs="Arial"/>
              </w:rPr>
            </w:pPr>
            <w:r w:rsidRPr="00623BDC">
              <w:rPr>
                <w:rFonts w:ascii="Arial" w:eastAsia="Arial" w:hAnsi="Arial" w:cs="Arial"/>
              </w:rPr>
              <w:t>Programme delay and increased inflation costs.</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hideMark/>
          </w:tcPr>
          <w:p w14:paraId="6589D31F" w14:textId="77777777" w:rsidR="00623BDC" w:rsidRDefault="00623BDC" w:rsidP="004F4B79">
            <w:pPr>
              <w:pStyle w:val="ListParagraph"/>
              <w:numPr>
                <w:ilvl w:val="0"/>
                <w:numId w:val="159"/>
              </w:numPr>
              <w:spacing w:after="0"/>
              <w:rPr>
                <w:rFonts w:ascii="Arial" w:eastAsia="Arial" w:hAnsi="Arial" w:cs="Arial"/>
              </w:rPr>
            </w:pPr>
            <w:r w:rsidRPr="00623BDC">
              <w:rPr>
                <w:rFonts w:ascii="Arial" w:eastAsia="Arial" w:hAnsi="Arial" w:cs="Arial"/>
              </w:rPr>
              <w:t>Negotiations ongoing with C&amp;I to achieve VP.</w:t>
            </w:r>
          </w:p>
          <w:p w14:paraId="737535AF" w14:textId="77777777" w:rsidR="00623BDC" w:rsidRDefault="00623BDC" w:rsidP="004F4B79">
            <w:pPr>
              <w:pStyle w:val="ListParagraph"/>
              <w:numPr>
                <w:ilvl w:val="0"/>
                <w:numId w:val="159"/>
              </w:numPr>
              <w:spacing w:after="0"/>
              <w:rPr>
                <w:rFonts w:ascii="Arial" w:eastAsia="Arial" w:hAnsi="Arial" w:cs="Arial"/>
              </w:rPr>
            </w:pPr>
            <w:r w:rsidRPr="00623BDC">
              <w:rPr>
                <w:rFonts w:ascii="Arial" w:eastAsia="Arial" w:hAnsi="Arial" w:cs="Arial"/>
              </w:rPr>
              <w:t>Chief partners meeting monitors overall programme.</w:t>
            </w:r>
          </w:p>
          <w:p w14:paraId="72996A37" w14:textId="77777777" w:rsidR="00623BDC" w:rsidRPr="00623BDC" w:rsidRDefault="00623BDC" w:rsidP="004F4B79">
            <w:pPr>
              <w:pStyle w:val="ListParagraph"/>
              <w:numPr>
                <w:ilvl w:val="0"/>
                <w:numId w:val="159"/>
              </w:numPr>
              <w:spacing w:after="0"/>
              <w:rPr>
                <w:rFonts w:ascii="Arial" w:eastAsia="Arial" w:hAnsi="Arial" w:cs="Arial"/>
              </w:rPr>
            </w:pPr>
            <w:r w:rsidRPr="00623BDC">
              <w:rPr>
                <w:rFonts w:ascii="Arial" w:eastAsia="Arial" w:hAnsi="Arial" w:cs="Arial"/>
              </w:rPr>
              <w:lastRenderedPageBreak/>
              <w:t>Construction programme rescheduling</w:t>
            </w:r>
          </w:p>
        </w:tc>
        <w:tc>
          <w:tcPr>
            <w:tcW w:w="1418" w:type="dxa"/>
            <w:tcBorders>
              <w:top w:val="single" w:sz="8" w:space="0" w:color="000000"/>
              <w:left w:val="single" w:sz="8" w:space="0" w:color="000000"/>
              <w:bottom w:val="single" w:sz="8" w:space="0" w:color="000000"/>
              <w:right w:val="single" w:sz="8" w:space="0" w:color="000000"/>
            </w:tcBorders>
            <w:shd w:val="clear" w:color="auto" w:fill="FF0000"/>
            <w:tcMar>
              <w:top w:w="3" w:type="dxa"/>
              <w:left w:w="3" w:type="dxa"/>
              <w:bottom w:w="0" w:type="dxa"/>
              <w:right w:w="3" w:type="dxa"/>
            </w:tcMar>
            <w:hideMark/>
          </w:tcPr>
          <w:p w14:paraId="028CB2B3" w14:textId="77777777" w:rsidR="00623BDC" w:rsidRPr="00623BDC" w:rsidRDefault="00623BDC" w:rsidP="00AE22D1">
            <w:pPr>
              <w:spacing w:after="0"/>
              <w:ind w:left="146"/>
              <w:jc w:val="center"/>
              <w:rPr>
                <w:rFonts w:ascii="Arial" w:eastAsia="Arial" w:hAnsi="Arial" w:cs="Arial"/>
              </w:rPr>
            </w:pPr>
            <w:r w:rsidRPr="00623BDC">
              <w:rPr>
                <w:rFonts w:ascii="Arial" w:eastAsia="Arial" w:hAnsi="Arial" w:cs="Arial"/>
              </w:rPr>
              <w:lastRenderedPageBreak/>
              <w:t>16</w:t>
            </w:r>
          </w:p>
        </w:tc>
      </w:tr>
      <w:tr w:rsidR="00623BDC" w:rsidRPr="00623BDC" w14:paraId="443BE28B" w14:textId="77777777" w:rsidTr="00E5260B">
        <w:trPr>
          <w:trHeight w:val="1176"/>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hideMark/>
          </w:tcPr>
          <w:p w14:paraId="04CB9055" w14:textId="77777777" w:rsidR="00623BDC" w:rsidRPr="00623BDC" w:rsidRDefault="00623BDC" w:rsidP="00AE22D1">
            <w:pPr>
              <w:spacing w:after="0"/>
              <w:ind w:left="155"/>
              <w:rPr>
                <w:rFonts w:ascii="Arial" w:eastAsia="Arial" w:hAnsi="Arial" w:cs="Arial"/>
              </w:rPr>
            </w:pPr>
            <w:r w:rsidRPr="00623BDC">
              <w:rPr>
                <w:rFonts w:ascii="Arial" w:eastAsia="Arial" w:hAnsi="Arial" w:cs="Arial"/>
              </w:rPr>
              <w:t>Bids on City Road site not in line with site valuations</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hideMark/>
          </w:tcPr>
          <w:p w14:paraId="106CD0EB" w14:textId="77777777" w:rsidR="00623BDC" w:rsidRPr="00623BDC" w:rsidRDefault="00623BDC" w:rsidP="00AE22D1">
            <w:pPr>
              <w:spacing w:after="0"/>
              <w:ind w:left="145"/>
              <w:rPr>
                <w:rFonts w:ascii="Arial" w:eastAsia="Arial" w:hAnsi="Arial" w:cs="Arial"/>
              </w:rPr>
            </w:pPr>
            <w:r w:rsidRPr="00623BDC">
              <w:rPr>
                <w:rFonts w:ascii="Arial" w:eastAsia="Arial" w:hAnsi="Arial" w:cs="Arial"/>
              </w:rPr>
              <w:t xml:space="preserve">Project cannot meet its capital funding requirements. </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hideMark/>
          </w:tcPr>
          <w:p w14:paraId="39977826" w14:textId="77777777" w:rsidR="00623BDC" w:rsidRPr="00623BDC" w:rsidRDefault="00623BDC" w:rsidP="004F4B79">
            <w:pPr>
              <w:pStyle w:val="ListParagraph"/>
              <w:numPr>
                <w:ilvl w:val="0"/>
                <w:numId w:val="160"/>
              </w:numPr>
              <w:spacing w:after="0"/>
              <w:rPr>
                <w:rFonts w:ascii="Arial" w:eastAsia="Arial" w:hAnsi="Arial" w:cs="Arial"/>
              </w:rPr>
            </w:pPr>
            <w:r w:rsidRPr="00623BDC">
              <w:rPr>
                <w:rFonts w:ascii="Arial" w:eastAsia="Arial" w:hAnsi="Arial" w:cs="Arial"/>
              </w:rPr>
              <w:t xml:space="preserve">Pursued disposal as joint approach to maximise marriage value. </w:t>
            </w:r>
            <w:r w:rsidRPr="00623BDC">
              <w:rPr>
                <w:rFonts w:ascii="Arial" w:eastAsia="Arial" w:hAnsi="Arial" w:cs="Arial"/>
              </w:rPr>
              <w:br/>
              <w:t>Sensitivity analysis modelled.</w:t>
            </w:r>
          </w:p>
          <w:p w14:paraId="02E92D2A" w14:textId="77777777" w:rsidR="00623BDC" w:rsidRPr="00623BDC" w:rsidRDefault="00623BDC" w:rsidP="004F4B79">
            <w:pPr>
              <w:pStyle w:val="ListParagraph"/>
              <w:numPr>
                <w:ilvl w:val="0"/>
                <w:numId w:val="160"/>
              </w:numPr>
              <w:spacing w:after="0"/>
              <w:rPr>
                <w:rFonts w:ascii="Arial" w:eastAsia="Arial" w:hAnsi="Arial" w:cs="Arial"/>
              </w:rPr>
            </w:pPr>
            <w:r w:rsidRPr="00623BDC">
              <w:rPr>
                <w:rFonts w:ascii="Arial" w:eastAsia="Arial" w:hAnsi="Arial" w:cs="Arial"/>
              </w:rPr>
              <w:t xml:space="preserve">Ongoing engagement with town planners and property market. </w:t>
            </w:r>
          </w:p>
        </w:tc>
        <w:tc>
          <w:tcPr>
            <w:tcW w:w="1418" w:type="dxa"/>
            <w:tcBorders>
              <w:top w:val="single" w:sz="8" w:space="0" w:color="000000"/>
              <w:left w:val="single" w:sz="8" w:space="0" w:color="000000"/>
              <w:bottom w:val="single" w:sz="8" w:space="0" w:color="000000"/>
              <w:right w:val="single" w:sz="8" w:space="0" w:color="000000"/>
            </w:tcBorders>
            <w:shd w:val="clear" w:color="auto" w:fill="FFC000"/>
            <w:tcMar>
              <w:top w:w="3" w:type="dxa"/>
              <w:left w:w="3" w:type="dxa"/>
              <w:bottom w:w="0" w:type="dxa"/>
              <w:right w:w="3" w:type="dxa"/>
            </w:tcMar>
            <w:hideMark/>
          </w:tcPr>
          <w:p w14:paraId="46765230" w14:textId="77777777" w:rsidR="00623BDC" w:rsidRPr="00623BDC" w:rsidRDefault="00623BDC" w:rsidP="00AE22D1">
            <w:pPr>
              <w:spacing w:after="0"/>
              <w:ind w:left="146"/>
              <w:jc w:val="center"/>
              <w:rPr>
                <w:rFonts w:ascii="Arial" w:eastAsia="Arial" w:hAnsi="Arial" w:cs="Arial"/>
              </w:rPr>
            </w:pPr>
            <w:r w:rsidRPr="00623BDC">
              <w:rPr>
                <w:rFonts w:ascii="Arial" w:eastAsia="Arial" w:hAnsi="Arial" w:cs="Arial"/>
              </w:rPr>
              <w:t>15</w:t>
            </w:r>
          </w:p>
        </w:tc>
      </w:tr>
      <w:tr w:rsidR="00623BDC" w:rsidRPr="00623BDC" w14:paraId="40D2A3CC" w14:textId="77777777" w:rsidTr="00E5260B">
        <w:trPr>
          <w:trHeight w:val="784"/>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hideMark/>
          </w:tcPr>
          <w:p w14:paraId="486EB694" w14:textId="77777777" w:rsidR="00623BDC" w:rsidRPr="00623BDC" w:rsidRDefault="00623BDC" w:rsidP="00AE22D1">
            <w:pPr>
              <w:spacing w:after="0"/>
              <w:ind w:left="155"/>
              <w:rPr>
                <w:rFonts w:ascii="Arial" w:eastAsia="Arial" w:hAnsi="Arial" w:cs="Arial"/>
              </w:rPr>
            </w:pPr>
            <w:r w:rsidRPr="00623BDC">
              <w:rPr>
                <w:rFonts w:ascii="Arial" w:eastAsia="Arial" w:hAnsi="Arial" w:cs="Arial"/>
              </w:rPr>
              <w:t>RPIF funding cannot be drawn down by deadline</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hideMark/>
          </w:tcPr>
          <w:p w14:paraId="5A5F1B90" w14:textId="77777777" w:rsidR="00623BDC" w:rsidRPr="00623BDC" w:rsidRDefault="00623BDC" w:rsidP="00AE22D1">
            <w:pPr>
              <w:spacing w:after="0"/>
              <w:ind w:left="145"/>
              <w:rPr>
                <w:rFonts w:ascii="Arial" w:eastAsia="Arial" w:hAnsi="Arial" w:cs="Arial"/>
              </w:rPr>
            </w:pPr>
            <w:r w:rsidRPr="00623BDC">
              <w:rPr>
                <w:rFonts w:ascii="Arial" w:eastAsia="Arial" w:hAnsi="Arial" w:cs="Arial"/>
              </w:rPr>
              <w:t xml:space="preserve">Project unable to meet its capital funding requirements. </w:t>
            </w:r>
            <w:r w:rsidRPr="00623BDC">
              <w:rPr>
                <w:rFonts w:ascii="Arial" w:eastAsia="Arial" w:hAnsi="Arial" w:cs="Arial"/>
              </w:rPr>
              <w:br/>
              <w:t>Reputational impact</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hideMark/>
          </w:tcPr>
          <w:p w14:paraId="0DB14E50" w14:textId="77777777" w:rsidR="00623BDC" w:rsidRPr="00623BDC" w:rsidRDefault="00623BDC" w:rsidP="004F4B79">
            <w:pPr>
              <w:pStyle w:val="ListParagraph"/>
              <w:numPr>
                <w:ilvl w:val="0"/>
                <w:numId w:val="161"/>
              </w:numPr>
              <w:spacing w:after="0"/>
              <w:rPr>
                <w:rFonts w:ascii="Arial" w:eastAsia="Arial" w:hAnsi="Arial" w:cs="Arial"/>
              </w:rPr>
            </w:pPr>
            <w:r w:rsidRPr="00623BDC">
              <w:rPr>
                <w:rFonts w:ascii="Arial" w:eastAsia="Arial" w:hAnsi="Arial" w:cs="Arial"/>
              </w:rPr>
              <w:t>Programme aligns with RPIF dates.</w:t>
            </w:r>
          </w:p>
          <w:p w14:paraId="66161539" w14:textId="77777777" w:rsidR="00623BDC" w:rsidRPr="00623BDC" w:rsidRDefault="00623BDC" w:rsidP="004F4B79">
            <w:pPr>
              <w:pStyle w:val="ListParagraph"/>
              <w:numPr>
                <w:ilvl w:val="0"/>
                <w:numId w:val="161"/>
              </w:numPr>
              <w:spacing w:after="0"/>
              <w:rPr>
                <w:rFonts w:ascii="Arial" w:eastAsia="Arial" w:hAnsi="Arial" w:cs="Arial"/>
              </w:rPr>
            </w:pPr>
            <w:r w:rsidRPr="00623BDC">
              <w:rPr>
                <w:rFonts w:ascii="Arial" w:eastAsia="Arial" w:hAnsi="Arial" w:cs="Arial"/>
              </w:rPr>
              <w:t>Ensure agreement between Moorfields, C&amp;I and UCL to enable transaction.</w:t>
            </w:r>
          </w:p>
        </w:tc>
        <w:tc>
          <w:tcPr>
            <w:tcW w:w="1418" w:type="dxa"/>
            <w:tcBorders>
              <w:top w:val="single" w:sz="8" w:space="0" w:color="000000"/>
              <w:left w:val="single" w:sz="8" w:space="0" w:color="000000"/>
              <w:bottom w:val="single" w:sz="8" w:space="0" w:color="000000"/>
              <w:right w:val="single" w:sz="8" w:space="0" w:color="000000"/>
            </w:tcBorders>
            <w:shd w:val="clear" w:color="auto" w:fill="FFC000"/>
            <w:tcMar>
              <w:top w:w="3" w:type="dxa"/>
              <w:left w:w="3" w:type="dxa"/>
              <w:bottom w:w="0" w:type="dxa"/>
              <w:right w:w="3" w:type="dxa"/>
            </w:tcMar>
            <w:hideMark/>
          </w:tcPr>
          <w:p w14:paraId="78391474" w14:textId="77777777" w:rsidR="00623BDC" w:rsidRPr="00623BDC" w:rsidRDefault="00623BDC" w:rsidP="00AE22D1">
            <w:pPr>
              <w:spacing w:after="0"/>
              <w:ind w:left="146"/>
              <w:jc w:val="center"/>
              <w:rPr>
                <w:rFonts w:ascii="Arial" w:eastAsia="Arial" w:hAnsi="Arial" w:cs="Arial"/>
              </w:rPr>
            </w:pPr>
            <w:r w:rsidRPr="00623BDC">
              <w:rPr>
                <w:rFonts w:ascii="Arial" w:eastAsia="Arial" w:hAnsi="Arial" w:cs="Arial"/>
              </w:rPr>
              <w:t>15</w:t>
            </w:r>
          </w:p>
        </w:tc>
      </w:tr>
      <w:tr w:rsidR="00623BDC" w:rsidRPr="00623BDC" w14:paraId="636768E4" w14:textId="77777777" w:rsidTr="00E5260B">
        <w:trPr>
          <w:trHeight w:val="1306"/>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hideMark/>
          </w:tcPr>
          <w:p w14:paraId="6BE2941C" w14:textId="77777777" w:rsidR="00623BDC" w:rsidRPr="00623BDC" w:rsidRDefault="00623BDC" w:rsidP="00AE22D1">
            <w:pPr>
              <w:spacing w:after="0"/>
              <w:ind w:left="155"/>
              <w:rPr>
                <w:rFonts w:ascii="Arial" w:eastAsia="Arial" w:hAnsi="Arial" w:cs="Arial"/>
              </w:rPr>
            </w:pPr>
            <w:r w:rsidRPr="00623BDC">
              <w:rPr>
                <w:rFonts w:ascii="Arial" w:eastAsia="Arial" w:hAnsi="Arial" w:cs="Arial"/>
              </w:rPr>
              <w:t>Philanthropic targets not met</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hideMark/>
          </w:tcPr>
          <w:p w14:paraId="6E58EF8E" w14:textId="77777777" w:rsidR="00623BDC" w:rsidRPr="00623BDC" w:rsidRDefault="00623BDC" w:rsidP="00AE22D1">
            <w:pPr>
              <w:spacing w:after="0"/>
              <w:ind w:left="145"/>
              <w:rPr>
                <w:rFonts w:ascii="Arial" w:eastAsia="Arial" w:hAnsi="Arial" w:cs="Arial"/>
              </w:rPr>
            </w:pPr>
            <w:r w:rsidRPr="00623BDC">
              <w:rPr>
                <w:rFonts w:ascii="Arial" w:eastAsia="Arial" w:hAnsi="Arial" w:cs="Arial"/>
              </w:rPr>
              <w:t>Project unable to meet its capital funding requirements.</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hideMark/>
          </w:tcPr>
          <w:p w14:paraId="3F28E9C0" w14:textId="77777777" w:rsidR="00E5260B" w:rsidRDefault="00623BDC" w:rsidP="004F4B79">
            <w:pPr>
              <w:pStyle w:val="ListParagraph"/>
              <w:numPr>
                <w:ilvl w:val="0"/>
                <w:numId w:val="162"/>
              </w:numPr>
              <w:spacing w:after="0"/>
              <w:rPr>
                <w:rFonts w:ascii="Arial" w:eastAsia="Arial" w:hAnsi="Arial" w:cs="Arial"/>
              </w:rPr>
            </w:pPr>
            <w:r w:rsidRPr="00623BDC">
              <w:rPr>
                <w:rFonts w:ascii="Arial" w:eastAsia="Arial" w:hAnsi="Arial" w:cs="Arial"/>
              </w:rPr>
              <w:t xml:space="preserve">Continued monitoring of progress by campaign workstream. </w:t>
            </w:r>
          </w:p>
          <w:p w14:paraId="55A84FE3" w14:textId="77777777" w:rsidR="00E5260B" w:rsidRDefault="00623BDC" w:rsidP="004F4B79">
            <w:pPr>
              <w:pStyle w:val="ListParagraph"/>
              <w:numPr>
                <w:ilvl w:val="0"/>
                <w:numId w:val="162"/>
              </w:numPr>
              <w:spacing w:after="0"/>
              <w:rPr>
                <w:rFonts w:ascii="Arial" w:eastAsia="Arial" w:hAnsi="Arial" w:cs="Arial"/>
              </w:rPr>
            </w:pPr>
            <w:r w:rsidRPr="00623BDC">
              <w:rPr>
                <w:rFonts w:ascii="Arial" w:eastAsia="Arial" w:hAnsi="Arial" w:cs="Arial"/>
              </w:rPr>
              <w:t xml:space="preserve">Due diligence into all prospects and donors. </w:t>
            </w:r>
          </w:p>
          <w:p w14:paraId="64EAFE50" w14:textId="689FA00F" w:rsidR="00623BDC" w:rsidRPr="00623BDC" w:rsidRDefault="00623BDC" w:rsidP="004F4B79">
            <w:pPr>
              <w:pStyle w:val="ListParagraph"/>
              <w:numPr>
                <w:ilvl w:val="0"/>
                <w:numId w:val="162"/>
              </w:numPr>
              <w:spacing w:after="0"/>
              <w:rPr>
                <w:rFonts w:ascii="Arial" w:eastAsia="Arial" w:hAnsi="Arial" w:cs="Arial"/>
              </w:rPr>
            </w:pPr>
            <w:r w:rsidRPr="00623BDC">
              <w:rPr>
                <w:rFonts w:ascii="Arial" w:eastAsia="Arial" w:hAnsi="Arial" w:cs="Arial"/>
              </w:rPr>
              <w:t>Workshop with fundraising consultant.</w:t>
            </w:r>
          </w:p>
        </w:tc>
        <w:tc>
          <w:tcPr>
            <w:tcW w:w="1418" w:type="dxa"/>
            <w:tcBorders>
              <w:top w:val="single" w:sz="8" w:space="0" w:color="000000"/>
              <w:left w:val="single" w:sz="8" w:space="0" w:color="000000"/>
              <w:bottom w:val="single" w:sz="8" w:space="0" w:color="000000"/>
              <w:right w:val="single" w:sz="8" w:space="0" w:color="000000"/>
            </w:tcBorders>
            <w:shd w:val="clear" w:color="auto" w:fill="FFC000"/>
            <w:tcMar>
              <w:top w:w="3" w:type="dxa"/>
              <w:left w:w="3" w:type="dxa"/>
              <w:bottom w:w="0" w:type="dxa"/>
              <w:right w:w="3" w:type="dxa"/>
            </w:tcMar>
            <w:hideMark/>
          </w:tcPr>
          <w:p w14:paraId="262B3A46" w14:textId="77777777" w:rsidR="00623BDC" w:rsidRPr="00623BDC" w:rsidRDefault="00623BDC" w:rsidP="00AE22D1">
            <w:pPr>
              <w:spacing w:after="0"/>
              <w:ind w:left="146"/>
              <w:jc w:val="center"/>
              <w:rPr>
                <w:rFonts w:ascii="Arial" w:eastAsia="Arial" w:hAnsi="Arial" w:cs="Arial"/>
              </w:rPr>
            </w:pPr>
            <w:r w:rsidRPr="00623BDC">
              <w:rPr>
                <w:rFonts w:ascii="Arial" w:eastAsia="Arial" w:hAnsi="Arial" w:cs="Arial"/>
              </w:rPr>
              <w:t>12</w:t>
            </w:r>
          </w:p>
        </w:tc>
      </w:tr>
      <w:tr w:rsidR="00623BDC" w:rsidRPr="00623BDC" w14:paraId="1A2C149A" w14:textId="77777777" w:rsidTr="00E5260B">
        <w:trPr>
          <w:trHeight w:val="1306"/>
        </w:trPr>
        <w:tc>
          <w:tcPr>
            <w:tcW w:w="184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hideMark/>
          </w:tcPr>
          <w:p w14:paraId="112FEE63" w14:textId="0AA25E92" w:rsidR="00623BDC" w:rsidRPr="00623BDC" w:rsidRDefault="00623BDC" w:rsidP="00AE22D1">
            <w:pPr>
              <w:spacing w:after="0"/>
              <w:ind w:left="155"/>
              <w:rPr>
                <w:rFonts w:ascii="Arial" w:eastAsia="Arial" w:hAnsi="Arial" w:cs="Arial"/>
              </w:rPr>
            </w:pPr>
            <w:r w:rsidRPr="00623BDC">
              <w:rPr>
                <w:rFonts w:ascii="Arial" w:eastAsia="Arial" w:hAnsi="Arial" w:cs="Arial"/>
              </w:rPr>
              <w:t xml:space="preserve">UCL </w:t>
            </w:r>
            <w:r w:rsidR="0082206E">
              <w:rPr>
                <w:rFonts w:ascii="Arial" w:eastAsia="Arial" w:hAnsi="Arial" w:cs="Arial"/>
              </w:rPr>
              <w:t>business case</w:t>
            </w:r>
            <w:r w:rsidRPr="00623BDC">
              <w:rPr>
                <w:rFonts w:ascii="Arial" w:eastAsia="Arial" w:hAnsi="Arial" w:cs="Arial"/>
              </w:rPr>
              <w:t xml:space="preserve"> approval delayed</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hideMark/>
          </w:tcPr>
          <w:p w14:paraId="76D91398" w14:textId="77777777" w:rsidR="00623BDC" w:rsidRPr="00623BDC" w:rsidRDefault="00623BDC" w:rsidP="00AE22D1">
            <w:pPr>
              <w:spacing w:after="0"/>
              <w:ind w:left="145"/>
              <w:rPr>
                <w:rFonts w:ascii="Arial" w:eastAsia="Arial" w:hAnsi="Arial" w:cs="Arial"/>
              </w:rPr>
            </w:pPr>
            <w:r w:rsidRPr="00623BDC">
              <w:rPr>
                <w:rFonts w:ascii="Arial" w:eastAsia="Arial" w:hAnsi="Arial" w:cs="Arial"/>
              </w:rPr>
              <w:t>Potential delay to project</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3" w:type="dxa"/>
              <w:left w:w="3" w:type="dxa"/>
              <w:bottom w:w="0" w:type="dxa"/>
              <w:right w:w="3" w:type="dxa"/>
            </w:tcMar>
            <w:hideMark/>
          </w:tcPr>
          <w:p w14:paraId="16C26413" w14:textId="77777777" w:rsidR="00E5260B" w:rsidRDefault="00623BDC" w:rsidP="004F4B79">
            <w:pPr>
              <w:pStyle w:val="ListParagraph"/>
              <w:numPr>
                <w:ilvl w:val="0"/>
                <w:numId w:val="163"/>
              </w:numPr>
              <w:spacing w:after="0"/>
              <w:rPr>
                <w:rFonts w:ascii="Arial" w:eastAsia="Arial" w:hAnsi="Arial" w:cs="Arial"/>
              </w:rPr>
            </w:pPr>
            <w:r w:rsidRPr="00623BDC">
              <w:rPr>
                <w:rFonts w:ascii="Arial" w:eastAsia="Arial" w:hAnsi="Arial" w:cs="Arial"/>
              </w:rPr>
              <w:t>Consider de-scoping elements of the project.</w:t>
            </w:r>
          </w:p>
          <w:p w14:paraId="00D1A0F0" w14:textId="412A81CD" w:rsidR="00623BDC" w:rsidRPr="00623BDC" w:rsidRDefault="00623BDC" w:rsidP="004F4B79">
            <w:pPr>
              <w:pStyle w:val="ListParagraph"/>
              <w:numPr>
                <w:ilvl w:val="0"/>
                <w:numId w:val="163"/>
              </w:numPr>
              <w:spacing w:after="0"/>
              <w:rPr>
                <w:rFonts w:ascii="Arial" w:eastAsia="Arial" w:hAnsi="Arial" w:cs="Arial"/>
              </w:rPr>
            </w:pPr>
            <w:r w:rsidRPr="00623BDC">
              <w:rPr>
                <w:rFonts w:ascii="Arial" w:eastAsia="Arial" w:hAnsi="Arial" w:cs="Arial"/>
              </w:rPr>
              <w:t>Create a robust business case aligning all elements (financial, academic, estates).</w:t>
            </w:r>
          </w:p>
          <w:p w14:paraId="0517CE44" w14:textId="77777777" w:rsidR="00623BDC" w:rsidRPr="00623BDC" w:rsidRDefault="00623BDC" w:rsidP="004F4B79">
            <w:pPr>
              <w:pStyle w:val="ListParagraph"/>
              <w:numPr>
                <w:ilvl w:val="0"/>
                <w:numId w:val="163"/>
              </w:numPr>
              <w:spacing w:after="0"/>
              <w:rPr>
                <w:rFonts w:ascii="Arial" w:eastAsia="Arial" w:hAnsi="Arial" w:cs="Arial"/>
              </w:rPr>
            </w:pPr>
            <w:r w:rsidRPr="00623BDC">
              <w:rPr>
                <w:rFonts w:ascii="Arial" w:eastAsia="Arial" w:hAnsi="Arial" w:cs="Arial"/>
              </w:rPr>
              <w:t>Engage with BC approvers.</w:t>
            </w:r>
          </w:p>
        </w:tc>
        <w:tc>
          <w:tcPr>
            <w:tcW w:w="1418" w:type="dxa"/>
            <w:tcBorders>
              <w:top w:val="single" w:sz="8" w:space="0" w:color="000000"/>
              <w:left w:val="single" w:sz="8" w:space="0" w:color="000000"/>
              <w:bottom w:val="single" w:sz="8" w:space="0" w:color="000000"/>
              <w:right w:val="single" w:sz="8" w:space="0" w:color="000000"/>
            </w:tcBorders>
            <w:shd w:val="clear" w:color="auto" w:fill="FFC000"/>
            <w:tcMar>
              <w:top w:w="3" w:type="dxa"/>
              <w:left w:w="3" w:type="dxa"/>
              <w:bottom w:w="0" w:type="dxa"/>
              <w:right w:w="3" w:type="dxa"/>
            </w:tcMar>
            <w:hideMark/>
          </w:tcPr>
          <w:p w14:paraId="7D50A738" w14:textId="77777777" w:rsidR="00623BDC" w:rsidRPr="00623BDC" w:rsidRDefault="00623BDC" w:rsidP="00AE22D1">
            <w:pPr>
              <w:spacing w:after="0"/>
              <w:ind w:left="146"/>
              <w:jc w:val="center"/>
              <w:rPr>
                <w:rFonts w:ascii="Arial" w:eastAsia="Arial" w:hAnsi="Arial" w:cs="Arial"/>
              </w:rPr>
            </w:pPr>
            <w:r w:rsidRPr="00623BDC">
              <w:rPr>
                <w:rFonts w:ascii="Arial" w:eastAsia="Arial" w:hAnsi="Arial" w:cs="Arial"/>
              </w:rPr>
              <w:t>12</w:t>
            </w:r>
          </w:p>
        </w:tc>
      </w:tr>
    </w:tbl>
    <w:p w14:paraId="281F18E9" w14:textId="77777777" w:rsidR="00623BDC" w:rsidRPr="00587DF1" w:rsidRDefault="00623BDC" w:rsidP="00623BDC">
      <w:pPr>
        <w:spacing w:after="0"/>
        <w:rPr>
          <w:rFonts w:ascii="Arial" w:eastAsia="Arial" w:hAnsi="Arial" w:cs="Arial"/>
        </w:rPr>
      </w:pPr>
    </w:p>
    <w:p w14:paraId="4F0635D0" w14:textId="77777777" w:rsidR="00D20FB0" w:rsidRPr="00587DF1" w:rsidRDefault="00D20FB0" w:rsidP="00D20FB0">
      <w:pPr>
        <w:spacing w:after="0" w:line="240" w:lineRule="auto"/>
        <w:rPr>
          <w:rFonts w:ascii="Arial" w:eastAsia="Arial" w:hAnsi="Arial" w:cs="Arial"/>
          <w:highlight w:val="yellow"/>
        </w:rPr>
      </w:pPr>
    </w:p>
    <w:p w14:paraId="3C4B4FB1" w14:textId="77777777" w:rsidR="00D20FB0" w:rsidRPr="00587DF1" w:rsidRDefault="00D20FB0" w:rsidP="00D20FB0">
      <w:pPr>
        <w:spacing w:after="0" w:line="240" w:lineRule="auto"/>
        <w:rPr>
          <w:rFonts w:ascii="Arial" w:eastAsia="Arial" w:hAnsi="Arial" w:cs="Arial"/>
          <w:highlight w:val="yellow"/>
        </w:rPr>
      </w:pPr>
    </w:p>
    <w:p w14:paraId="303D1F0E" w14:textId="45A913D7" w:rsidR="00D20FB0" w:rsidRPr="00587DF1" w:rsidRDefault="00D20FB0" w:rsidP="005E0D57">
      <w:pPr>
        <w:pStyle w:val="Heading2"/>
        <w:numPr>
          <w:ilvl w:val="1"/>
          <w:numId w:val="39"/>
        </w:numPr>
        <w:rPr>
          <w:rFonts w:ascii="Arial" w:eastAsia="Arial" w:hAnsi="Arial" w:cs="Arial"/>
        </w:rPr>
      </w:pPr>
      <w:bookmarkStart w:id="506" w:name="_Ref32585598"/>
      <w:bookmarkStart w:id="507" w:name="_Toc32842786"/>
      <w:r w:rsidRPr="00587DF1">
        <w:rPr>
          <w:rFonts w:ascii="Arial" w:eastAsia="Arial" w:hAnsi="Arial" w:cs="Arial"/>
        </w:rPr>
        <w:t>Communication and stakeholder engagement strategy</w:t>
      </w:r>
      <w:bookmarkEnd w:id="506"/>
      <w:bookmarkEnd w:id="507"/>
    </w:p>
    <w:p w14:paraId="33DD2930" w14:textId="77777777" w:rsidR="00D20FB0" w:rsidRPr="00587DF1" w:rsidRDefault="00D20FB0" w:rsidP="00D20FB0">
      <w:pPr>
        <w:spacing w:after="0" w:line="240" w:lineRule="auto"/>
        <w:rPr>
          <w:rFonts w:ascii="Arial" w:eastAsia="Arial" w:hAnsi="Arial" w:cs="Arial"/>
        </w:rPr>
      </w:pPr>
    </w:p>
    <w:p w14:paraId="4681ECC1" w14:textId="0E14AA8A" w:rsidR="00D20FB0" w:rsidRPr="00587DF1" w:rsidRDefault="00D20FB0" w:rsidP="00D20FB0">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 xml:space="preserve">The Oriel communications and engagement workstream has developed a stakeholder engagement strategy and action plan, included at Appendix </w:t>
      </w:r>
      <w:r w:rsidR="00CC57B7">
        <w:rPr>
          <w:rFonts w:ascii="Arial" w:eastAsia="Arial" w:hAnsi="Arial" w:cs="Arial"/>
          <w:bCs/>
          <w:color w:val="000000"/>
        </w:rPr>
        <w:t>8E</w:t>
      </w:r>
      <w:r w:rsidRPr="00587DF1">
        <w:rPr>
          <w:rFonts w:ascii="Arial" w:eastAsia="Arial" w:hAnsi="Arial" w:cs="Arial"/>
          <w:bCs/>
          <w:color w:val="000000"/>
        </w:rPr>
        <w:t>. This is summarised below.</w:t>
      </w:r>
    </w:p>
    <w:p w14:paraId="01648B8C" w14:textId="7BDDD626" w:rsidR="00D20FB0" w:rsidRPr="00587DF1" w:rsidRDefault="00D20FB0" w:rsidP="00D20FB0">
      <w:pPr>
        <w:pStyle w:val="Caption"/>
      </w:pPr>
      <w:r w:rsidRPr="00587DF1">
        <w:lastRenderedPageBreak/>
        <w:t xml:space="preserve">Figure </w:t>
      </w:r>
      <w:r w:rsidR="00320059">
        <w:fldChar w:fldCharType="begin"/>
      </w:r>
      <w:r w:rsidR="00320059">
        <w:instrText xml:space="preserve"> SEQ Figure \* ARABIC </w:instrText>
      </w:r>
      <w:r w:rsidR="00320059">
        <w:fldChar w:fldCharType="separate"/>
      </w:r>
      <w:r w:rsidR="00A936CD">
        <w:rPr>
          <w:noProof/>
        </w:rPr>
        <w:t>26</w:t>
      </w:r>
      <w:r w:rsidR="00320059">
        <w:fldChar w:fldCharType="end"/>
      </w:r>
      <w:r w:rsidRPr="00587DF1">
        <w:t>:</w:t>
      </w:r>
      <w:r w:rsidRPr="00587DF1">
        <w:rPr>
          <w:b w:val="0"/>
          <w:bCs w:val="0"/>
        </w:rPr>
        <w:t xml:space="preserve"> Engagement strategy</w:t>
      </w:r>
    </w:p>
    <w:p w14:paraId="094A2EC3" w14:textId="77777777" w:rsidR="00D20FB0" w:rsidRPr="00587DF1" w:rsidRDefault="00D20FB0" w:rsidP="00D20FB0">
      <w:pPr>
        <w:pBdr>
          <w:top w:val="nil"/>
          <w:left w:val="nil"/>
          <w:bottom w:val="nil"/>
          <w:right w:val="nil"/>
          <w:between w:val="nil"/>
        </w:pBdr>
        <w:tabs>
          <w:tab w:val="left" w:pos="567"/>
        </w:tabs>
        <w:ind w:left="-567"/>
        <w:rPr>
          <w:rFonts w:ascii="Arial" w:eastAsia="Arial" w:hAnsi="Arial" w:cs="Arial"/>
          <w:bCs/>
          <w:color w:val="000000"/>
        </w:rPr>
      </w:pPr>
      <w:r w:rsidRPr="00587DF1">
        <w:rPr>
          <w:rFonts w:ascii="Arial" w:hAnsi="Arial" w:cs="Arial"/>
          <w:noProof/>
        </w:rPr>
        <w:drawing>
          <wp:inline distT="0" distB="0" distL="0" distR="0" wp14:anchorId="693153FF" wp14:editId="2470573F">
            <wp:extent cx="6375400" cy="3728754"/>
            <wp:effectExtent l="0" t="0" r="6350" b="508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86070" cy="3734994"/>
                    </a:xfrm>
                    <a:prstGeom prst="rect">
                      <a:avLst/>
                    </a:prstGeom>
                  </pic:spPr>
                </pic:pic>
              </a:graphicData>
            </a:graphic>
          </wp:inline>
        </w:drawing>
      </w:r>
    </w:p>
    <w:p w14:paraId="14EE8AD3" w14:textId="77777777" w:rsidR="00D20FB0" w:rsidRPr="00587DF1" w:rsidRDefault="00D20FB0" w:rsidP="00D20FB0">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 xml:space="preserve">Oriel has benefitted from significant stakeholder engagement to date. The trust had a key role in the commissioner-led public consultation, contributing resource and maintaining </w:t>
      </w:r>
      <w:r w:rsidR="002D79C2">
        <w:rPr>
          <w:rFonts w:ascii="Arial" w:eastAsia="Arial" w:hAnsi="Arial" w:cs="Arial"/>
          <w:bCs/>
          <w:color w:val="000000"/>
        </w:rPr>
        <w:t>involvement</w:t>
      </w:r>
      <w:r w:rsidRPr="00587DF1">
        <w:rPr>
          <w:rFonts w:ascii="Arial" w:eastAsia="Arial" w:hAnsi="Arial" w:cs="Arial"/>
          <w:bCs/>
          <w:color w:val="000000"/>
        </w:rPr>
        <w:t xml:space="preserve"> through the Consultation Programme Board. The consultation captured feedback from over 4,600 people over 16 weeks, including service users, charity partners, staff and other local healthcare providers. 73% of the 1,511 people who responded to the survey agreed that a new centre is needed, and 73% agreed that it should be located at St Pancras.</w:t>
      </w:r>
    </w:p>
    <w:p w14:paraId="1E507E52" w14:textId="53676D00" w:rsidR="00D20FB0" w:rsidRPr="00587DF1" w:rsidRDefault="00D20FB0" w:rsidP="00D20FB0">
      <w:pPr>
        <w:rPr>
          <w:rFonts w:ascii="Arial" w:eastAsia="Arial" w:hAnsi="Arial" w:cs="Arial"/>
        </w:rPr>
      </w:pPr>
      <w:bookmarkStart w:id="508" w:name="_Hlk27149082"/>
      <w:bookmarkStart w:id="509" w:name="_Hlk22658598"/>
      <w:r w:rsidRPr="00587DF1">
        <w:rPr>
          <w:rFonts w:ascii="Arial" w:eastAsia="Arial" w:hAnsi="Arial" w:cs="Arial"/>
        </w:rPr>
        <w:t xml:space="preserve">Pre-consultation and consultation activities have extended and strengthened relationships with patient and community representatives, particularly people associated with the sight-loss community. Around 450 people expressed a specific interest in staying involved with the Oriel programme, the </w:t>
      </w:r>
      <w:r w:rsidR="00DB02F8">
        <w:rPr>
          <w:rFonts w:ascii="Arial" w:eastAsia="Arial" w:hAnsi="Arial" w:cs="Arial"/>
        </w:rPr>
        <w:t xml:space="preserve">patient </w:t>
      </w:r>
      <w:r w:rsidRPr="00587DF1">
        <w:rPr>
          <w:rFonts w:ascii="Arial" w:eastAsia="Arial" w:hAnsi="Arial" w:cs="Arial"/>
        </w:rPr>
        <w:t xml:space="preserve">Oriel Advisory Group </w:t>
      </w:r>
      <w:r w:rsidR="00DB02F8">
        <w:rPr>
          <w:rFonts w:ascii="Arial" w:eastAsia="Arial" w:hAnsi="Arial" w:cs="Arial"/>
        </w:rPr>
        <w:t xml:space="preserve">will </w:t>
      </w:r>
      <w:r w:rsidRPr="00587DF1">
        <w:rPr>
          <w:rFonts w:ascii="Arial" w:eastAsia="Arial" w:hAnsi="Arial" w:cs="Arial"/>
        </w:rPr>
        <w:t>continue working closely with the programme</w:t>
      </w:r>
      <w:r w:rsidR="00DB02F8">
        <w:rPr>
          <w:rFonts w:ascii="Arial" w:eastAsia="Arial" w:hAnsi="Arial" w:cs="Arial"/>
        </w:rPr>
        <w:t>, supplemented by a staff Advisory Group</w:t>
      </w:r>
      <w:r w:rsidRPr="00587DF1">
        <w:rPr>
          <w:rFonts w:ascii="Arial" w:eastAsia="Arial" w:hAnsi="Arial" w:cs="Arial"/>
        </w:rPr>
        <w:t>, and leading sight loss charities have offered their expertise to the next stages of design and planning.</w:t>
      </w:r>
    </w:p>
    <w:bookmarkEnd w:id="508"/>
    <w:p w14:paraId="110AD613" w14:textId="77777777" w:rsidR="00D20FB0" w:rsidRPr="00587DF1" w:rsidRDefault="00D20FB0" w:rsidP="005E0D57">
      <w:pPr>
        <w:numPr>
          <w:ilvl w:val="2"/>
          <w:numId w:val="39"/>
        </w:numPr>
        <w:pBdr>
          <w:top w:val="nil"/>
          <w:left w:val="nil"/>
          <w:bottom w:val="nil"/>
          <w:right w:val="nil"/>
          <w:between w:val="nil"/>
        </w:pBdr>
        <w:tabs>
          <w:tab w:val="left" w:pos="567"/>
        </w:tabs>
        <w:jc w:val="both"/>
        <w:rPr>
          <w:rFonts w:ascii="Arial" w:eastAsia="Arial" w:hAnsi="Arial" w:cs="Arial"/>
          <w:b/>
          <w:color w:val="000000"/>
        </w:rPr>
      </w:pPr>
      <w:r w:rsidRPr="00587DF1">
        <w:rPr>
          <w:rFonts w:ascii="Arial" w:eastAsia="Arial" w:hAnsi="Arial" w:cs="Arial"/>
          <w:b/>
          <w:color w:val="000000"/>
        </w:rPr>
        <w:t>Patient and public involvement in developing proposals</w:t>
      </w:r>
    </w:p>
    <w:p w14:paraId="67C358E9" w14:textId="77777777" w:rsidR="00D20FB0" w:rsidRPr="00587DF1" w:rsidRDefault="00D20FB0" w:rsidP="00D20FB0">
      <w:pPr>
        <w:rPr>
          <w:rFonts w:ascii="Arial" w:eastAsia="Arial" w:hAnsi="Arial" w:cs="Arial"/>
        </w:rPr>
      </w:pPr>
      <w:r w:rsidRPr="00587DF1">
        <w:rPr>
          <w:rFonts w:ascii="Arial" w:eastAsia="Arial" w:hAnsi="Arial" w:cs="Arial"/>
        </w:rPr>
        <w:t>The following themes were identified during consultation requiring further work with patients and other stakeholders:</w:t>
      </w:r>
    </w:p>
    <w:p w14:paraId="4C36E3D2" w14:textId="77777777" w:rsidR="00D20FB0" w:rsidRPr="00587DF1" w:rsidRDefault="00D20FB0" w:rsidP="005E0D57">
      <w:pPr>
        <w:pStyle w:val="ListParagraph"/>
        <w:numPr>
          <w:ilvl w:val="0"/>
          <w:numId w:val="80"/>
        </w:numPr>
        <w:rPr>
          <w:rFonts w:ascii="Arial" w:eastAsia="Arial" w:hAnsi="Arial" w:cs="Arial"/>
        </w:rPr>
      </w:pPr>
      <w:r w:rsidRPr="00587DF1">
        <w:rPr>
          <w:rFonts w:ascii="Arial" w:eastAsia="Arial" w:hAnsi="Arial" w:cs="Arial"/>
        </w:rPr>
        <w:t>Accessibility – getting to the proposed site</w:t>
      </w:r>
    </w:p>
    <w:p w14:paraId="70CECED2" w14:textId="77777777" w:rsidR="00D20FB0" w:rsidRPr="00587DF1" w:rsidRDefault="00D20FB0" w:rsidP="005E0D57">
      <w:pPr>
        <w:pStyle w:val="ListParagraph"/>
        <w:numPr>
          <w:ilvl w:val="0"/>
          <w:numId w:val="80"/>
        </w:numPr>
        <w:rPr>
          <w:rFonts w:ascii="Arial" w:eastAsia="Arial" w:hAnsi="Arial" w:cs="Arial"/>
        </w:rPr>
      </w:pPr>
      <w:r w:rsidRPr="00587DF1">
        <w:rPr>
          <w:rFonts w:ascii="Arial" w:eastAsia="Arial" w:hAnsi="Arial" w:cs="Arial"/>
        </w:rPr>
        <w:t>Accessibility – getting around the proposed new centre</w:t>
      </w:r>
    </w:p>
    <w:p w14:paraId="48E13ED5" w14:textId="77777777" w:rsidR="00D20FB0" w:rsidRPr="00587DF1" w:rsidRDefault="00D20FB0" w:rsidP="005E0D57">
      <w:pPr>
        <w:pStyle w:val="ListParagraph"/>
        <w:numPr>
          <w:ilvl w:val="0"/>
          <w:numId w:val="80"/>
        </w:numPr>
        <w:rPr>
          <w:rFonts w:ascii="Arial" w:eastAsia="Arial" w:hAnsi="Arial" w:cs="Arial"/>
        </w:rPr>
      </w:pPr>
      <w:r w:rsidRPr="00587DF1">
        <w:rPr>
          <w:rFonts w:ascii="Arial" w:eastAsia="Arial" w:hAnsi="Arial" w:cs="Arial"/>
        </w:rPr>
        <w:t>Improving the patient experience</w:t>
      </w:r>
    </w:p>
    <w:p w14:paraId="043444A1" w14:textId="77777777" w:rsidR="00D20FB0" w:rsidRPr="00587DF1" w:rsidRDefault="00D20FB0" w:rsidP="005E0D57">
      <w:pPr>
        <w:pStyle w:val="ListParagraph"/>
        <w:numPr>
          <w:ilvl w:val="0"/>
          <w:numId w:val="80"/>
        </w:numPr>
        <w:rPr>
          <w:rFonts w:ascii="Arial" w:eastAsia="Arial" w:hAnsi="Arial" w:cs="Arial"/>
        </w:rPr>
      </w:pPr>
      <w:r w:rsidRPr="00587DF1">
        <w:rPr>
          <w:rFonts w:ascii="Arial" w:eastAsia="Arial" w:hAnsi="Arial" w:cs="Arial"/>
        </w:rPr>
        <w:t>Managing transition</w:t>
      </w:r>
    </w:p>
    <w:p w14:paraId="64398065" w14:textId="77777777" w:rsidR="00D20FB0" w:rsidRPr="00587DF1" w:rsidRDefault="00D20FB0" w:rsidP="005E0D57">
      <w:pPr>
        <w:pStyle w:val="ListParagraph"/>
        <w:numPr>
          <w:ilvl w:val="0"/>
          <w:numId w:val="80"/>
        </w:numPr>
        <w:rPr>
          <w:rFonts w:ascii="Arial" w:eastAsia="Arial" w:hAnsi="Arial" w:cs="Arial"/>
        </w:rPr>
      </w:pPr>
      <w:r w:rsidRPr="00587DF1">
        <w:rPr>
          <w:rFonts w:ascii="Arial" w:eastAsia="Arial" w:hAnsi="Arial" w:cs="Arial"/>
        </w:rPr>
        <w:t>Innovation and research</w:t>
      </w:r>
    </w:p>
    <w:p w14:paraId="0CFF8D78" w14:textId="77777777" w:rsidR="00D20FB0" w:rsidRPr="00587DF1" w:rsidRDefault="00D20FB0" w:rsidP="005E0D57">
      <w:pPr>
        <w:pStyle w:val="ListParagraph"/>
        <w:numPr>
          <w:ilvl w:val="0"/>
          <w:numId w:val="80"/>
        </w:numPr>
        <w:rPr>
          <w:rFonts w:ascii="Arial" w:eastAsia="Arial" w:hAnsi="Arial" w:cs="Arial"/>
        </w:rPr>
      </w:pPr>
      <w:r w:rsidRPr="00587DF1">
        <w:rPr>
          <w:rFonts w:ascii="Arial" w:eastAsia="Arial" w:hAnsi="Arial" w:cs="Arial"/>
        </w:rPr>
        <w:lastRenderedPageBreak/>
        <w:t>Options review – a task and finish group of patient and public representatives has already contributed to the options review.</w:t>
      </w:r>
    </w:p>
    <w:p w14:paraId="42E2E1DA" w14:textId="77777777" w:rsidR="00D20FB0" w:rsidRPr="00587DF1" w:rsidRDefault="00D20FB0" w:rsidP="00D20FB0">
      <w:pPr>
        <w:rPr>
          <w:rFonts w:ascii="Arial" w:eastAsia="Arial" w:hAnsi="Arial" w:cs="Arial"/>
        </w:rPr>
      </w:pPr>
      <w:r w:rsidRPr="00587DF1">
        <w:rPr>
          <w:rFonts w:ascii="Arial" w:eastAsia="Arial" w:hAnsi="Arial" w:cs="Arial"/>
        </w:rPr>
        <w:t>Three co-production workshops and several site visits have already taken place to explore issues relating to accessibility. The findings from this exploratory work together with feedback from consultation are informing the designs and accessibility plan. Feedback from consultation will be extracted and presented to service leads to improve patient experience, innovation and research and managing transition.</w:t>
      </w:r>
    </w:p>
    <w:p w14:paraId="14FF36F3" w14:textId="276D6146" w:rsidR="00D20FB0" w:rsidRDefault="00DB02F8" w:rsidP="00D20FB0">
      <w:pPr>
        <w:rPr>
          <w:rFonts w:ascii="Arial" w:eastAsia="Arial" w:hAnsi="Arial" w:cs="Arial"/>
        </w:rPr>
      </w:pPr>
      <w:r w:rsidRPr="00DB02F8">
        <w:rPr>
          <w:rFonts w:ascii="Arial" w:eastAsia="Arial" w:hAnsi="Arial" w:cs="Arial"/>
        </w:rPr>
        <w:t>20</w:t>
      </w:r>
      <w:r w:rsidR="00D20FB0" w:rsidRPr="00DB02F8">
        <w:rPr>
          <w:rFonts w:ascii="Arial" w:eastAsia="Arial" w:hAnsi="Arial" w:cs="Arial"/>
        </w:rPr>
        <w:t xml:space="preserve"> working groups</w:t>
      </w:r>
      <w:r w:rsidRPr="00DB02F8">
        <w:rPr>
          <w:rFonts w:ascii="Arial" w:eastAsia="Arial" w:hAnsi="Arial" w:cs="Arial"/>
        </w:rPr>
        <w:t xml:space="preserve"> (shown in </w:t>
      </w:r>
      <w:r w:rsidRPr="00DB02F8">
        <w:rPr>
          <w:rFonts w:ascii="Arial" w:eastAsia="Arial" w:hAnsi="Arial" w:cs="Arial"/>
        </w:rPr>
        <w:fldChar w:fldCharType="begin"/>
      </w:r>
      <w:r w:rsidRPr="00DB02F8">
        <w:rPr>
          <w:rFonts w:ascii="Arial" w:eastAsia="Arial" w:hAnsi="Arial" w:cs="Arial"/>
        </w:rPr>
        <w:instrText xml:space="preserve"> REF _Ref32584977 \h </w:instrText>
      </w:r>
      <w:r>
        <w:rPr>
          <w:rFonts w:ascii="Arial" w:eastAsia="Arial" w:hAnsi="Arial" w:cs="Arial"/>
        </w:rPr>
        <w:instrText xml:space="preserve"> \* MERGEFORMAT </w:instrText>
      </w:r>
      <w:r w:rsidRPr="00DB02F8">
        <w:rPr>
          <w:rFonts w:ascii="Arial" w:eastAsia="Arial" w:hAnsi="Arial" w:cs="Arial"/>
        </w:rPr>
      </w:r>
      <w:r w:rsidRPr="00DB02F8">
        <w:rPr>
          <w:rFonts w:ascii="Arial" w:eastAsia="Arial" w:hAnsi="Arial" w:cs="Arial"/>
        </w:rPr>
        <w:fldChar w:fldCharType="separate"/>
      </w:r>
      <w:r w:rsidR="00A936CD" w:rsidRPr="00A936CD">
        <w:rPr>
          <w:rFonts w:ascii="Arial" w:hAnsi="Arial" w:cs="Arial"/>
        </w:rPr>
        <w:t xml:space="preserve">Figure </w:t>
      </w:r>
      <w:r w:rsidR="00A936CD" w:rsidRPr="00A936CD">
        <w:rPr>
          <w:rFonts w:ascii="Arial" w:hAnsi="Arial" w:cs="Arial"/>
          <w:noProof/>
        </w:rPr>
        <w:t>27</w:t>
      </w:r>
      <w:r w:rsidRPr="00DB02F8">
        <w:rPr>
          <w:rFonts w:ascii="Arial" w:eastAsia="Arial" w:hAnsi="Arial" w:cs="Arial"/>
        </w:rPr>
        <w:fldChar w:fldCharType="end"/>
      </w:r>
      <w:r w:rsidRPr="00DB02F8">
        <w:rPr>
          <w:rFonts w:ascii="Arial" w:eastAsia="Arial" w:hAnsi="Arial" w:cs="Arial"/>
        </w:rPr>
        <w:t>)</w:t>
      </w:r>
      <w:r w:rsidR="00D20FB0" w:rsidRPr="00DB02F8">
        <w:rPr>
          <w:rFonts w:ascii="Arial" w:eastAsia="Arial" w:hAnsi="Arial" w:cs="Arial"/>
        </w:rPr>
        <w:t xml:space="preserve"> have been set up to prepare design briefs covering</w:t>
      </w:r>
      <w:r w:rsidR="00D20FB0" w:rsidRPr="00587DF1">
        <w:rPr>
          <w:rFonts w:ascii="Arial" w:eastAsia="Arial" w:hAnsi="Arial" w:cs="Arial"/>
        </w:rPr>
        <w:t xml:space="preserve"> all aspects of the proposed new centre. Patient and public representatives and independent experts will be involved with those working groups concerned with patient services, as well as Moorfields staff and clinical leads. Each relevant working group will have the benefit of a patient and public involvement champion from Oriel Advisory Group and the wider pool of interested representatives. With the support of the Oriel team, each champion will help to co-ordinate patient and public contributions to the work of the group, which may include task and finish groups, discussion events, surveys or other techniques as appropriate.</w:t>
      </w:r>
    </w:p>
    <w:p w14:paraId="0097A000" w14:textId="3ADF6EFF" w:rsidR="00DB02F8" w:rsidRDefault="00DB02F8" w:rsidP="00DB02F8">
      <w:pPr>
        <w:pStyle w:val="Caption"/>
      </w:pPr>
      <w:bookmarkStart w:id="510" w:name="_Ref32584977"/>
      <w:r>
        <w:t xml:space="preserve">Figure </w:t>
      </w:r>
      <w:r>
        <w:fldChar w:fldCharType="begin"/>
      </w:r>
      <w:r>
        <w:instrText xml:space="preserve"> SEQ Figure \* ARABIC </w:instrText>
      </w:r>
      <w:r>
        <w:fldChar w:fldCharType="separate"/>
      </w:r>
      <w:r w:rsidR="00A936CD">
        <w:rPr>
          <w:noProof/>
        </w:rPr>
        <w:t>27</w:t>
      </w:r>
      <w:r>
        <w:fldChar w:fldCharType="end"/>
      </w:r>
      <w:bookmarkEnd w:id="510"/>
      <w:r>
        <w:t>:</w:t>
      </w:r>
      <w:r>
        <w:rPr>
          <w:b w:val="0"/>
          <w:bCs w:val="0"/>
        </w:rPr>
        <w:t xml:space="preserve"> Oriel working groups</w:t>
      </w:r>
    </w:p>
    <w:p w14:paraId="48DE908D" w14:textId="196513FF" w:rsidR="00DB02F8" w:rsidRDefault="00DB02F8" w:rsidP="00D20FB0">
      <w:pPr>
        <w:rPr>
          <w:rFonts w:ascii="Arial" w:eastAsia="Arial" w:hAnsi="Arial" w:cs="Arial"/>
        </w:rPr>
      </w:pPr>
      <w:r>
        <w:rPr>
          <w:noProof/>
        </w:rPr>
        <w:drawing>
          <wp:inline distT="0" distB="0" distL="0" distR="0" wp14:anchorId="55BCD6E2" wp14:editId="6E2C593F">
            <wp:extent cx="5731510" cy="3951605"/>
            <wp:effectExtent l="0" t="0" r="2540" b="0"/>
            <wp:docPr id="1483731216" name="Picture 148373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951605"/>
                    </a:xfrm>
                    <a:prstGeom prst="rect">
                      <a:avLst/>
                    </a:prstGeom>
                  </pic:spPr>
                </pic:pic>
              </a:graphicData>
            </a:graphic>
          </wp:inline>
        </w:drawing>
      </w:r>
    </w:p>
    <w:p w14:paraId="1DEBB816" w14:textId="77777777" w:rsidR="00D20FB0" w:rsidRPr="00587DF1" w:rsidRDefault="00D20FB0" w:rsidP="00D20FB0">
      <w:pPr>
        <w:rPr>
          <w:rFonts w:ascii="Arial" w:eastAsia="Arial" w:hAnsi="Arial" w:cs="Arial"/>
        </w:rPr>
      </w:pPr>
      <w:r w:rsidRPr="00587DF1">
        <w:rPr>
          <w:rFonts w:ascii="Arial" w:eastAsia="Arial" w:hAnsi="Arial" w:cs="Arial"/>
        </w:rPr>
        <w:t>To support continuing involvement, Moorfields and commissioner communications leads will continue to publish regular updates on the Oriel programme via the Oriel website and other channels, such as newsletters, patient participation group meetings and social media.</w:t>
      </w:r>
    </w:p>
    <w:p w14:paraId="7701D31E" w14:textId="27D58FB8" w:rsidR="00D20FB0" w:rsidRPr="00587DF1" w:rsidRDefault="00D20FB0" w:rsidP="00D20FB0">
      <w:pPr>
        <w:rPr>
          <w:rFonts w:ascii="Arial" w:eastAsia="Arial" w:hAnsi="Arial" w:cs="Arial"/>
        </w:rPr>
      </w:pPr>
      <w:r w:rsidRPr="00587DF1">
        <w:rPr>
          <w:rFonts w:ascii="Arial" w:eastAsia="Arial" w:hAnsi="Arial" w:cs="Arial"/>
        </w:rPr>
        <w:lastRenderedPageBreak/>
        <w:t>Patient and public involvement will continue throughout the project. At every stage, Moorfields will work with patient and public representatives to advise on and test developments.​</w:t>
      </w:r>
      <w:bookmarkEnd w:id="509"/>
    </w:p>
    <w:p w14:paraId="1C0D2FC5" w14:textId="77777777" w:rsidR="00D20FB0" w:rsidRPr="00587DF1" w:rsidRDefault="0067782C" w:rsidP="005E0D57">
      <w:pPr>
        <w:numPr>
          <w:ilvl w:val="2"/>
          <w:numId w:val="39"/>
        </w:numPr>
        <w:pBdr>
          <w:top w:val="nil"/>
          <w:left w:val="nil"/>
          <w:bottom w:val="nil"/>
          <w:right w:val="nil"/>
          <w:between w:val="nil"/>
        </w:pBdr>
        <w:tabs>
          <w:tab w:val="left" w:pos="567"/>
        </w:tabs>
        <w:jc w:val="both"/>
        <w:rPr>
          <w:rFonts w:ascii="Arial" w:eastAsia="Arial" w:hAnsi="Arial" w:cs="Arial"/>
          <w:b/>
          <w:color w:val="000000"/>
        </w:rPr>
      </w:pPr>
      <w:r>
        <w:rPr>
          <w:rFonts w:ascii="Arial" w:eastAsia="Arial" w:hAnsi="Arial" w:cs="Arial"/>
          <w:b/>
          <w:color w:val="000000"/>
        </w:rPr>
        <w:t xml:space="preserve">Engagement with statutory </w:t>
      </w:r>
      <w:r w:rsidR="000D05E5">
        <w:rPr>
          <w:rFonts w:ascii="Arial" w:eastAsia="Arial" w:hAnsi="Arial" w:cs="Arial"/>
          <w:b/>
          <w:color w:val="000000"/>
        </w:rPr>
        <w:t>bodies</w:t>
      </w:r>
    </w:p>
    <w:p w14:paraId="1A370DAE" w14:textId="788605F5" w:rsidR="006976B2" w:rsidRDefault="00D20FB0" w:rsidP="00D20FB0">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 xml:space="preserve">Engagement with CCGs and their corresponding local authorities was an important part of the pre-consultation and consultation process. </w:t>
      </w:r>
      <w:r w:rsidR="00F41928">
        <w:rPr>
          <w:rFonts w:ascii="Arial" w:eastAsia="Arial" w:hAnsi="Arial" w:cs="Arial"/>
          <w:bCs/>
          <w:color w:val="000000"/>
        </w:rPr>
        <w:t>The following stakeholders were</w:t>
      </w:r>
      <w:r w:rsidRPr="00587DF1">
        <w:rPr>
          <w:rFonts w:ascii="Arial" w:eastAsia="Arial" w:hAnsi="Arial" w:cs="Arial"/>
          <w:bCs/>
          <w:color w:val="000000"/>
        </w:rPr>
        <w:t xml:space="preserve"> engaged </w:t>
      </w:r>
      <w:r w:rsidR="00F41928">
        <w:rPr>
          <w:rFonts w:ascii="Arial" w:eastAsia="Arial" w:hAnsi="Arial" w:cs="Arial"/>
          <w:bCs/>
          <w:color w:val="000000"/>
        </w:rPr>
        <w:t>– detail is provided in the DMBC:</w:t>
      </w:r>
    </w:p>
    <w:p w14:paraId="68E737E1" w14:textId="62681C88" w:rsidR="00F41928" w:rsidRPr="00F41928" w:rsidRDefault="00F41928" w:rsidP="005E0D57">
      <w:pPr>
        <w:pStyle w:val="ListParagraph"/>
        <w:numPr>
          <w:ilvl w:val="0"/>
          <w:numId w:val="80"/>
        </w:numPr>
        <w:rPr>
          <w:rFonts w:ascii="Arial" w:eastAsia="Arial" w:hAnsi="Arial" w:cs="Arial"/>
        </w:rPr>
      </w:pPr>
      <w:r w:rsidRPr="00F41928">
        <w:rPr>
          <w:rFonts w:ascii="Arial" w:eastAsia="Arial" w:hAnsi="Arial" w:cs="Arial"/>
        </w:rPr>
        <w:t>CCGs</w:t>
      </w:r>
      <w:r>
        <w:rPr>
          <w:rFonts w:ascii="Arial" w:eastAsia="Arial" w:hAnsi="Arial" w:cs="Arial"/>
        </w:rPr>
        <w:t>.</w:t>
      </w:r>
    </w:p>
    <w:p w14:paraId="0957AF1F" w14:textId="4F1B89A3" w:rsidR="00F41928" w:rsidRPr="00F41928" w:rsidRDefault="00F41928" w:rsidP="005E0D57">
      <w:pPr>
        <w:pStyle w:val="ListParagraph"/>
        <w:numPr>
          <w:ilvl w:val="0"/>
          <w:numId w:val="80"/>
        </w:numPr>
        <w:rPr>
          <w:rFonts w:ascii="Arial" w:eastAsia="Arial" w:hAnsi="Arial" w:cs="Arial"/>
        </w:rPr>
      </w:pPr>
      <w:r w:rsidRPr="00F41928">
        <w:rPr>
          <w:rFonts w:ascii="Arial" w:eastAsia="Arial" w:hAnsi="Arial" w:cs="Arial"/>
        </w:rPr>
        <w:t>NHS England Specialist commissioning</w:t>
      </w:r>
      <w:r>
        <w:rPr>
          <w:rFonts w:ascii="Arial" w:eastAsia="Arial" w:hAnsi="Arial" w:cs="Arial"/>
        </w:rPr>
        <w:t>.</w:t>
      </w:r>
    </w:p>
    <w:p w14:paraId="03E5FFD2" w14:textId="6E7C1232" w:rsidR="00F41928" w:rsidRPr="00F41928" w:rsidRDefault="00F41928" w:rsidP="005E0D57">
      <w:pPr>
        <w:pStyle w:val="ListParagraph"/>
        <w:numPr>
          <w:ilvl w:val="0"/>
          <w:numId w:val="80"/>
        </w:numPr>
        <w:rPr>
          <w:rFonts w:ascii="Arial" w:eastAsia="Arial" w:hAnsi="Arial" w:cs="Arial"/>
        </w:rPr>
      </w:pPr>
      <w:r w:rsidRPr="00F41928">
        <w:rPr>
          <w:rFonts w:ascii="Arial" w:eastAsia="Arial" w:hAnsi="Arial" w:cs="Arial"/>
        </w:rPr>
        <w:t>Governing Bodies and Joint Commissioning Committee (JCC) meetings</w:t>
      </w:r>
      <w:r>
        <w:rPr>
          <w:rFonts w:ascii="Arial" w:eastAsia="Arial" w:hAnsi="Arial" w:cs="Arial"/>
        </w:rPr>
        <w:t>.</w:t>
      </w:r>
    </w:p>
    <w:p w14:paraId="2993E0AD" w14:textId="412044E7" w:rsidR="00F41928" w:rsidRPr="00F41928" w:rsidRDefault="00F41928" w:rsidP="005E0D57">
      <w:pPr>
        <w:pStyle w:val="ListParagraph"/>
        <w:numPr>
          <w:ilvl w:val="0"/>
          <w:numId w:val="80"/>
        </w:numPr>
        <w:rPr>
          <w:rFonts w:ascii="Arial" w:eastAsia="Arial" w:hAnsi="Arial" w:cs="Arial"/>
        </w:rPr>
      </w:pPr>
      <w:r w:rsidRPr="00F41928">
        <w:rPr>
          <w:rFonts w:ascii="Arial" w:eastAsia="Arial" w:hAnsi="Arial" w:cs="Arial"/>
        </w:rPr>
        <w:t>NHS England/ Improvement Oversight Group for Service Change and Reconfiguration (OGSCR)</w:t>
      </w:r>
      <w:r>
        <w:rPr>
          <w:rFonts w:ascii="Arial" w:eastAsia="Arial" w:hAnsi="Arial" w:cs="Arial"/>
        </w:rPr>
        <w:t>.</w:t>
      </w:r>
    </w:p>
    <w:p w14:paraId="291F07F8" w14:textId="0E001881" w:rsidR="00F41928" w:rsidRPr="00F41928" w:rsidRDefault="00F41928" w:rsidP="005E0D57">
      <w:pPr>
        <w:pStyle w:val="ListParagraph"/>
        <w:numPr>
          <w:ilvl w:val="0"/>
          <w:numId w:val="80"/>
        </w:numPr>
        <w:rPr>
          <w:rFonts w:ascii="Arial" w:eastAsia="Arial" w:hAnsi="Arial" w:cs="Arial"/>
        </w:rPr>
      </w:pPr>
      <w:r w:rsidRPr="00F41928">
        <w:rPr>
          <w:rFonts w:ascii="Arial" w:eastAsia="Arial" w:hAnsi="Arial" w:cs="Arial"/>
        </w:rPr>
        <w:t>NHS England/ Improvement London Region</w:t>
      </w:r>
      <w:r>
        <w:rPr>
          <w:rFonts w:ascii="Arial" w:eastAsia="Arial" w:hAnsi="Arial" w:cs="Arial"/>
        </w:rPr>
        <w:t>.</w:t>
      </w:r>
    </w:p>
    <w:p w14:paraId="268174A3" w14:textId="34B8C463" w:rsidR="00F41928" w:rsidRPr="00F41928" w:rsidRDefault="00F41928" w:rsidP="005E0D57">
      <w:pPr>
        <w:pStyle w:val="ListParagraph"/>
        <w:numPr>
          <w:ilvl w:val="0"/>
          <w:numId w:val="80"/>
        </w:numPr>
        <w:rPr>
          <w:rFonts w:ascii="Arial" w:eastAsia="Arial" w:hAnsi="Arial" w:cs="Arial"/>
        </w:rPr>
      </w:pPr>
      <w:r w:rsidRPr="00F41928">
        <w:rPr>
          <w:rFonts w:ascii="Arial" w:eastAsia="Arial" w:hAnsi="Arial" w:cs="Arial"/>
        </w:rPr>
        <w:t>Joint Health Overview and Scrutiny Committee (JHOSC) (Local Authority)</w:t>
      </w:r>
      <w:r>
        <w:rPr>
          <w:rFonts w:ascii="Arial" w:eastAsia="Arial" w:hAnsi="Arial" w:cs="Arial"/>
        </w:rPr>
        <w:t>.</w:t>
      </w:r>
    </w:p>
    <w:p w14:paraId="54DA09E7" w14:textId="2F52D44C" w:rsidR="00F41928" w:rsidRPr="00F41928" w:rsidRDefault="00F41928" w:rsidP="005E0D57">
      <w:pPr>
        <w:pStyle w:val="ListParagraph"/>
        <w:numPr>
          <w:ilvl w:val="0"/>
          <w:numId w:val="80"/>
        </w:numPr>
        <w:rPr>
          <w:rFonts w:ascii="Arial" w:eastAsia="Arial" w:hAnsi="Arial" w:cs="Arial"/>
        </w:rPr>
      </w:pPr>
      <w:r w:rsidRPr="00F41928">
        <w:rPr>
          <w:rFonts w:ascii="Arial" w:eastAsia="Arial" w:hAnsi="Arial" w:cs="Arial"/>
        </w:rPr>
        <w:t>London Clinical Senate</w:t>
      </w:r>
      <w:r>
        <w:rPr>
          <w:rFonts w:ascii="Arial" w:eastAsia="Arial" w:hAnsi="Arial" w:cs="Arial"/>
        </w:rPr>
        <w:t>.</w:t>
      </w:r>
    </w:p>
    <w:p w14:paraId="4BBAC719" w14:textId="17A72248" w:rsidR="00F41928" w:rsidRPr="00F41928" w:rsidRDefault="00F41928" w:rsidP="005E0D57">
      <w:pPr>
        <w:pStyle w:val="ListParagraph"/>
        <w:numPr>
          <w:ilvl w:val="0"/>
          <w:numId w:val="80"/>
        </w:numPr>
        <w:rPr>
          <w:rFonts w:ascii="Arial" w:eastAsia="Arial" w:hAnsi="Arial" w:cs="Arial"/>
        </w:rPr>
      </w:pPr>
      <w:r w:rsidRPr="00F41928">
        <w:rPr>
          <w:rFonts w:ascii="Arial" w:eastAsia="Arial" w:hAnsi="Arial" w:cs="Arial"/>
        </w:rPr>
        <w:t>HealthWatch</w:t>
      </w:r>
      <w:r>
        <w:rPr>
          <w:rFonts w:ascii="Arial" w:eastAsia="Arial" w:hAnsi="Arial" w:cs="Arial"/>
        </w:rPr>
        <w:t>.</w:t>
      </w:r>
    </w:p>
    <w:p w14:paraId="5774DE4D" w14:textId="01DAE041" w:rsidR="00F41928" w:rsidRPr="00F41928" w:rsidRDefault="00F41928" w:rsidP="005E0D57">
      <w:pPr>
        <w:pStyle w:val="ListParagraph"/>
        <w:numPr>
          <w:ilvl w:val="0"/>
          <w:numId w:val="80"/>
        </w:numPr>
        <w:rPr>
          <w:rFonts w:ascii="Arial" w:eastAsia="Arial" w:hAnsi="Arial" w:cs="Arial"/>
        </w:rPr>
      </w:pPr>
      <w:r w:rsidRPr="00F41928">
        <w:rPr>
          <w:rFonts w:ascii="Arial" w:eastAsia="Arial" w:hAnsi="Arial" w:cs="Arial"/>
        </w:rPr>
        <w:t>Clinical involvement</w:t>
      </w:r>
      <w:r>
        <w:rPr>
          <w:rFonts w:ascii="Arial" w:eastAsia="Arial" w:hAnsi="Arial" w:cs="Arial"/>
        </w:rPr>
        <w:t>.</w:t>
      </w:r>
    </w:p>
    <w:p w14:paraId="268A5394" w14:textId="44D9C4A7" w:rsidR="006976B2" w:rsidRPr="00F41928" w:rsidRDefault="00F41928" w:rsidP="005E0D57">
      <w:pPr>
        <w:pStyle w:val="ListParagraph"/>
        <w:numPr>
          <w:ilvl w:val="0"/>
          <w:numId w:val="80"/>
        </w:numPr>
        <w:rPr>
          <w:rFonts w:ascii="Arial" w:eastAsia="Arial" w:hAnsi="Arial" w:cs="Arial"/>
        </w:rPr>
      </w:pPr>
      <w:r w:rsidRPr="00F41928">
        <w:rPr>
          <w:rFonts w:ascii="Arial" w:eastAsia="Arial" w:hAnsi="Arial" w:cs="Arial"/>
        </w:rPr>
        <w:t>Mayor of London</w:t>
      </w:r>
      <w:r>
        <w:rPr>
          <w:rFonts w:ascii="Arial" w:eastAsia="Arial" w:hAnsi="Arial" w:cs="Arial"/>
        </w:rPr>
        <w:t>.</w:t>
      </w:r>
    </w:p>
    <w:p w14:paraId="561B13B3" w14:textId="25306EE8" w:rsidR="00D20FB0" w:rsidRPr="00587DF1" w:rsidRDefault="00D20FB0" w:rsidP="00F41928">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 xml:space="preserve">Commissioner support for the </w:t>
      </w:r>
      <w:r w:rsidRPr="00DB02F8">
        <w:rPr>
          <w:rFonts w:ascii="Arial" w:eastAsia="Arial" w:hAnsi="Arial" w:cs="Arial"/>
          <w:bCs/>
          <w:color w:val="000000"/>
        </w:rPr>
        <w:t>proposals has</w:t>
      </w:r>
      <w:r w:rsidR="00DB02F8">
        <w:rPr>
          <w:rFonts w:ascii="Arial" w:eastAsia="Arial" w:hAnsi="Arial" w:cs="Arial"/>
          <w:bCs/>
          <w:color w:val="000000"/>
        </w:rPr>
        <w:t xml:space="preserve"> </w:t>
      </w:r>
      <w:r w:rsidRPr="00587DF1">
        <w:rPr>
          <w:rFonts w:ascii="Arial" w:eastAsia="Arial" w:hAnsi="Arial" w:cs="Arial"/>
          <w:bCs/>
          <w:color w:val="000000"/>
        </w:rPr>
        <w:t xml:space="preserve">been obtained through the </w:t>
      </w:r>
      <w:r w:rsidR="00DB02F8">
        <w:rPr>
          <w:rFonts w:ascii="Arial" w:eastAsia="Arial" w:hAnsi="Arial" w:cs="Arial"/>
          <w:bCs/>
          <w:color w:val="000000"/>
        </w:rPr>
        <w:t xml:space="preserve">approval of the DMBC. </w:t>
      </w:r>
      <w:r w:rsidRPr="00587DF1">
        <w:rPr>
          <w:rFonts w:ascii="Arial" w:eastAsia="Arial" w:hAnsi="Arial" w:cs="Arial"/>
          <w:bCs/>
          <w:color w:val="000000"/>
        </w:rPr>
        <w:t xml:space="preserve">Letters of support </w:t>
      </w:r>
      <w:r w:rsidR="00CC57B7">
        <w:rPr>
          <w:rFonts w:ascii="Arial" w:eastAsia="Arial" w:hAnsi="Arial" w:cs="Arial"/>
          <w:bCs/>
          <w:color w:val="000000"/>
        </w:rPr>
        <w:t xml:space="preserve">from commissioners, </w:t>
      </w:r>
      <w:r w:rsidRPr="00587DF1">
        <w:rPr>
          <w:rFonts w:ascii="Arial" w:eastAsia="Arial" w:hAnsi="Arial" w:cs="Arial"/>
          <w:bCs/>
          <w:color w:val="000000"/>
        </w:rPr>
        <w:t xml:space="preserve">LB Camden, the Mayor of London and </w:t>
      </w:r>
      <w:r w:rsidR="00CC57B7">
        <w:rPr>
          <w:rFonts w:ascii="Arial" w:eastAsia="Arial" w:hAnsi="Arial" w:cs="Arial"/>
          <w:bCs/>
          <w:color w:val="000000"/>
        </w:rPr>
        <w:t xml:space="preserve">other key stakeholders </w:t>
      </w:r>
      <w:r w:rsidRPr="00587DF1">
        <w:rPr>
          <w:rFonts w:ascii="Arial" w:eastAsia="Arial" w:hAnsi="Arial" w:cs="Arial"/>
          <w:bCs/>
          <w:color w:val="000000"/>
        </w:rPr>
        <w:t xml:space="preserve">are included at Appendix </w:t>
      </w:r>
      <w:r w:rsidR="00CC57B7">
        <w:rPr>
          <w:rFonts w:ascii="Arial" w:eastAsia="Arial" w:hAnsi="Arial" w:cs="Arial"/>
          <w:bCs/>
          <w:color w:val="000000"/>
        </w:rPr>
        <w:t>3E</w:t>
      </w:r>
      <w:r w:rsidRPr="00587DF1">
        <w:rPr>
          <w:rFonts w:ascii="Arial" w:eastAsia="Arial" w:hAnsi="Arial" w:cs="Arial"/>
          <w:bCs/>
          <w:color w:val="000000"/>
        </w:rPr>
        <w:t>.</w:t>
      </w:r>
    </w:p>
    <w:p w14:paraId="67CF8BC6" w14:textId="77777777" w:rsidR="00D20FB0" w:rsidRPr="00587DF1" w:rsidRDefault="00D20FB0" w:rsidP="005E0D57">
      <w:pPr>
        <w:numPr>
          <w:ilvl w:val="2"/>
          <w:numId w:val="39"/>
        </w:numPr>
        <w:pBdr>
          <w:top w:val="nil"/>
          <w:left w:val="nil"/>
          <w:bottom w:val="nil"/>
          <w:right w:val="nil"/>
          <w:between w:val="nil"/>
        </w:pBdr>
        <w:tabs>
          <w:tab w:val="left" w:pos="567"/>
        </w:tabs>
        <w:jc w:val="both"/>
        <w:rPr>
          <w:rFonts w:ascii="Arial" w:eastAsia="Arial" w:hAnsi="Arial" w:cs="Arial"/>
          <w:b/>
          <w:color w:val="000000"/>
        </w:rPr>
      </w:pPr>
      <w:r w:rsidRPr="00587DF1">
        <w:rPr>
          <w:rFonts w:ascii="Arial" w:eastAsia="Arial" w:hAnsi="Arial" w:cs="Arial"/>
          <w:b/>
          <w:color w:val="000000"/>
        </w:rPr>
        <w:t>Staff engagement</w:t>
      </w:r>
    </w:p>
    <w:p w14:paraId="20320B4A" w14:textId="4B6D6960" w:rsidR="00D20FB0" w:rsidRPr="00587DF1" w:rsidRDefault="00D20FB0" w:rsidP="001A01D9">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 xml:space="preserve">Involving staff in the development of proposals will be critical to both shaping plans with the benefit of the expertise available, and in delivering these proposals with a workforce which is ready to implement changes to how they work in Oriel. A core group of staff </w:t>
      </w:r>
      <w:r w:rsidR="00E34F67">
        <w:rPr>
          <w:rFonts w:ascii="Arial" w:eastAsia="Arial" w:hAnsi="Arial" w:cs="Arial"/>
          <w:bCs/>
          <w:color w:val="000000"/>
        </w:rPr>
        <w:t>is</w:t>
      </w:r>
      <w:r w:rsidRPr="00587DF1">
        <w:rPr>
          <w:rFonts w:ascii="Arial" w:eastAsia="Arial" w:hAnsi="Arial" w:cs="Arial"/>
          <w:bCs/>
          <w:color w:val="000000"/>
        </w:rPr>
        <w:t xml:space="preserve"> involved </w:t>
      </w:r>
      <w:r w:rsidRPr="00DB02F8">
        <w:rPr>
          <w:rFonts w:ascii="Arial" w:eastAsia="Arial" w:hAnsi="Arial" w:cs="Arial"/>
          <w:bCs/>
          <w:color w:val="000000"/>
        </w:rPr>
        <w:t>in shaping proposals through the user groups</w:t>
      </w:r>
      <w:r w:rsidR="00DB02F8" w:rsidRPr="00DB02F8">
        <w:rPr>
          <w:rFonts w:ascii="Arial" w:eastAsia="Arial" w:hAnsi="Arial" w:cs="Arial"/>
          <w:bCs/>
          <w:color w:val="000000"/>
        </w:rPr>
        <w:t xml:space="preserve"> shown in </w:t>
      </w:r>
      <w:r w:rsidR="00DB02F8" w:rsidRPr="00DB02F8">
        <w:rPr>
          <w:rFonts w:ascii="Arial" w:eastAsia="Arial" w:hAnsi="Arial" w:cs="Arial"/>
          <w:bCs/>
          <w:color w:val="000000"/>
        </w:rPr>
        <w:fldChar w:fldCharType="begin"/>
      </w:r>
      <w:r w:rsidR="00DB02F8" w:rsidRPr="00DB02F8">
        <w:rPr>
          <w:rFonts w:ascii="Arial" w:eastAsia="Arial" w:hAnsi="Arial" w:cs="Arial"/>
          <w:bCs/>
          <w:color w:val="000000"/>
        </w:rPr>
        <w:instrText xml:space="preserve"> REF _Ref32584977 \h </w:instrText>
      </w:r>
      <w:r w:rsidR="00DB02F8">
        <w:rPr>
          <w:rFonts w:ascii="Arial" w:eastAsia="Arial" w:hAnsi="Arial" w:cs="Arial"/>
          <w:bCs/>
          <w:color w:val="000000"/>
        </w:rPr>
        <w:instrText xml:space="preserve"> \* MERGEFORMAT </w:instrText>
      </w:r>
      <w:r w:rsidR="00DB02F8" w:rsidRPr="00DB02F8">
        <w:rPr>
          <w:rFonts w:ascii="Arial" w:eastAsia="Arial" w:hAnsi="Arial" w:cs="Arial"/>
          <w:bCs/>
          <w:color w:val="000000"/>
        </w:rPr>
      </w:r>
      <w:r w:rsidR="00DB02F8" w:rsidRPr="00DB02F8">
        <w:rPr>
          <w:rFonts w:ascii="Arial" w:eastAsia="Arial" w:hAnsi="Arial" w:cs="Arial"/>
          <w:bCs/>
          <w:color w:val="000000"/>
        </w:rPr>
        <w:fldChar w:fldCharType="separate"/>
      </w:r>
      <w:r w:rsidR="00A936CD" w:rsidRPr="00A936CD">
        <w:rPr>
          <w:rFonts w:ascii="Arial" w:hAnsi="Arial" w:cs="Arial"/>
        </w:rPr>
        <w:t xml:space="preserve">Figure </w:t>
      </w:r>
      <w:r w:rsidR="00A936CD" w:rsidRPr="00A936CD">
        <w:rPr>
          <w:rFonts w:ascii="Arial" w:hAnsi="Arial" w:cs="Arial"/>
          <w:noProof/>
        </w:rPr>
        <w:t>27</w:t>
      </w:r>
      <w:r w:rsidR="00DB02F8" w:rsidRPr="00DB02F8">
        <w:rPr>
          <w:rFonts w:ascii="Arial" w:eastAsia="Arial" w:hAnsi="Arial" w:cs="Arial"/>
          <w:bCs/>
          <w:color w:val="000000"/>
        </w:rPr>
        <w:fldChar w:fldCharType="end"/>
      </w:r>
      <w:r w:rsidRPr="00DB02F8">
        <w:rPr>
          <w:rFonts w:ascii="Arial" w:eastAsia="Arial" w:hAnsi="Arial" w:cs="Arial"/>
          <w:bCs/>
          <w:color w:val="000000"/>
        </w:rPr>
        <w:t xml:space="preserve">, </w:t>
      </w:r>
      <w:r w:rsidR="00E34F67">
        <w:rPr>
          <w:rFonts w:ascii="Arial" w:eastAsia="Arial" w:hAnsi="Arial" w:cs="Arial"/>
          <w:bCs/>
          <w:color w:val="000000"/>
        </w:rPr>
        <w:t xml:space="preserve">including </w:t>
      </w:r>
      <w:r w:rsidRPr="001A01D9">
        <w:rPr>
          <w:rFonts w:ascii="Arial" w:eastAsia="Arial" w:hAnsi="Arial" w:cs="Arial"/>
          <w:bCs/>
          <w:color w:val="000000"/>
        </w:rPr>
        <w:t xml:space="preserve">representatives from both Moorfields and UCL. </w:t>
      </w:r>
      <w:r w:rsidR="00E34F67">
        <w:rPr>
          <w:rFonts w:ascii="Arial" w:eastAsia="Arial" w:hAnsi="Arial" w:cs="Arial"/>
          <w:bCs/>
          <w:color w:val="000000"/>
        </w:rPr>
        <w:t xml:space="preserve">Development of plans is also being informed by the staff Oriel Advisory Group. </w:t>
      </w:r>
      <w:r w:rsidRPr="001A01D9">
        <w:rPr>
          <w:rFonts w:ascii="Arial" w:eastAsia="Arial" w:hAnsi="Arial" w:cs="Arial"/>
          <w:bCs/>
          <w:color w:val="000000"/>
        </w:rPr>
        <w:t>Wider consultation will be undertaken with a broader group of staff to obtain feedback and gain buy-in</w:t>
      </w:r>
      <w:r w:rsidR="00E34F67">
        <w:rPr>
          <w:rFonts w:ascii="Arial" w:eastAsia="Arial" w:hAnsi="Arial" w:cs="Arial"/>
          <w:bCs/>
          <w:color w:val="000000"/>
        </w:rPr>
        <w:t xml:space="preserve"> on proposals once developed</w:t>
      </w:r>
      <w:r w:rsidRPr="001A01D9">
        <w:rPr>
          <w:rFonts w:ascii="Arial" w:eastAsia="Arial" w:hAnsi="Arial" w:cs="Arial"/>
          <w:bCs/>
          <w:color w:val="000000"/>
        </w:rPr>
        <w:t>. The Moorfields communications team will ensure that all staff are aware of key project updates through business-as-usual communication channels</w:t>
      </w:r>
      <w:r w:rsidR="00CC57B7">
        <w:rPr>
          <w:rFonts w:ascii="Arial" w:eastAsia="Arial" w:hAnsi="Arial" w:cs="Arial"/>
          <w:bCs/>
          <w:color w:val="000000"/>
        </w:rPr>
        <w:t>.</w:t>
      </w:r>
    </w:p>
    <w:p w14:paraId="3AE7DFFD" w14:textId="77777777" w:rsidR="00D20FB0" w:rsidRPr="00587DF1" w:rsidRDefault="00D20FB0" w:rsidP="00D20FB0">
      <w:pPr>
        <w:spacing w:after="0" w:line="240" w:lineRule="auto"/>
        <w:rPr>
          <w:rFonts w:ascii="Arial" w:eastAsia="Arial" w:hAnsi="Arial" w:cs="Arial"/>
          <w:highlight w:val="yellow"/>
        </w:rPr>
      </w:pPr>
    </w:p>
    <w:p w14:paraId="6C88B909" w14:textId="77777777" w:rsidR="00D20FB0" w:rsidRPr="00587DF1" w:rsidRDefault="00D20FB0" w:rsidP="00D20FB0">
      <w:pPr>
        <w:spacing w:after="0" w:line="240" w:lineRule="auto"/>
        <w:rPr>
          <w:rFonts w:ascii="Arial" w:eastAsia="Arial" w:hAnsi="Arial" w:cs="Arial"/>
          <w:highlight w:val="yellow"/>
        </w:rPr>
      </w:pPr>
    </w:p>
    <w:p w14:paraId="542F7D16" w14:textId="04C9444D" w:rsidR="00D20FB0" w:rsidRPr="00587DF1" w:rsidRDefault="00D20FB0" w:rsidP="005E0D57">
      <w:pPr>
        <w:pStyle w:val="Heading2"/>
        <w:numPr>
          <w:ilvl w:val="1"/>
          <w:numId w:val="39"/>
        </w:numPr>
        <w:rPr>
          <w:rFonts w:ascii="Arial" w:eastAsia="Arial" w:hAnsi="Arial" w:cs="Arial"/>
        </w:rPr>
      </w:pPr>
      <w:bookmarkStart w:id="511" w:name="_Toc32842787"/>
      <w:r w:rsidRPr="00587DF1">
        <w:rPr>
          <w:rFonts w:ascii="Arial" w:eastAsia="Arial" w:hAnsi="Arial" w:cs="Arial"/>
        </w:rPr>
        <w:t>Project assurance and evaluation</w:t>
      </w:r>
      <w:bookmarkEnd w:id="511"/>
    </w:p>
    <w:p w14:paraId="3CDEA7B5" w14:textId="77777777" w:rsidR="00D20FB0" w:rsidRPr="00587DF1" w:rsidRDefault="00D20FB0" w:rsidP="00D20FB0">
      <w:pPr>
        <w:spacing w:after="0" w:line="240" w:lineRule="auto"/>
        <w:rPr>
          <w:rFonts w:ascii="Arial" w:eastAsia="Arial" w:hAnsi="Arial" w:cs="Arial"/>
          <w:b/>
        </w:rPr>
      </w:pPr>
    </w:p>
    <w:p w14:paraId="44D4A81D" w14:textId="0FA504D1" w:rsidR="00D20FB0" w:rsidRPr="00587DF1" w:rsidRDefault="00E34F67" w:rsidP="005E0D57">
      <w:pPr>
        <w:numPr>
          <w:ilvl w:val="2"/>
          <w:numId w:val="39"/>
        </w:numPr>
        <w:pBdr>
          <w:top w:val="nil"/>
          <w:left w:val="nil"/>
          <w:bottom w:val="nil"/>
          <w:right w:val="nil"/>
          <w:between w:val="nil"/>
        </w:pBdr>
        <w:tabs>
          <w:tab w:val="left" w:pos="567"/>
        </w:tabs>
        <w:jc w:val="both"/>
        <w:rPr>
          <w:rFonts w:ascii="Arial" w:eastAsia="Arial" w:hAnsi="Arial" w:cs="Arial"/>
          <w:b/>
          <w:color w:val="000000"/>
        </w:rPr>
      </w:pPr>
      <w:r>
        <w:rPr>
          <w:rFonts w:ascii="Arial" w:eastAsia="Arial" w:hAnsi="Arial" w:cs="Arial"/>
          <w:b/>
          <w:color w:val="000000"/>
        </w:rPr>
        <w:t xml:space="preserve">Peer </w:t>
      </w:r>
      <w:r w:rsidR="00D20FB0" w:rsidRPr="00587DF1">
        <w:rPr>
          <w:rFonts w:ascii="Arial" w:eastAsia="Arial" w:hAnsi="Arial" w:cs="Arial"/>
          <w:b/>
          <w:color w:val="000000"/>
        </w:rPr>
        <w:t>review</w:t>
      </w:r>
      <w:r>
        <w:rPr>
          <w:rFonts w:ascii="Arial" w:eastAsia="Arial" w:hAnsi="Arial" w:cs="Arial"/>
          <w:b/>
          <w:color w:val="000000"/>
        </w:rPr>
        <w:t>s</w:t>
      </w:r>
    </w:p>
    <w:p w14:paraId="2D4246D0" w14:textId="503D9BC2" w:rsidR="00D20FB0" w:rsidRPr="00587DF1" w:rsidRDefault="00D20FB0" w:rsidP="00D20FB0">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 xml:space="preserve">Ongoing project assurance is being sought through </w:t>
      </w:r>
      <w:r w:rsidR="00E34F67">
        <w:rPr>
          <w:rFonts w:ascii="Arial" w:eastAsia="Arial" w:hAnsi="Arial" w:cs="Arial"/>
          <w:bCs/>
          <w:color w:val="000000"/>
        </w:rPr>
        <w:t>peer</w:t>
      </w:r>
      <w:r w:rsidRPr="00587DF1">
        <w:rPr>
          <w:rFonts w:ascii="Arial" w:eastAsia="Arial" w:hAnsi="Arial" w:cs="Arial"/>
          <w:bCs/>
          <w:color w:val="000000"/>
        </w:rPr>
        <w:t xml:space="preserve"> reviews at key stages in the project.</w:t>
      </w:r>
      <w:r w:rsidR="00E34F67">
        <w:rPr>
          <w:rFonts w:ascii="Arial" w:eastAsia="Arial" w:hAnsi="Arial" w:cs="Arial"/>
          <w:bCs/>
          <w:color w:val="000000"/>
        </w:rPr>
        <w:t xml:space="preserve"> A peer review was undertaken in </w:t>
      </w:r>
      <w:r w:rsidR="00E5260B">
        <w:rPr>
          <w:rFonts w:ascii="Arial" w:eastAsia="Arial" w:hAnsi="Arial" w:cs="Arial"/>
          <w:bCs/>
          <w:color w:val="000000"/>
        </w:rPr>
        <w:t xml:space="preserve">late 2019 by </w:t>
      </w:r>
      <w:r w:rsidR="00E5260B" w:rsidRPr="00E5260B">
        <w:rPr>
          <w:rFonts w:ascii="Arial" w:eastAsia="Arial" w:hAnsi="Arial" w:cs="Arial"/>
          <w:bCs/>
          <w:color w:val="000000"/>
        </w:rPr>
        <w:t xml:space="preserve">Guys </w:t>
      </w:r>
      <w:r w:rsidR="00E5260B">
        <w:rPr>
          <w:rFonts w:ascii="Arial" w:eastAsia="Arial" w:hAnsi="Arial" w:cs="Arial"/>
          <w:bCs/>
          <w:color w:val="000000"/>
        </w:rPr>
        <w:t>and</w:t>
      </w:r>
      <w:r w:rsidR="00E5260B" w:rsidRPr="00E5260B">
        <w:rPr>
          <w:rFonts w:ascii="Arial" w:eastAsia="Arial" w:hAnsi="Arial" w:cs="Arial"/>
          <w:bCs/>
          <w:color w:val="000000"/>
        </w:rPr>
        <w:t xml:space="preserve"> St Thomas NHS Foundation Trust</w:t>
      </w:r>
      <w:r w:rsidR="00E5260B">
        <w:rPr>
          <w:rFonts w:ascii="Arial" w:eastAsia="Arial" w:hAnsi="Arial" w:cs="Arial"/>
          <w:bCs/>
          <w:color w:val="000000"/>
        </w:rPr>
        <w:t xml:space="preserve">. Their recommendations, and the project’s response to these, are included at Appendix </w:t>
      </w:r>
      <w:r w:rsidR="00CC57B7">
        <w:rPr>
          <w:rFonts w:ascii="Arial" w:eastAsia="Arial" w:hAnsi="Arial" w:cs="Arial"/>
          <w:bCs/>
          <w:color w:val="000000"/>
        </w:rPr>
        <w:t>8F</w:t>
      </w:r>
      <w:r w:rsidR="00E5260B">
        <w:rPr>
          <w:rFonts w:ascii="Arial" w:eastAsia="Arial" w:hAnsi="Arial" w:cs="Arial"/>
          <w:bCs/>
          <w:color w:val="000000"/>
        </w:rPr>
        <w:t>.</w:t>
      </w:r>
    </w:p>
    <w:p w14:paraId="62A37114" w14:textId="77777777" w:rsidR="00D20FB0" w:rsidRPr="00587DF1" w:rsidRDefault="00D20FB0" w:rsidP="005E0D57">
      <w:pPr>
        <w:numPr>
          <w:ilvl w:val="2"/>
          <w:numId w:val="39"/>
        </w:numPr>
        <w:pBdr>
          <w:top w:val="nil"/>
          <w:left w:val="nil"/>
          <w:bottom w:val="nil"/>
          <w:right w:val="nil"/>
          <w:between w:val="nil"/>
        </w:pBdr>
        <w:tabs>
          <w:tab w:val="left" w:pos="567"/>
        </w:tabs>
        <w:jc w:val="both"/>
        <w:rPr>
          <w:rFonts w:ascii="Arial" w:eastAsia="Arial" w:hAnsi="Arial" w:cs="Arial"/>
          <w:b/>
          <w:color w:val="000000"/>
        </w:rPr>
      </w:pPr>
      <w:r w:rsidRPr="00587DF1">
        <w:rPr>
          <w:rFonts w:ascii="Arial" w:eastAsia="Arial" w:hAnsi="Arial" w:cs="Arial"/>
          <w:b/>
          <w:color w:val="000000"/>
        </w:rPr>
        <w:lastRenderedPageBreak/>
        <w:t>Learning from other projects</w:t>
      </w:r>
    </w:p>
    <w:p w14:paraId="3335EC1A" w14:textId="77777777" w:rsidR="00D20FB0" w:rsidRPr="00587DF1" w:rsidRDefault="00D20FB0" w:rsidP="00D20FB0">
      <w:pPr>
        <w:pBdr>
          <w:top w:val="nil"/>
          <w:left w:val="nil"/>
          <w:bottom w:val="nil"/>
          <w:right w:val="nil"/>
          <w:between w:val="nil"/>
        </w:pBdr>
        <w:tabs>
          <w:tab w:val="left" w:pos="567"/>
        </w:tabs>
        <w:rPr>
          <w:rFonts w:ascii="Arial" w:eastAsia="Arial" w:hAnsi="Arial" w:cs="Arial"/>
          <w:bCs/>
          <w:color w:val="000000"/>
        </w:rPr>
      </w:pPr>
      <w:bookmarkStart w:id="512" w:name="_Hlk12885860"/>
      <w:r w:rsidRPr="00587DF1">
        <w:rPr>
          <w:rFonts w:ascii="Arial" w:eastAsia="Arial" w:hAnsi="Arial" w:cs="Arial"/>
          <w:bCs/>
          <w:color w:val="000000"/>
        </w:rPr>
        <w:t xml:space="preserve">Moorfields has undertaken a lessons learnt exercise for the </w:t>
      </w:r>
      <w:bookmarkStart w:id="513" w:name="_Hlk27149435"/>
      <w:r w:rsidRPr="00587DF1">
        <w:rPr>
          <w:rFonts w:ascii="Arial" w:eastAsia="Arial" w:hAnsi="Arial" w:cs="Arial"/>
          <w:bCs/>
          <w:color w:val="000000"/>
        </w:rPr>
        <w:t>Richard Desmond Children’s Eye Centre (RDCEC) which was built in 2007</w:t>
      </w:r>
      <w:bookmarkEnd w:id="513"/>
      <w:r w:rsidRPr="00587DF1">
        <w:rPr>
          <w:rFonts w:ascii="Arial" w:eastAsia="Arial" w:hAnsi="Arial" w:cs="Arial"/>
          <w:bCs/>
          <w:color w:val="000000"/>
        </w:rPr>
        <w:t>. This has included an evaluation of the building functionality as well as the delivery process. It involved members of staff, patients, their families and carers. Feedback will be incorporated into the design process.</w:t>
      </w:r>
    </w:p>
    <w:p w14:paraId="36AF6123" w14:textId="620AF6B4" w:rsidR="00D20FB0" w:rsidRPr="00587DF1" w:rsidRDefault="00D20FB0" w:rsidP="00D20FB0">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Moorfields is also working with other providers across the NHS, and internationally, who have recent experience of new hospital developments. Members of the project team have recent experience from similar projects, including the Zayed Centre for Research into Rare Disease in Children (an integrated clinical and research centre) and UCLH Phase 5 (a specialist Ear Nose Throat and Dental facility</w:t>
      </w:r>
      <w:r w:rsidRPr="00587DF1">
        <w:rPr>
          <w:rFonts w:ascii="Arial" w:hAnsi="Arial" w:cs="Arial"/>
          <w:color w:val="333333"/>
          <w:shd w:val="clear" w:color="auto" w:fill="FFFFFF"/>
        </w:rPr>
        <w:t>)</w:t>
      </w:r>
      <w:r w:rsidRPr="00587DF1">
        <w:rPr>
          <w:rFonts w:ascii="Arial" w:eastAsia="Arial" w:hAnsi="Arial" w:cs="Arial"/>
          <w:bCs/>
          <w:color w:val="000000"/>
        </w:rPr>
        <w:t>.</w:t>
      </w:r>
      <w:bookmarkEnd w:id="512"/>
    </w:p>
    <w:p w14:paraId="012E3E55" w14:textId="77777777" w:rsidR="00D20FB0" w:rsidRPr="00587DF1" w:rsidRDefault="00D20FB0" w:rsidP="005E0D57">
      <w:pPr>
        <w:numPr>
          <w:ilvl w:val="2"/>
          <w:numId w:val="39"/>
        </w:numPr>
        <w:pBdr>
          <w:top w:val="nil"/>
          <w:left w:val="nil"/>
          <w:bottom w:val="nil"/>
          <w:right w:val="nil"/>
          <w:between w:val="nil"/>
        </w:pBdr>
        <w:tabs>
          <w:tab w:val="left" w:pos="567"/>
        </w:tabs>
        <w:jc w:val="both"/>
        <w:rPr>
          <w:rFonts w:ascii="Arial" w:eastAsia="Arial" w:hAnsi="Arial" w:cs="Arial"/>
          <w:b/>
          <w:color w:val="000000"/>
        </w:rPr>
      </w:pPr>
      <w:r w:rsidRPr="00587DF1">
        <w:rPr>
          <w:rFonts w:ascii="Arial" w:eastAsia="Arial" w:hAnsi="Arial" w:cs="Arial"/>
          <w:b/>
          <w:color w:val="000000"/>
        </w:rPr>
        <w:t>Post Project Evaluation (PPE) strategy</w:t>
      </w:r>
    </w:p>
    <w:p w14:paraId="6619E259" w14:textId="77777777" w:rsidR="00D20FB0" w:rsidRPr="00587DF1" w:rsidRDefault="00D20FB0" w:rsidP="00D20FB0">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The trust is committed to ensuring that a thorough and robust Post Project Evaluation is undertaken at key stages in the process to ensure that positive lessons can be learnt from the project, and that its success can be objectively assessed. All partners recognise that completion of the building is only the start in terms of service transformation and continuous improvement. It is therefore important to continue to assess whether Oriel achieves its aims, and whether the approach to service delivery can be adjusted to better deliver against project objectives. The project will be evaluated by undertaking the following investigations.</w:t>
      </w:r>
    </w:p>
    <w:p w14:paraId="0A0D5544" w14:textId="77777777" w:rsidR="00D20FB0" w:rsidRPr="00587DF1" w:rsidRDefault="00D20FB0" w:rsidP="00D20FB0">
      <w:pPr>
        <w:pBdr>
          <w:top w:val="nil"/>
          <w:left w:val="nil"/>
          <w:bottom w:val="nil"/>
          <w:right w:val="nil"/>
          <w:between w:val="nil"/>
        </w:pBdr>
        <w:tabs>
          <w:tab w:val="left" w:pos="567"/>
        </w:tabs>
        <w:spacing w:after="0"/>
        <w:rPr>
          <w:rFonts w:ascii="Arial" w:eastAsia="Arial" w:hAnsi="Arial" w:cs="Arial"/>
          <w:bCs/>
          <w:color w:val="000000"/>
        </w:rPr>
      </w:pPr>
      <w:r w:rsidRPr="00587DF1">
        <w:rPr>
          <w:rFonts w:ascii="Arial" w:eastAsia="Arial" w:hAnsi="Arial" w:cs="Arial"/>
        </w:rPr>
        <w:t>Project Implementation Review:</w:t>
      </w:r>
    </w:p>
    <w:p w14:paraId="3C8CC3FB" w14:textId="77777777" w:rsidR="00D20FB0" w:rsidRPr="00587DF1" w:rsidRDefault="00D20FB0" w:rsidP="005E0D57">
      <w:pPr>
        <w:pStyle w:val="ListParagraph"/>
        <w:numPr>
          <w:ilvl w:val="0"/>
          <w:numId w:val="8"/>
        </w:numPr>
        <w:spacing w:after="0"/>
        <w:rPr>
          <w:rFonts w:ascii="Arial" w:eastAsia="Arial" w:hAnsi="Arial" w:cs="Arial"/>
        </w:rPr>
      </w:pPr>
      <w:r w:rsidRPr="00587DF1">
        <w:rPr>
          <w:rFonts w:ascii="Arial" w:eastAsia="Arial" w:hAnsi="Arial" w:cs="Arial"/>
        </w:rPr>
        <w:t xml:space="preserve">A review of the </w:t>
      </w:r>
      <w:r w:rsidRPr="00587DF1">
        <w:rPr>
          <w:rFonts w:ascii="Arial" w:eastAsia="Arial" w:hAnsi="Arial" w:cs="Arial"/>
          <w:b/>
          <w:bCs/>
        </w:rPr>
        <w:t>project delivery</w:t>
      </w:r>
      <w:r w:rsidRPr="00587DF1">
        <w:rPr>
          <w:rFonts w:ascii="Arial" w:eastAsia="Arial" w:hAnsi="Arial" w:cs="Arial"/>
        </w:rPr>
        <w:t xml:space="preserve"> to learn lessons for future. This will involve stakeholders from across the project team, as well as key stakeholders such as patient representatives. The lessons learnt will be of benefit to Moorfields, UCL, MEC and other organisations, to inform the approach for future projects.</w:t>
      </w:r>
    </w:p>
    <w:p w14:paraId="7F474973" w14:textId="77777777" w:rsidR="00D20FB0" w:rsidRPr="00587DF1" w:rsidRDefault="00D20FB0" w:rsidP="00D20FB0">
      <w:pPr>
        <w:spacing w:after="0"/>
        <w:rPr>
          <w:rFonts w:ascii="Arial" w:eastAsia="Arial" w:hAnsi="Arial" w:cs="Arial"/>
        </w:rPr>
      </w:pPr>
    </w:p>
    <w:p w14:paraId="6CD9B5BD" w14:textId="77777777" w:rsidR="00D20FB0" w:rsidRPr="00587DF1" w:rsidRDefault="00D20FB0" w:rsidP="00D20FB0">
      <w:pPr>
        <w:spacing w:after="0"/>
        <w:rPr>
          <w:rFonts w:ascii="Arial" w:eastAsia="Arial" w:hAnsi="Arial" w:cs="Arial"/>
        </w:rPr>
      </w:pPr>
      <w:r w:rsidRPr="00587DF1">
        <w:rPr>
          <w:rFonts w:ascii="Arial" w:eastAsia="Arial" w:hAnsi="Arial" w:cs="Arial"/>
        </w:rPr>
        <w:t>Post Evaluation Review:</w:t>
      </w:r>
    </w:p>
    <w:p w14:paraId="771E0254" w14:textId="77777777" w:rsidR="00D20FB0" w:rsidRPr="00587DF1" w:rsidRDefault="00D20FB0" w:rsidP="005E0D57">
      <w:pPr>
        <w:pStyle w:val="ListParagraph"/>
        <w:numPr>
          <w:ilvl w:val="0"/>
          <w:numId w:val="8"/>
        </w:numPr>
        <w:spacing w:after="0"/>
        <w:rPr>
          <w:rFonts w:ascii="Arial" w:eastAsia="Arial" w:hAnsi="Arial" w:cs="Arial"/>
        </w:rPr>
      </w:pPr>
      <w:r w:rsidRPr="00587DF1">
        <w:rPr>
          <w:rFonts w:ascii="Arial" w:eastAsia="Arial" w:hAnsi="Arial" w:cs="Arial"/>
        </w:rPr>
        <w:t xml:space="preserve">A review of the </w:t>
      </w:r>
      <w:r w:rsidRPr="00587DF1">
        <w:rPr>
          <w:rFonts w:ascii="Arial" w:eastAsia="Arial" w:hAnsi="Arial" w:cs="Arial"/>
          <w:b/>
          <w:bCs/>
        </w:rPr>
        <w:t>benefits</w:t>
      </w:r>
      <w:r w:rsidRPr="00587DF1">
        <w:rPr>
          <w:rFonts w:ascii="Arial" w:eastAsia="Arial" w:hAnsi="Arial" w:cs="Arial"/>
        </w:rPr>
        <w:t xml:space="preserve"> detailed in the Benefits Realisation Plan to assess whether they have been met. This will measure the project’s achievements against the baseline and target data set out in the Benefits Realisation Plan. This will be reviewed 6, 12 and 24 months after project completion.</w:t>
      </w:r>
    </w:p>
    <w:p w14:paraId="554C354B" w14:textId="77777777" w:rsidR="00D20FB0" w:rsidRPr="00587DF1" w:rsidRDefault="00D20FB0" w:rsidP="005E0D57">
      <w:pPr>
        <w:pStyle w:val="ListParagraph"/>
        <w:numPr>
          <w:ilvl w:val="0"/>
          <w:numId w:val="8"/>
        </w:numPr>
        <w:spacing w:after="0"/>
        <w:rPr>
          <w:rFonts w:ascii="Arial" w:eastAsia="Arial" w:hAnsi="Arial" w:cs="Arial"/>
        </w:rPr>
      </w:pPr>
      <w:r w:rsidRPr="00587DF1">
        <w:rPr>
          <w:rFonts w:ascii="Arial" w:eastAsia="Arial" w:hAnsi="Arial" w:cs="Arial"/>
        </w:rPr>
        <w:t xml:space="preserve">A DQI assessment with patients, staff and other key stakeholders to assess the </w:t>
      </w:r>
      <w:r w:rsidRPr="00587DF1">
        <w:rPr>
          <w:rFonts w:ascii="Arial" w:eastAsia="Arial" w:hAnsi="Arial" w:cs="Arial"/>
          <w:b/>
          <w:bCs/>
        </w:rPr>
        <w:t>quality of the building design</w:t>
      </w:r>
      <w:r w:rsidRPr="00587DF1">
        <w:rPr>
          <w:rFonts w:ascii="Arial" w:eastAsia="Arial" w:hAnsi="Arial" w:cs="Arial"/>
        </w:rPr>
        <w:t>.</w:t>
      </w:r>
    </w:p>
    <w:p w14:paraId="67A563EC" w14:textId="77777777" w:rsidR="00D20FB0" w:rsidRPr="00587DF1" w:rsidRDefault="00D20FB0" w:rsidP="005E0D57">
      <w:pPr>
        <w:pStyle w:val="ListParagraph"/>
        <w:numPr>
          <w:ilvl w:val="0"/>
          <w:numId w:val="8"/>
        </w:numPr>
        <w:spacing w:after="0"/>
        <w:rPr>
          <w:rFonts w:ascii="Arial" w:eastAsia="Arial" w:hAnsi="Arial" w:cs="Arial"/>
        </w:rPr>
      </w:pPr>
      <w:r w:rsidRPr="00587DF1">
        <w:rPr>
          <w:rFonts w:ascii="Arial" w:eastAsia="Arial" w:hAnsi="Arial" w:cs="Arial"/>
        </w:rPr>
        <w:t xml:space="preserve">A review of the FBC </w:t>
      </w:r>
      <w:r w:rsidRPr="00587DF1">
        <w:rPr>
          <w:rFonts w:ascii="Arial" w:eastAsia="Arial" w:hAnsi="Arial" w:cs="Arial"/>
          <w:b/>
          <w:bCs/>
        </w:rPr>
        <w:t>capital and revenue costs</w:t>
      </w:r>
      <w:r w:rsidRPr="00587DF1">
        <w:rPr>
          <w:rFonts w:ascii="Arial" w:eastAsia="Arial" w:hAnsi="Arial" w:cs="Arial"/>
        </w:rPr>
        <w:t xml:space="preserve"> to confirm that the capital costs were robust and adhered to, and that the actual and projected revenue costs were realistic.  </w:t>
      </w:r>
    </w:p>
    <w:p w14:paraId="4EF7413B" w14:textId="77777777" w:rsidR="00D20FB0" w:rsidRPr="00587DF1" w:rsidRDefault="00D20FB0" w:rsidP="005E0D57">
      <w:pPr>
        <w:pStyle w:val="ListParagraph"/>
        <w:numPr>
          <w:ilvl w:val="0"/>
          <w:numId w:val="8"/>
        </w:numPr>
        <w:spacing w:after="0"/>
        <w:rPr>
          <w:rFonts w:ascii="Arial" w:eastAsia="Arial" w:hAnsi="Arial" w:cs="Arial"/>
        </w:rPr>
      </w:pPr>
      <w:r w:rsidRPr="00587DF1">
        <w:rPr>
          <w:rFonts w:ascii="Arial" w:eastAsia="Arial" w:hAnsi="Arial" w:cs="Arial"/>
        </w:rPr>
        <w:t xml:space="preserve">A review of the </w:t>
      </w:r>
      <w:r w:rsidRPr="00587DF1">
        <w:rPr>
          <w:rFonts w:ascii="Arial" w:eastAsia="Arial" w:hAnsi="Arial" w:cs="Arial"/>
          <w:b/>
          <w:bCs/>
        </w:rPr>
        <w:t>project programme</w:t>
      </w:r>
      <w:r w:rsidRPr="00587DF1">
        <w:rPr>
          <w:rFonts w:ascii="Arial" w:eastAsia="Arial" w:hAnsi="Arial" w:cs="Arial"/>
        </w:rPr>
        <w:t xml:space="preserve"> and adherence to it throughout the life of the project.</w:t>
      </w:r>
    </w:p>
    <w:p w14:paraId="7E8E4EDE" w14:textId="77777777" w:rsidR="00D20FB0" w:rsidRPr="00587DF1" w:rsidRDefault="00D20FB0" w:rsidP="00D20FB0">
      <w:pPr>
        <w:pStyle w:val="Default"/>
        <w:keepNext/>
        <w:keepLines/>
        <w:ind w:left="709"/>
        <w:rPr>
          <w:rFonts w:ascii="Arial" w:hAnsi="Arial" w:cs="Arial"/>
          <w:sz w:val="22"/>
          <w:szCs w:val="22"/>
        </w:rPr>
      </w:pPr>
    </w:p>
    <w:p w14:paraId="3474A411" w14:textId="77777777" w:rsidR="00D20FB0" w:rsidRPr="00587DF1" w:rsidRDefault="00D20FB0" w:rsidP="00D20FB0">
      <w:pPr>
        <w:pBdr>
          <w:top w:val="nil"/>
          <w:left w:val="nil"/>
          <w:bottom w:val="nil"/>
          <w:right w:val="nil"/>
          <w:between w:val="nil"/>
        </w:pBdr>
        <w:tabs>
          <w:tab w:val="left" w:pos="567"/>
        </w:tabs>
        <w:rPr>
          <w:rFonts w:ascii="Arial" w:eastAsia="Arial" w:hAnsi="Arial" w:cs="Arial"/>
          <w:b/>
          <w:color w:val="000000"/>
        </w:rPr>
      </w:pPr>
      <w:bookmarkStart w:id="514" w:name="_Toc375314001"/>
      <w:r w:rsidRPr="00587DF1">
        <w:rPr>
          <w:rFonts w:ascii="Arial" w:eastAsia="Arial" w:hAnsi="Arial" w:cs="Arial"/>
          <w:b/>
          <w:color w:val="000000"/>
        </w:rPr>
        <w:t>Post-Project Evaluation Framework</w:t>
      </w:r>
    </w:p>
    <w:p w14:paraId="79C6FF1B" w14:textId="4574678A" w:rsidR="00D20FB0" w:rsidRPr="00587DF1" w:rsidRDefault="00D20FB0" w:rsidP="00D20FB0">
      <w:pPr>
        <w:pBdr>
          <w:top w:val="nil"/>
          <w:left w:val="nil"/>
          <w:bottom w:val="nil"/>
          <w:right w:val="nil"/>
          <w:between w:val="nil"/>
        </w:pBdr>
        <w:tabs>
          <w:tab w:val="left" w:pos="567"/>
        </w:tabs>
        <w:rPr>
          <w:rFonts w:ascii="Arial" w:eastAsia="Arial" w:hAnsi="Arial" w:cs="Arial"/>
          <w:bCs/>
          <w:color w:val="000000"/>
        </w:rPr>
      </w:pPr>
      <w:r w:rsidRPr="00587DF1">
        <w:rPr>
          <w:rFonts w:ascii="Arial" w:eastAsia="Arial" w:hAnsi="Arial" w:cs="Arial"/>
          <w:bCs/>
          <w:color w:val="000000"/>
        </w:rPr>
        <w:t xml:space="preserve">The SROs will be responsible for ensuring the PPE us undertaken in accordance with best practice. </w:t>
      </w:r>
      <w:bookmarkEnd w:id="514"/>
      <w:r w:rsidRPr="00587DF1">
        <w:rPr>
          <w:rFonts w:ascii="Arial" w:eastAsia="Arial" w:hAnsi="Arial" w:cs="Arial"/>
          <w:bCs/>
          <w:color w:val="000000"/>
        </w:rPr>
        <w:t>The trust will identify responsibilities and resource requirements during the FBC development.</w:t>
      </w:r>
    </w:p>
    <w:p w14:paraId="6235B454" w14:textId="58228EAD" w:rsidR="00D20FB0" w:rsidRPr="00587DF1" w:rsidRDefault="00D20FB0" w:rsidP="005E0D57">
      <w:pPr>
        <w:pStyle w:val="Heading2"/>
        <w:numPr>
          <w:ilvl w:val="1"/>
          <w:numId w:val="39"/>
        </w:numPr>
        <w:rPr>
          <w:rFonts w:ascii="Arial" w:eastAsia="Arial" w:hAnsi="Arial" w:cs="Arial"/>
        </w:rPr>
      </w:pPr>
      <w:bookmarkStart w:id="515" w:name="_Toc32842788"/>
      <w:r w:rsidRPr="00587DF1">
        <w:rPr>
          <w:rFonts w:ascii="Arial" w:eastAsia="Arial" w:hAnsi="Arial" w:cs="Arial"/>
        </w:rPr>
        <w:lastRenderedPageBreak/>
        <w:t>Approvals and letters of support</w:t>
      </w:r>
      <w:bookmarkEnd w:id="515"/>
    </w:p>
    <w:p w14:paraId="4153EEBB" w14:textId="77777777" w:rsidR="00D20FB0" w:rsidRPr="00587DF1" w:rsidRDefault="00D20FB0" w:rsidP="00D20FB0">
      <w:pPr>
        <w:rPr>
          <w:rFonts w:ascii="Arial" w:hAnsi="Arial" w:cs="Arial"/>
        </w:rPr>
      </w:pPr>
    </w:p>
    <w:p w14:paraId="65606064" w14:textId="025E37BF" w:rsidR="00D20FB0" w:rsidRDefault="004F4B79" w:rsidP="00D20FB0">
      <w:pPr>
        <w:pBdr>
          <w:top w:val="nil"/>
          <w:left w:val="nil"/>
          <w:bottom w:val="nil"/>
          <w:right w:val="nil"/>
          <w:between w:val="nil"/>
        </w:pBdr>
        <w:tabs>
          <w:tab w:val="left" w:pos="567"/>
        </w:tabs>
        <w:rPr>
          <w:rFonts w:ascii="Arial" w:eastAsia="Arial" w:hAnsi="Arial" w:cs="Arial"/>
          <w:bCs/>
          <w:color w:val="000000"/>
        </w:rPr>
      </w:pPr>
      <w:r>
        <w:rPr>
          <w:rFonts w:ascii="Arial" w:eastAsia="Arial" w:hAnsi="Arial" w:cs="Arial"/>
          <w:bCs/>
          <w:color w:val="000000"/>
        </w:rPr>
        <w:t>Letters of support have been received from the following, and are included at Appendix 3E:</w:t>
      </w:r>
    </w:p>
    <w:p w14:paraId="1F6DFC20" w14:textId="3A20FDF8" w:rsidR="004F4B79" w:rsidRPr="004F4B79" w:rsidRDefault="004F4B79" w:rsidP="004F4B79">
      <w:pPr>
        <w:pStyle w:val="ListParagraph"/>
        <w:numPr>
          <w:ilvl w:val="0"/>
          <w:numId w:val="168"/>
        </w:numPr>
        <w:pBdr>
          <w:top w:val="nil"/>
          <w:left w:val="nil"/>
          <w:bottom w:val="nil"/>
          <w:right w:val="nil"/>
          <w:between w:val="nil"/>
        </w:pBdr>
        <w:tabs>
          <w:tab w:val="left" w:pos="993"/>
        </w:tabs>
        <w:ind w:left="993" w:hanging="567"/>
        <w:rPr>
          <w:rFonts w:ascii="Arial" w:eastAsia="Arial" w:hAnsi="Arial" w:cs="Arial"/>
          <w:bCs/>
          <w:color w:val="000000"/>
        </w:rPr>
      </w:pPr>
      <w:r w:rsidRPr="004F4B79">
        <w:rPr>
          <w:rFonts w:ascii="Arial" w:eastAsia="Arial" w:hAnsi="Arial" w:cs="Arial"/>
          <w:bCs/>
          <w:color w:val="000000"/>
        </w:rPr>
        <w:t>Medical Director</w:t>
      </w:r>
    </w:p>
    <w:p w14:paraId="596E12AB" w14:textId="6C40D71C" w:rsidR="004F4B79" w:rsidRPr="004F4B79" w:rsidRDefault="004F4B79" w:rsidP="004F4B79">
      <w:pPr>
        <w:pStyle w:val="ListParagraph"/>
        <w:numPr>
          <w:ilvl w:val="0"/>
          <w:numId w:val="168"/>
        </w:numPr>
        <w:pBdr>
          <w:top w:val="nil"/>
          <w:left w:val="nil"/>
          <w:bottom w:val="nil"/>
          <w:right w:val="nil"/>
          <w:between w:val="nil"/>
        </w:pBdr>
        <w:tabs>
          <w:tab w:val="left" w:pos="993"/>
        </w:tabs>
        <w:ind w:left="993" w:hanging="567"/>
        <w:rPr>
          <w:rFonts w:ascii="Arial" w:eastAsia="Arial" w:hAnsi="Arial" w:cs="Arial"/>
          <w:bCs/>
          <w:color w:val="000000"/>
        </w:rPr>
      </w:pPr>
      <w:r w:rsidRPr="004F4B79">
        <w:rPr>
          <w:rFonts w:ascii="Arial" w:eastAsia="Arial" w:hAnsi="Arial" w:cs="Arial"/>
          <w:bCs/>
          <w:color w:val="000000"/>
        </w:rPr>
        <w:t>Mayor of London</w:t>
      </w:r>
    </w:p>
    <w:p w14:paraId="179B3D3F" w14:textId="7A76EFA8" w:rsidR="004F4B79" w:rsidRPr="004F4B79" w:rsidRDefault="004F4B79" w:rsidP="004F4B79">
      <w:pPr>
        <w:pStyle w:val="ListParagraph"/>
        <w:numPr>
          <w:ilvl w:val="0"/>
          <w:numId w:val="168"/>
        </w:numPr>
        <w:pBdr>
          <w:top w:val="nil"/>
          <w:left w:val="nil"/>
          <w:bottom w:val="nil"/>
          <w:right w:val="nil"/>
          <w:between w:val="nil"/>
        </w:pBdr>
        <w:tabs>
          <w:tab w:val="left" w:pos="993"/>
        </w:tabs>
        <w:ind w:left="993" w:hanging="567"/>
        <w:rPr>
          <w:rFonts w:ascii="Arial" w:eastAsia="Arial" w:hAnsi="Arial" w:cs="Arial"/>
          <w:bCs/>
          <w:color w:val="000000"/>
        </w:rPr>
      </w:pPr>
      <w:r w:rsidRPr="004F4B79">
        <w:rPr>
          <w:rFonts w:ascii="Arial" w:eastAsia="Arial" w:hAnsi="Arial" w:cs="Arial"/>
          <w:bCs/>
          <w:color w:val="000000"/>
        </w:rPr>
        <w:t>LB Camden</w:t>
      </w:r>
    </w:p>
    <w:p w14:paraId="398967BD" w14:textId="34799A6F" w:rsidR="004F4B79" w:rsidRPr="004F4B79" w:rsidRDefault="004F4B79" w:rsidP="004F4B79">
      <w:pPr>
        <w:pStyle w:val="ListParagraph"/>
        <w:numPr>
          <w:ilvl w:val="0"/>
          <w:numId w:val="168"/>
        </w:numPr>
        <w:pBdr>
          <w:top w:val="nil"/>
          <w:left w:val="nil"/>
          <w:bottom w:val="nil"/>
          <w:right w:val="nil"/>
          <w:between w:val="nil"/>
        </w:pBdr>
        <w:tabs>
          <w:tab w:val="left" w:pos="993"/>
        </w:tabs>
        <w:ind w:left="993" w:hanging="567"/>
        <w:rPr>
          <w:rFonts w:ascii="Arial" w:eastAsia="Arial" w:hAnsi="Arial" w:cs="Arial"/>
          <w:bCs/>
          <w:color w:val="000000"/>
        </w:rPr>
      </w:pPr>
      <w:r w:rsidRPr="004F4B79">
        <w:rPr>
          <w:rFonts w:ascii="Arial" w:eastAsia="Arial" w:hAnsi="Arial" w:cs="Arial"/>
          <w:bCs/>
          <w:color w:val="000000"/>
        </w:rPr>
        <w:t>MEC</w:t>
      </w:r>
    </w:p>
    <w:p w14:paraId="675D8CEF" w14:textId="2ED9328E" w:rsidR="004F4B79" w:rsidRPr="004F4B79" w:rsidRDefault="004F4B79" w:rsidP="004F4B79">
      <w:pPr>
        <w:pStyle w:val="ListParagraph"/>
        <w:numPr>
          <w:ilvl w:val="0"/>
          <w:numId w:val="168"/>
        </w:numPr>
        <w:pBdr>
          <w:top w:val="nil"/>
          <w:left w:val="nil"/>
          <w:bottom w:val="nil"/>
          <w:right w:val="nil"/>
          <w:between w:val="nil"/>
        </w:pBdr>
        <w:tabs>
          <w:tab w:val="left" w:pos="993"/>
        </w:tabs>
        <w:ind w:left="993" w:hanging="567"/>
        <w:rPr>
          <w:rFonts w:ascii="Arial" w:eastAsia="Arial" w:hAnsi="Arial" w:cs="Arial"/>
          <w:bCs/>
          <w:color w:val="000000"/>
        </w:rPr>
      </w:pPr>
      <w:r w:rsidRPr="004F4B79">
        <w:rPr>
          <w:rFonts w:ascii="Arial" w:eastAsia="Arial" w:hAnsi="Arial" w:cs="Arial"/>
          <w:bCs/>
          <w:color w:val="000000"/>
        </w:rPr>
        <w:t>NCL CCGs</w:t>
      </w:r>
    </w:p>
    <w:p w14:paraId="738D5919" w14:textId="11E0FFAF" w:rsidR="004F4B79" w:rsidRPr="004F4B79" w:rsidRDefault="004F4B79" w:rsidP="004F4B79">
      <w:pPr>
        <w:pStyle w:val="ListParagraph"/>
        <w:numPr>
          <w:ilvl w:val="0"/>
          <w:numId w:val="168"/>
        </w:numPr>
        <w:pBdr>
          <w:top w:val="nil"/>
          <w:left w:val="nil"/>
          <w:bottom w:val="nil"/>
          <w:right w:val="nil"/>
          <w:between w:val="nil"/>
        </w:pBdr>
        <w:tabs>
          <w:tab w:val="left" w:pos="993"/>
        </w:tabs>
        <w:ind w:left="993" w:hanging="567"/>
        <w:rPr>
          <w:rFonts w:ascii="Arial" w:eastAsia="Arial" w:hAnsi="Arial" w:cs="Arial"/>
          <w:bCs/>
          <w:color w:val="000000"/>
        </w:rPr>
      </w:pPr>
      <w:r w:rsidRPr="004F4B79">
        <w:rPr>
          <w:rFonts w:ascii="Arial" w:eastAsia="Arial" w:hAnsi="Arial" w:cs="Arial"/>
          <w:bCs/>
          <w:color w:val="000000"/>
        </w:rPr>
        <w:t>NHS England Specialised Commissioning</w:t>
      </w:r>
    </w:p>
    <w:p w14:paraId="3D5ECB5F" w14:textId="77777777" w:rsidR="009E5516" w:rsidRDefault="009E5516" w:rsidP="00D20FB0">
      <w:pPr>
        <w:pBdr>
          <w:top w:val="nil"/>
          <w:left w:val="nil"/>
          <w:bottom w:val="nil"/>
          <w:right w:val="nil"/>
          <w:between w:val="nil"/>
        </w:pBdr>
        <w:tabs>
          <w:tab w:val="left" w:pos="567"/>
        </w:tabs>
        <w:rPr>
          <w:rFonts w:ascii="Arial" w:eastAsia="Arial" w:hAnsi="Arial" w:cs="Arial"/>
          <w:bCs/>
          <w:color w:val="000000"/>
        </w:rPr>
      </w:pPr>
    </w:p>
    <w:p w14:paraId="78ACDCB1" w14:textId="631043EE" w:rsidR="009E5516" w:rsidRDefault="009E5516" w:rsidP="005E0D57">
      <w:pPr>
        <w:pStyle w:val="Heading1"/>
        <w:numPr>
          <w:ilvl w:val="0"/>
          <w:numId w:val="39"/>
        </w:numPr>
        <w:ind w:hanging="720"/>
        <w:rPr>
          <w:rFonts w:ascii="Arial" w:eastAsia="Arial" w:hAnsi="Arial" w:cs="Arial"/>
        </w:rPr>
      </w:pPr>
      <w:bookmarkStart w:id="516" w:name="_Toc32842789"/>
      <w:r>
        <w:rPr>
          <w:rFonts w:ascii="Arial" w:eastAsia="Arial" w:hAnsi="Arial" w:cs="Arial"/>
        </w:rPr>
        <w:t>Recommendation</w:t>
      </w:r>
      <w:bookmarkEnd w:id="516"/>
    </w:p>
    <w:p w14:paraId="1A9B62B2" w14:textId="77777777" w:rsidR="009E5516" w:rsidRPr="009E5516" w:rsidRDefault="009E5516" w:rsidP="009E5516">
      <w:pPr>
        <w:pBdr>
          <w:top w:val="nil"/>
          <w:left w:val="nil"/>
          <w:bottom w:val="nil"/>
          <w:right w:val="nil"/>
          <w:between w:val="nil"/>
        </w:pBdr>
        <w:tabs>
          <w:tab w:val="left" w:pos="567"/>
        </w:tabs>
        <w:rPr>
          <w:rFonts w:ascii="Arial" w:eastAsia="Arial" w:hAnsi="Arial" w:cs="Arial"/>
          <w:bCs/>
          <w:color w:val="000000"/>
        </w:rPr>
      </w:pPr>
    </w:p>
    <w:p w14:paraId="56260BD2" w14:textId="1C0A5EC3" w:rsidR="009724B9" w:rsidRPr="0089011E" w:rsidRDefault="009724B9" w:rsidP="009724B9">
      <w:pPr>
        <w:pBdr>
          <w:top w:val="nil"/>
          <w:left w:val="nil"/>
          <w:bottom w:val="nil"/>
          <w:right w:val="nil"/>
          <w:between w:val="nil"/>
        </w:pBdr>
        <w:tabs>
          <w:tab w:val="left" w:pos="567"/>
        </w:tabs>
        <w:rPr>
          <w:rFonts w:ascii="Arial" w:eastAsia="Arial" w:hAnsi="Arial" w:cs="Arial"/>
          <w:bCs/>
          <w:color w:val="000000"/>
        </w:rPr>
      </w:pPr>
      <w:r w:rsidRPr="009724B9">
        <w:rPr>
          <w:rFonts w:ascii="Arial" w:eastAsia="Arial" w:hAnsi="Arial" w:cs="Arial"/>
          <w:bCs/>
          <w:color w:val="000000"/>
        </w:rPr>
        <w:t>NHSE/I, DHSC and HM Treasury are recommended to approve this OBC for continuation to Full Business Case (FBC</w:t>
      </w:r>
      <w:r w:rsidRPr="0089011E">
        <w:rPr>
          <w:rFonts w:ascii="Arial" w:eastAsia="Arial" w:hAnsi="Arial" w:cs="Arial"/>
          <w:bCs/>
          <w:color w:val="000000"/>
        </w:rPr>
        <w:t>) stage.</w:t>
      </w:r>
    </w:p>
    <w:p w14:paraId="68F4B1C1" w14:textId="1AC0F2B3" w:rsidR="009E5516" w:rsidRDefault="0089011E" w:rsidP="00D20FB0">
      <w:pPr>
        <w:pBdr>
          <w:top w:val="nil"/>
          <w:left w:val="nil"/>
          <w:bottom w:val="nil"/>
          <w:right w:val="nil"/>
          <w:between w:val="nil"/>
        </w:pBdr>
        <w:tabs>
          <w:tab w:val="left" w:pos="567"/>
        </w:tabs>
        <w:rPr>
          <w:rFonts w:ascii="Arial" w:eastAsia="Arial" w:hAnsi="Arial" w:cs="Arial"/>
          <w:bCs/>
          <w:color w:val="000000"/>
        </w:rPr>
      </w:pPr>
      <w:r w:rsidRPr="0089011E">
        <w:rPr>
          <w:rFonts w:ascii="Arial" w:eastAsia="Arial" w:hAnsi="Arial" w:cs="Arial"/>
          <w:bCs/>
          <w:color w:val="000000"/>
        </w:rPr>
        <w:t xml:space="preserve">The estimated </w:t>
      </w:r>
      <w:r w:rsidR="009724B9" w:rsidRPr="0089011E">
        <w:rPr>
          <w:rFonts w:ascii="Arial" w:eastAsia="Arial" w:hAnsi="Arial" w:cs="Arial"/>
          <w:bCs/>
          <w:color w:val="000000"/>
        </w:rPr>
        <w:t xml:space="preserve">spend </w:t>
      </w:r>
      <w:r>
        <w:rPr>
          <w:rFonts w:ascii="Arial" w:eastAsia="Arial" w:hAnsi="Arial" w:cs="Arial"/>
          <w:bCs/>
          <w:color w:val="000000"/>
        </w:rPr>
        <w:t>for continuation to</w:t>
      </w:r>
      <w:r w:rsidR="009724B9" w:rsidRPr="0089011E">
        <w:rPr>
          <w:rFonts w:ascii="Arial" w:eastAsia="Arial" w:hAnsi="Arial" w:cs="Arial"/>
          <w:bCs/>
          <w:color w:val="000000"/>
        </w:rPr>
        <w:t xml:space="preserve"> FBC</w:t>
      </w:r>
      <w:r w:rsidR="0082206E">
        <w:rPr>
          <w:rFonts w:ascii="Arial" w:eastAsia="Arial" w:hAnsi="Arial" w:cs="Arial"/>
          <w:bCs/>
          <w:color w:val="000000"/>
        </w:rPr>
        <w:t>,</w:t>
      </w:r>
      <w:r w:rsidR="009724B9" w:rsidRPr="0089011E">
        <w:rPr>
          <w:rFonts w:ascii="Arial" w:eastAsia="Arial" w:hAnsi="Arial" w:cs="Arial"/>
          <w:bCs/>
          <w:color w:val="000000"/>
        </w:rPr>
        <w:t xml:space="preserve"> </w:t>
      </w:r>
      <w:r w:rsidR="006B30A3">
        <w:rPr>
          <w:rFonts w:ascii="Arial" w:eastAsia="Arial" w:hAnsi="Arial" w:cs="Arial"/>
          <w:bCs/>
          <w:color w:val="000000"/>
        </w:rPr>
        <w:t>for which approval is requested</w:t>
      </w:r>
      <w:r w:rsidR="0082206E">
        <w:rPr>
          <w:rFonts w:ascii="Arial" w:eastAsia="Arial" w:hAnsi="Arial" w:cs="Arial"/>
          <w:bCs/>
          <w:color w:val="000000"/>
        </w:rPr>
        <w:t>,</w:t>
      </w:r>
      <w:r w:rsidR="006B30A3">
        <w:rPr>
          <w:rFonts w:ascii="Arial" w:eastAsia="Arial" w:hAnsi="Arial" w:cs="Arial"/>
          <w:bCs/>
          <w:color w:val="000000"/>
        </w:rPr>
        <w:t xml:space="preserve"> </w:t>
      </w:r>
      <w:r w:rsidR="009724B9" w:rsidRPr="0089011E">
        <w:rPr>
          <w:rFonts w:ascii="Arial" w:eastAsia="Arial" w:hAnsi="Arial" w:cs="Arial"/>
          <w:bCs/>
          <w:color w:val="000000"/>
        </w:rPr>
        <w:t>is £</w:t>
      </w:r>
      <w:r w:rsidR="0084544B">
        <w:rPr>
          <w:rFonts w:ascii="Arial" w:eastAsia="Arial" w:hAnsi="Arial" w:cs="Arial"/>
          <w:bCs/>
          <w:color w:val="000000"/>
        </w:rPr>
        <w:t>XXX</w:t>
      </w:r>
      <w:r w:rsidR="009724B9" w:rsidRPr="0089011E">
        <w:rPr>
          <w:rFonts w:ascii="Arial" w:eastAsia="Arial" w:hAnsi="Arial" w:cs="Arial"/>
          <w:bCs/>
          <w:color w:val="000000"/>
        </w:rPr>
        <w:t>m</w:t>
      </w:r>
      <w:r w:rsidRPr="0089011E">
        <w:rPr>
          <w:rFonts w:ascii="Arial" w:eastAsia="Arial" w:hAnsi="Arial" w:cs="Arial"/>
          <w:bCs/>
          <w:color w:val="000000"/>
        </w:rPr>
        <w:t xml:space="preserve"> </w:t>
      </w:r>
      <w:r w:rsidR="00732A68">
        <w:rPr>
          <w:rFonts w:ascii="Arial" w:eastAsia="Arial" w:hAnsi="Arial" w:cs="Arial"/>
          <w:bCs/>
          <w:color w:val="000000"/>
        </w:rPr>
        <w:t>of capital expenditure and £</w:t>
      </w:r>
      <w:r w:rsidR="0084544B">
        <w:rPr>
          <w:rFonts w:ascii="Arial" w:eastAsia="Arial" w:hAnsi="Arial" w:cs="Arial"/>
          <w:bCs/>
          <w:color w:val="000000"/>
        </w:rPr>
        <w:t>XXX</w:t>
      </w:r>
      <w:r w:rsidRPr="0089011E">
        <w:rPr>
          <w:rFonts w:ascii="Arial" w:eastAsia="Arial" w:hAnsi="Arial" w:cs="Arial"/>
          <w:bCs/>
          <w:color w:val="000000"/>
        </w:rPr>
        <w:t>m of revenue expenditure</w:t>
      </w:r>
      <w:r w:rsidR="009724B9" w:rsidRPr="0089011E">
        <w:rPr>
          <w:rFonts w:ascii="Arial" w:eastAsia="Arial" w:hAnsi="Arial" w:cs="Arial"/>
          <w:bCs/>
          <w:color w:val="000000"/>
        </w:rPr>
        <w:t>.</w:t>
      </w:r>
    </w:p>
    <w:sectPr w:rsidR="009E5516" w:rsidSect="00B72F95">
      <w:headerReference w:type="even" r:id="rId38"/>
      <w:headerReference w:type="default" r:id="rId39"/>
      <w:headerReference w:type="first" r:id="rId40"/>
      <w:pgSz w:w="11906" w:h="16838"/>
      <w:pgMar w:top="1985"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A9FF1" w14:textId="77777777" w:rsidR="00E14075" w:rsidRDefault="00E14075">
      <w:pPr>
        <w:spacing w:after="0" w:line="240" w:lineRule="auto"/>
      </w:pPr>
      <w:r>
        <w:separator/>
      </w:r>
    </w:p>
    <w:p w14:paraId="5786AB7A" w14:textId="77777777" w:rsidR="00E14075" w:rsidRDefault="00E14075"/>
  </w:endnote>
  <w:endnote w:type="continuationSeparator" w:id="0">
    <w:p w14:paraId="52186926" w14:textId="77777777" w:rsidR="00E14075" w:rsidRDefault="00E14075">
      <w:pPr>
        <w:spacing w:after="0" w:line="240" w:lineRule="auto"/>
      </w:pPr>
      <w:r>
        <w:continuationSeparator/>
      </w:r>
    </w:p>
    <w:p w14:paraId="0D86A735" w14:textId="77777777" w:rsidR="00E14075" w:rsidRDefault="00E140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dobe Garamond Pro">
    <w:altName w:val="Garamond"/>
    <w:panose1 w:val="020B06040202020202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VNRI K+ Humanist 777 BT">
    <w:altName w:val="Cambria"/>
    <w:panose1 w:val="020B0604020202020204"/>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Arial"/>
    <w:panose1 w:val="020B0604020202020204"/>
    <w:charset w:val="00"/>
    <w:family w:val="swiss"/>
    <w:notTrueType/>
    <w:pitch w:val="default"/>
    <w:sig w:usb0="00000003" w:usb1="00000000" w:usb2="00000000" w:usb3="00000000" w:csb0="00000001" w:csb1="00000000"/>
  </w:font>
  <w:font w:name="Wingdings 2">
    <w:panose1 w:val="05020102010507070707"/>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5565610"/>
      <w:docPartObj>
        <w:docPartGallery w:val="Page Numbers (Bottom of Page)"/>
        <w:docPartUnique/>
      </w:docPartObj>
    </w:sdtPr>
    <w:sdtEndPr>
      <w:rPr>
        <w:rFonts w:ascii="Arial" w:hAnsi="Arial" w:cs="Arial"/>
        <w:noProof/>
      </w:rPr>
    </w:sdtEndPr>
    <w:sdtContent>
      <w:p w14:paraId="5D4ED5BF" w14:textId="6FF49165" w:rsidR="005A7607" w:rsidRPr="00C430AE" w:rsidRDefault="005A7607">
        <w:pPr>
          <w:pStyle w:val="Footer"/>
          <w:jc w:val="right"/>
          <w:rPr>
            <w:rFonts w:ascii="Arial" w:hAnsi="Arial" w:cs="Arial"/>
          </w:rPr>
        </w:pPr>
        <w:r w:rsidRPr="00C430AE">
          <w:rPr>
            <w:rFonts w:ascii="Arial" w:hAnsi="Arial" w:cs="Arial"/>
          </w:rPr>
          <w:fldChar w:fldCharType="begin"/>
        </w:r>
        <w:r w:rsidRPr="00C430AE">
          <w:rPr>
            <w:rFonts w:ascii="Arial" w:hAnsi="Arial" w:cs="Arial"/>
          </w:rPr>
          <w:instrText xml:space="preserve"> PAGE   \* MERGEFORMAT </w:instrText>
        </w:r>
        <w:r w:rsidRPr="00C430AE">
          <w:rPr>
            <w:rFonts w:ascii="Arial" w:hAnsi="Arial" w:cs="Arial"/>
          </w:rPr>
          <w:fldChar w:fldCharType="separate"/>
        </w:r>
        <w:r w:rsidR="00911CDD">
          <w:rPr>
            <w:rFonts w:ascii="Arial" w:hAnsi="Arial" w:cs="Arial"/>
            <w:noProof/>
          </w:rPr>
          <w:t>2</w:t>
        </w:r>
        <w:r w:rsidRPr="00C430AE">
          <w:rPr>
            <w:rFonts w:ascii="Arial" w:hAnsi="Arial" w:cs="Arial"/>
            <w:noProof/>
          </w:rPr>
          <w:fldChar w:fldCharType="end"/>
        </w:r>
      </w:p>
    </w:sdtContent>
  </w:sdt>
  <w:p w14:paraId="346AF87F" w14:textId="77777777" w:rsidR="005A7607" w:rsidRDefault="005A76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F3EB4" w14:textId="77777777" w:rsidR="00E14075" w:rsidRDefault="00E14075">
      <w:pPr>
        <w:spacing w:after="0" w:line="240" w:lineRule="auto"/>
      </w:pPr>
      <w:r>
        <w:separator/>
      </w:r>
    </w:p>
    <w:p w14:paraId="28E528C1" w14:textId="77777777" w:rsidR="00E14075" w:rsidRDefault="00E14075"/>
  </w:footnote>
  <w:footnote w:type="continuationSeparator" w:id="0">
    <w:p w14:paraId="4AD78BF0" w14:textId="77777777" w:rsidR="00E14075" w:rsidRDefault="00E14075">
      <w:pPr>
        <w:spacing w:after="0" w:line="240" w:lineRule="auto"/>
      </w:pPr>
      <w:r>
        <w:continuationSeparator/>
      </w:r>
    </w:p>
    <w:p w14:paraId="4A205EB6" w14:textId="77777777" w:rsidR="00E14075" w:rsidRDefault="00E14075"/>
  </w:footnote>
  <w:footnote w:id="1">
    <w:p w14:paraId="1A9169FF" w14:textId="77777777" w:rsidR="005A7607" w:rsidRPr="00600E4C" w:rsidRDefault="005A7607" w:rsidP="00E67AA1">
      <w:pPr>
        <w:pStyle w:val="FootnoteText"/>
        <w:rPr>
          <w:rFonts w:ascii="Arial" w:hAnsi="Arial" w:cs="Arial"/>
        </w:rPr>
      </w:pPr>
      <w:r w:rsidRPr="00600E4C">
        <w:rPr>
          <w:rStyle w:val="FootnoteReference"/>
          <w:rFonts w:ascii="Arial" w:hAnsi="Arial" w:cs="Arial"/>
        </w:rPr>
        <w:footnoteRef/>
      </w:r>
      <w:r w:rsidRPr="00600E4C">
        <w:rPr>
          <w:rFonts w:ascii="Arial" w:hAnsi="Arial" w:cs="Arial"/>
        </w:rPr>
        <w:t xml:space="preserve"> Sustainability and transformation plans in London, an independent analysis of the October 2016 STPs (completed in March 2017)</w:t>
      </w:r>
    </w:p>
  </w:footnote>
  <w:footnote w:id="2">
    <w:p w14:paraId="579C2152" w14:textId="77777777" w:rsidR="005A7607" w:rsidRDefault="005A7607" w:rsidP="00AD325B">
      <w:pPr>
        <w:pStyle w:val="FootnoteText"/>
      </w:pPr>
      <w:r>
        <w:rPr>
          <w:rStyle w:val="FootnoteReference"/>
        </w:rPr>
        <w:footnoteRef/>
      </w:r>
      <w:r>
        <w:t xml:space="preserve"> Moorfields annual report 2018/19</w:t>
      </w:r>
    </w:p>
  </w:footnote>
  <w:footnote w:id="3">
    <w:p w14:paraId="1BB71DC9" w14:textId="77777777" w:rsidR="005A7607" w:rsidRPr="00A1175B" w:rsidRDefault="005A7607" w:rsidP="00AD325B">
      <w:pPr>
        <w:pStyle w:val="FootnoteText"/>
        <w:rPr>
          <w:rFonts w:ascii="Arial" w:hAnsi="Arial" w:cs="Arial"/>
        </w:rPr>
      </w:pPr>
      <w:r w:rsidRPr="00A1175B">
        <w:rPr>
          <w:rStyle w:val="FootnoteReference"/>
          <w:rFonts w:ascii="Arial" w:hAnsi="Arial" w:cs="Arial"/>
        </w:rPr>
        <w:footnoteRef/>
      </w:r>
      <w:r w:rsidRPr="00A1175B">
        <w:rPr>
          <w:rFonts w:ascii="Arial" w:hAnsi="Arial" w:cs="Arial"/>
        </w:rPr>
        <w:t xml:space="preserve"> Moorfields annual report 2018/19</w:t>
      </w:r>
    </w:p>
  </w:footnote>
  <w:footnote w:id="4">
    <w:p w14:paraId="5AFE5713" w14:textId="77777777" w:rsidR="005A7607" w:rsidRPr="00312C4C" w:rsidRDefault="005A7607" w:rsidP="00E06D69">
      <w:pPr>
        <w:pStyle w:val="FootnoteText"/>
        <w:rPr>
          <w:rFonts w:ascii="Arial" w:hAnsi="Arial" w:cs="Arial"/>
        </w:rPr>
      </w:pPr>
      <w:r w:rsidRPr="00312C4C">
        <w:rPr>
          <w:rStyle w:val="FootnoteReference"/>
          <w:rFonts w:ascii="Arial" w:hAnsi="Arial" w:cs="Arial"/>
        </w:rPr>
        <w:footnoteRef/>
      </w:r>
      <w:r w:rsidRPr="00312C4C">
        <w:rPr>
          <w:rFonts w:ascii="Arial" w:hAnsi="Arial" w:cs="Arial"/>
        </w:rPr>
        <w:t xml:space="preserve"> Moorfields annual report 2018/19</w:t>
      </w:r>
    </w:p>
  </w:footnote>
  <w:footnote w:id="5">
    <w:p w14:paraId="6A5F5070" w14:textId="77777777" w:rsidR="005A7607" w:rsidRPr="009A276F" w:rsidRDefault="005A7607" w:rsidP="00157C23">
      <w:pPr>
        <w:pStyle w:val="FootnoteText"/>
        <w:rPr>
          <w:rFonts w:ascii="Arial" w:hAnsi="Arial" w:cs="Arial"/>
          <w:i/>
          <w:iCs/>
        </w:rPr>
      </w:pPr>
      <w:r w:rsidRPr="009A276F">
        <w:rPr>
          <w:rStyle w:val="FootnoteReference"/>
          <w:rFonts w:ascii="Arial" w:hAnsi="Arial" w:cs="Arial"/>
          <w:i/>
          <w:iCs/>
          <w:sz w:val="18"/>
          <w:szCs w:val="18"/>
        </w:rPr>
        <w:footnoteRef/>
      </w:r>
      <w:r w:rsidRPr="009A276F">
        <w:rPr>
          <w:rFonts w:ascii="Arial" w:hAnsi="Arial" w:cs="Arial"/>
          <w:i/>
          <w:iCs/>
          <w:sz w:val="18"/>
          <w:szCs w:val="18"/>
        </w:rPr>
        <w:t xml:space="preserve"> Royal College of Ophthalmology – The Way Forward in Emergency Eye Care (2017)</w:t>
      </w:r>
    </w:p>
  </w:footnote>
  <w:footnote w:id="6">
    <w:p w14:paraId="659DBF0A" w14:textId="77777777" w:rsidR="005A7607" w:rsidRDefault="005A7607" w:rsidP="001D71F5">
      <w:pPr>
        <w:autoSpaceDE w:val="0"/>
        <w:autoSpaceDN w:val="0"/>
        <w:adjustRightInd w:val="0"/>
        <w:spacing w:after="0" w:line="240" w:lineRule="auto"/>
        <w:rPr>
          <w:rFonts w:ascii="Arial" w:hAnsi="Arial" w:cs="Arial"/>
          <w:sz w:val="18"/>
          <w:szCs w:val="18"/>
        </w:rPr>
      </w:pPr>
      <w:r>
        <w:rPr>
          <w:rStyle w:val="FootnoteReference"/>
        </w:rPr>
        <w:footnoteRef/>
      </w:r>
      <w:r>
        <w:t xml:space="preserve"> </w:t>
      </w:r>
      <w:r>
        <w:rPr>
          <w:rFonts w:ascii="Arial" w:hAnsi="Arial" w:cs="Arial"/>
          <w:sz w:val="18"/>
          <w:szCs w:val="18"/>
        </w:rPr>
        <w:t xml:space="preserve">For instance: Moorfields More Flow surgical management of glaucoma </w:t>
      </w:r>
      <w:r>
        <w:rPr>
          <w:rFonts w:ascii="ArialMT" w:hAnsi="ArialMT" w:cs="ArialMT"/>
          <w:sz w:val="18"/>
          <w:szCs w:val="18"/>
        </w:rPr>
        <w:t xml:space="preserve">– </w:t>
      </w:r>
      <w:r>
        <w:rPr>
          <w:rFonts w:ascii="Arial" w:hAnsi="Arial" w:cs="Arial"/>
          <w:sz w:val="18"/>
          <w:szCs w:val="18"/>
        </w:rPr>
        <w:t>standard of care world-wide; Fundus</w:t>
      </w:r>
    </w:p>
    <w:p w14:paraId="6FB6C11D" w14:textId="77777777" w:rsidR="005A7607" w:rsidRDefault="005A7607" w:rsidP="001D71F5">
      <w:pPr>
        <w:autoSpaceDE w:val="0"/>
        <w:autoSpaceDN w:val="0"/>
        <w:adjustRightInd w:val="0"/>
        <w:spacing w:after="0" w:line="240" w:lineRule="auto"/>
        <w:rPr>
          <w:rFonts w:ascii="Arial" w:hAnsi="Arial" w:cs="Arial"/>
          <w:sz w:val="18"/>
          <w:szCs w:val="18"/>
        </w:rPr>
      </w:pPr>
      <w:r>
        <w:rPr>
          <w:rFonts w:ascii="Arial" w:hAnsi="Arial" w:cs="Arial"/>
          <w:sz w:val="18"/>
          <w:szCs w:val="18"/>
        </w:rPr>
        <w:t>autofluorescence imaging in most eye clinics; first gene therapy for eye disease; first human embryonic stem cell</w:t>
      </w:r>
    </w:p>
    <w:p w14:paraId="511B779C" w14:textId="77777777" w:rsidR="005A7607" w:rsidRDefault="005A7607" w:rsidP="001D71F5">
      <w:pPr>
        <w:pStyle w:val="FootnoteText"/>
      </w:pPr>
      <w:r>
        <w:rPr>
          <w:rFonts w:ascii="Arial" w:hAnsi="Arial" w:cs="Arial"/>
          <w:sz w:val="18"/>
          <w:szCs w:val="18"/>
        </w:rPr>
        <w:t>therapy on a patch for retinal degeneration</w:t>
      </w:r>
    </w:p>
  </w:footnote>
  <w:footnote w:id="7">
    <w:p w14:paraId="18ED055D" w14:textId="77777777" w:rsidR="005A7607" w:rsidRPr="00C14576" w:rsidRDefault="005A7607">
      <w:pPr>
        <w:pStyle w:val="FootnoteText"/>
        <w:rPr>
          <w:rFonts w:ascii="Arial" w:hAnsi="Arial" w:cs="Arial"/>
        </w:rPr>
      </w:pPr>
      <w:r w:rsidRPr="00C14576">
        <w:rPr>
          <w:rStyle w:val="FootnoteReference"/>
          <w:rFonts w:ascii="Arial" w:hAnsi="Arial" w:cs="Arial"/>
        </w:rPr>
        <w:footnoteRef/>
      </w:r>
      <w:r w:rsidRPr="00C14576">
        <w:rPr>
          <w:rFonts w:ascii="Arial" w:hAnsi="Arial" w:cs="Arial"/>
        </w:rPr>
        <w:t xml:space="preserve"> </w:t>
      </w:r>
      <w:hyperlink r:id="rId1" w:history="1">
        <w:r w:rsidRPr="00C14576">
          <w:rPr>
            <w:rStyle w:val="Hyperlink"/>
            <w:rFonts w:ascii="Arial" w:hAnsi="Arial" w:cs="Arial"/>
          </w:rPr>
          <w:t>https://www.iapb.org/vision-2020/</w:t>
        </w:r>
      </w:hyperlink>
    </w:p>
  </w:footnote>
  <w:footnote w:id="8">
    <w:p w14:paraId="57F38139" w14:textId="77777777" w:rsidR="005A7607" w:rsidRPr="00C14576" w:rsidRDefault="005A7607">
      <w:pPr>
        <w:pStyle w:val="FootnoteText"/>
        <w:rPr>
          <w:rFonts w:ascii="Arial" w:hAnsi="Arial" w:cs="Arial"/>
        </w:rPr>
      </w:pPr>
      <w:r w:rsidRPr="00C14576">
        <w:rPr>
          <w:rStyle w:val="FootnoteReference"/>
          <w:rFonts w:ascii="Arial" w:hAnsi="Arial" w:cs="Arial"/>
        </w:rPr>
        <w:footnoteRef/>
      </w:r>
      <w:r w:rsidRPr="00C14576">
        <w:rPr>
          <w:rFonts w:ascii="Arial" w:hAnsi="Arial" w:cs="Arial"/>
        </w:rPr>
        <w:t xml:space="preserve"> Bright Future – a new vision for eye health, report of the WISH Eye Health Forum 2018</w:t>
      </w:r>
    </w:p>
  </w:footnote>
  <w:footnote w:id="9">
    <w:p w14:paraId="33B149A4" w14:textId="77777777" w:rsidR="005A7607" w:rsidRPr="00C14576" w:rsidRDefault="005A7607">
      <w:pPr>
        <w:pStyle w:val="FootnoteText"/>
        <w:rPr>
          <w:rFonts w:ascii="Arial" w:hAnsi="Arial" w:cs="Arial"/>
        </w:rPr>
      </w:pPr>
      <w:r w:rsidRPr="00C14576">
        <w:rPr>
          <w:rStyle w:val="FootnoteReference"/>
          <w:rFonts w:ascii="Arial" w:hAnsi="Arial" w:cs="Arial"/>
        </w:rPr>
        <w:footnoteRef/>
      </w:r>
      <w:r w:rsidRPr="00C14576">
        <w:rPr>
          <w:rFonts w:ascii="Arial" w:hAnsi="Arial" w:cs="Arial"/>
        </w:rPr>
        <w:t xml:space="preserve"> </w:t>
      </w:r>
      <w:hyperlink r:id="rId2" w:history="1">
        <w:r w:rsidRPr="00C14576">
          <w:rPr>
            <w:rStyle w:val="Hyperlink"/>
            <w:rFonts w:ascii="Arial" w:hAnsi="Arial" w:cs="Arial"/>
          </w:rPr>
          <w:t>https://www.knowledgequarter.london/</w:t>
        </w:r>
      </w:hyperlink>
    </w:p>
  </w:footnote>
  <w:footnote w:id="10">
    <w:p w14:paraId="49C58C57" w14:textId="77777777" w:rsidR="005A7607" w:rsidRPr="003D6701" w:rsidRDefault="005A7607" w:rsidP="00FF6E56">
      <w:pPr>
        <w:pStyle w:val="FootnoteText"/>
        <w:rPr>
          <w:rFonts w:ascii="Arial" w:hAnsi="Arial" w:cs="Arial"/>
          <w:sz w:val="18"/>
          <w:szCs w:val="18"/>
        </w:rPr>
      </w:pPr>
      <w:r w:rsidRPr="003D6701">
        <w:rPr>
          <w:rStyle w:val="FootnoteReference"/>
          <w:rFonts w:ascii="Arial" w:hAnsi="Arial" w:cs="Arial"/>
          <w:sz w:val="18"/>
          <w:szCs w:val="18"/>
        </w:rPr>
        <w:footnoteRef/>
      </w:r>
      <w:r w:rsidRPr="003D6701">
        <w:rPr>
          <w:rFonts w:ascii="Arial" w:hAnsi="Arial" w:cs="Arial"/>
          <w:sz w:val="18"/>
          <w:szCs w:val="18"/>
        </w:rPr>
        <w:t xml:space="preserve"> </w:t>
      </w:r>
      <w:hyperlink r:id="rId3" w:history="1">
        <w:r w:rsidRPr="003D6701">
          <w:rPr>
            <w:rStyle w:val="Hyperlink"/>
            <w:rFonts w:ascii="Arial" w:hAnsi="Arial" w:cs="Arial"/>
            <w:sz w:val="18"/>
            <w:szCs w:val="18"/>
          </w:rPr>
          <w:t>https://www.longtermplan.nhs.uk</w:t>
        </w:r>
      </w:hyperlink>
    </w:p>
  </w:footnote>
  <w:footnote w:id="11">
    <w:p w14:paraId="3AA5C25E" w14:textId="77777777" w:rsidR="005A7607" w:rsidRPr="003D6701" w:rsidRDefault="005A7607" w:rsidP="00FF6E56">
      <w:pPr>
        <w:pStyle w:val="FootnoteText"/>
        <w:rPr>
          <w:rFonts w:ascii="Arial" w:hAnsi="Arial" w:cs="Arial"/>
          <w:sz w:val="18"/>
          <w:szCs w:val="18"/>
        </w:rPr>
      </w:pPr>
      <w:r w:rsidRPr="003D6701">
        <w:rPr>
          <w:rStyle w:val="FootnoteReference"/>
          <w:rFonts w:ascii="Arial" w:hAnsi="Arial" w:cs="Arial"/>
          <w:sz w:val="18"/>
          <w:szCs w:val="18"/>
        </w:rPr>
        <w:footnoteRef/>
      </w:r>
      <w:r w:rsidRPr="003D6701">
        <w:rPr>
          <w:rFonts w:ascii="Arial" w:hAnsi="Arial" w:cs="Arial"/>
          <w:sz w:val="18"/>
          <w:szCs w:val="18"/>
        </w:rPr>
        <w:t xml:space="preserve"> </w:t>
      </w:r>
      <w:hyperlink r:id="rId4" w:history="1">
        <w:r w:rsidRPr="003D6701">
          <w:rPr>
            <w:rStyle w:val="Hyperlink"/>
            <w:rFonts w:ascii="Arial" w:hAnsi="Arial" w:cs="Arial"/>
            <w:sz w:val="18"/>
            <w:szCs w:val="18"/>
          </w:rPr>
          <w:t>https://www.gov.uk/government/publications/industrial-strategy-building-a-britain-fit-for-the-future</w:t>
        </w:r>
      </w:hyperlink>
    </w:p>
  </w:footnote>
  <w:footnote w:id="12">
    <w:p w14:paraId="041E650C" w14:textId="77777777" w:rsidR="005A7607" w:rsidRPr="003D6701" w:rsidRDefault="005A7607" w:rsidP="00FF6E56">
      <w:pPr>
        <w:pStyle w:val="FootnoteText"/>
        <w:rPr>
          <w:rFonts w:ascii="Arial" w:hAnsi="Arial" w:cs="Arial"/>
          <w:sz w:val="18"/>
          <w:szCs w:val="18"/>
        </w:rPr>
      </w:pPr>
      <w:r w:rsidRPr="003D6701">
        <w:rPr>
          <w:rStyle w:val="FootnoteReference"/>
          <w:rFonts w:ascii="Arial" w:hAnsi="Arial" w:cs="Arial"/>
          <w:sz w:val="18"/>
          <w:szCs w:val="18"/>
        </w:rPr>
        <w:footnoteRef/>
      </w:r>
      <w:r w:rsidRPr="003D6701">
        <w:rPr>
          <w:rFonts w:ascii="Arial" w:hAnsi="Arial" w:cs="Arial"/>
          <w:sz w:val="18"/>
          <w:szCs w:val="18"/>
        </w:rPr>
        <w:t xml:space="preserve"> </w:t>
      </w:r>
      <w:hyperlink r:id="rId5" w:history="1">
        <w:r w:rsidRPr="003D6701">
          <w:rPr>
            <w:rStyle w:val="Hyperlink"/>
            <w:rFonts w:ascii="Arial" w:hAnsi="Arial" w:cs="Arial"/>
            <w:sz w:val="18"/>
            <w:szCs w:val="18"/>
          </w:rPr>
          <w:t>https://www.ucl.ac.uk/2034/</w:t>
        </w:r>
      </w:hyperlink>
    </w:p>
  </w:footnote>
  <w:footnote w:id="13">
    <w:p w14:paraId="1D17291F" w14:textId="77777777" w:rsidR="005A7607" w:rsidRDefault="005A7607" w:rsidP="00FF6E56">
      <w:pPr>
        <w:pStyle w:val="FootnoteText"/>
      </w:pPr>
      <w:r w:rsidRPr="003D6701">
        <w:rPr>
          <w:rStyle w:val="FootnoteReference"/>
          <w:rFonts w:ascii="Arial" w:hAnsi="Arial" w:cs="Arial"/>
          <w:sz w:val="18"/>
          <w:szCs w:val="18"/>
        </w:rPr>
        <w:footnoteRef/>
      </w:r>
      <w:r w:rsidRPr="003D6701">
        <w:rPr>
          <w:rFonts w:ascii="Arial" w:hAnsi="Arial" w:cs="Arial"/>
          <w:sz w:val="18"/>
          <w:szCs w:val="18"/>
        </w:rPr>
        <w:t xml:space="preserve"> </w:t>
      </w:r>
      <w:hyperlink r:id="rId6" w:history="1">
        <w:r w:rsidRPr="003D6701">
          <w:rPr>
            <w:rStyle w:val="Hyperlink"/>
            <w:rFonts w:ascii="Arial" w:hAnsi="Arial" w:cs="Arial"/>
            <w:sz w:val="18"/>
            <w:szCs w:val="18"/>
          </w:rPr>
          <w:t>https://www.ucl.ac.uk/gs/doctoral-education-strategy/faculty-strategies/Brain-Scs.html</w:t>
        </w:r>
      </w:hyperlink>
    </w:p>
  </w:footnote>
  <w:footnote w:id="14">
    <w:p w14:paraId="1C9140BD" w14:textId="77777777" w:rsidR="005A7607" w:rsidRPr="00A40BA5" w:rsidRDefault="005A7607" w:rsidP="00FF6E56">
      <w:pPr>
        <w:pStyle w:val="FootnoteText"/>
        <w:rPr>
          <w:rFonts w:ascii="Arial" w:hAnsi="Arial" w:cs="Arial"/>
        </w:rPr>
      </w:pPr>
      <w:r w:rsidRPr="00A40BA5">
        <w:rPr>
          <w:rStyle w:val="FootnoteReference"/>
          <w:rFonts w:ascii="Arial" w:hAnsi="Arial" w:cs="Arial"/>
        </w:rPr>
        <w:footnoteRef/>
      </w:r>
      <w:r w:rsidRPr="00A40BA5">
        <w:rPr>
          <w:rFonts w:ascii="Arial" w:hAnsi="Arial" w:cs="Arial"/>
        </w:rPr>
        <w:t xml:space="preserve"> C</w:t>
      </w:r>
      <w:r w:rsidRPr="00A40BA5">
        <w:rPr>
          <w:rFonts w:ascii="Arial" w:eastAsia="Arial" w:hAnsi="Arial" w:cs="Arial"/>
          <w:bCs/>
          <w:color w:val="000000"/>
        </w:rPr>
        <w:t>entral government guidance on appraisal and evaluation</w:t>
      </w:r>
    </w:p>
  </w:footnote>
  <w:footnote w:id="15">
    <w:p w14:paraId="3362DB91" w14:textId="77777777" w:rsidR="005A7607" w:rsidRPr="005F45AF" w:rsidRDefault="005A7607" w:rsidP="004A7E6A">
      <w:pPr>
        <w:pStyle w:val="FootnoteText"/>
        <w:rPr>
          <w:rFonts w:ascii="Arial" w:hAnsi="Arial" w:cs="Arial"/>
          <w:sz w:val="18"/>
          <w:szCs w:val="18"/>
        </w:rPr>
      </w:pPr>
      <w:r w:rsidRPr="005F45AF">
        <w:rPr>
          <w:rStyle w:val="FootnoteReference"/>
          <w:rFonts w:ascii="Arial" w:hAnsi="Arial" w:cs="Arial"/>
          <w:sz w:val="18"/>
          <w:szCs w:val="18"/>
        </w:rPr>
        <w:footnoteRef/>
      </w:r>
      <w:r w:rsidRPr="005F45AF">
        <w:rPr>
          <w:rFonts w:ascii="Arial" w:hAnsi="Arial" w:cs="Arial"/>
          <w:sz w:val="18"/>
          <w:szCs w:val="18"/>
        </w:rPr>
        <w:t xml:space="preserve"> </w:t>
      </w:r>
      <w:r w:rsidRPr="005F45AF">
        <w:rPr>
          <w:rFonts w:ascii="Arial" w:hAnsi="Arial" w:cs="Arial"/>
          <w:color w:val="000000"/>
          <w:sz w:val="18"/>
          <w:szCs w:val="18"/>
        </w:rPr>
        <w:t>source: 18/19 annual report, all specialties</w:t>
      </w:r>
    </w:p>
  </w:footnote>
  <w:footnote w:id="16">
    <w:p w14:paraId="47E13F99" w14:textId="77777777" w:rsidR="005A7607" w:rsidRDefault="005A7607" w:rsidP="00D20FB0">
      <w:pPr>
        <w:pStyle w:val="FootnoteText"/>
      </w:pPr>
      <w:r>
        <w:rPr>
          <w:rStyle w:val="FootnoteReference"/>
          <w:rFonts w:eastAsiaTheme="majorEastAsia" w:cs="Arial"/>
          <w:sz w:val="16"/>
          <w:szCs w:val="16"/>
        </w:rPr>
        <w:footnoteRef/>
      </w:r>
      <w:r>
        <w:rPr>
          <w:rFonts w:cs="Arial"/>
          <w:sz w:val="16"/>
          <w:szCs w:val="16"/>
        </w:rPr>
        <w:t xml:space="preserve"> 1994, </w:t>
      </w:r>
      <w:bookmarkStart w:id="484" w:name="OLE_LINK2"/>
      <w:r>
        <w:rPr>
          <w:rFonts w:cs="Arial"/>
          <w:sz w:val="16"/>
          <w:szCs w:val="16"/>
        </w:rPr>
        <w:t>ISBN 0 11 321718 8</w:t>
      </w:r>
      <w:bookmarkEnd w:id="484"/>
    </w:p>
  </w:footnote>
  <w:footnote w:id="17">
    <w:p w14:paraId="2751B596" w14:textId="77777777" w:rsidR="005A7607" w:rsidRDefault="005A7607" w:rsidP="00D20FB0">
      <w:pPr>
        <w:pStyle w:val="FootnoteText"/>
      </w:pPr>
      <w:r>
        <w:rPr>
          <w:rStyle w:val="FootnoteReference"/>
          <w:rFonts w:eastAsiaTheme="majorEastAsia" w:cs="Arial"/>
          <w:sz w:val="16"/>
          <w:szCs w:val="16"/>
        </w:rPr>
        <w:footnoteRef/>
      </w:r>
      <w:r>
        <w:rPr>
          <w:rFonts w:cs="Arial"/>
          <w:sz w:val="16"/>
          <w:szCs w:val="16"/>
        </w:rPr>
        <w:t xml:space="preserve"> Project In a Controlled Environment: a structured approach to project management endorsed by the Office for Government Commerce  (OGC) as the standard for the conduct of major projects in the public sector </w:t>
      </w:r>
    </w:p>
  </w:footnote>
  <w:footnote w:id="18">
    <w:p w14:paraId="04B00FA4" w14:textId="77777777" w:rsidR="005A7607" w:rsidRDefault="005A7607" w:rsidP="00D20FB0">
      <w:pPr>
        <w:pStyle w:val="FootnoteText"/>
      </w:pPr>
      <w:r>
        <w:rPr>
          <w:rStyle w:val="FootnoteReference"/>
          <w:rFonts w:eastAsiaTheme="majorEastAsia"/>
        </w:rPr>
        <w:footnoteRef/>
      </w:r>
      <w:r>
        <w:t xml:space="preserve"> </w:t>
      </w:r>
      <w:r w:rsidRPr="00AC3C24">
        <w:rPr>
          <w:rFonts w:cs="Arial"/>
          <w:sz w:val="16"/>
          <w:szCs w:val="16"/>
        </w:rPr>
        <w:t>MSP is the de facto standard methodology for delivering programmes in the UK public sector. It is the programme equivalent of PRINCE2 and is owned by the Office of Government Commerce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3DE3E" w14:textId="08E9DD85" w:rsidR="005A7607" w:rsidRDefault="005A7607" w:rsidP="00E47761">
    <w:pPr>
      <w:pBdr>
        <w:top w:val="nil"/>
        <w:left w:val="nil"/>
        <w:bottom w:val="nil"/>
        <w:right w:val="nil"/>
        <w:between w:val="nil"/>
      </w:pBdr>
      <w:tabs>
        <w:tab w:val="right" w:pos="9026"/>
      </w:tabs>
      <w:spacing w:after="0" w:line="240" w:lineRule="auto"/>
      <w:jc w:val="center"/>
      <w:rPr>
        <w:color w:val="000000"/>
      </w:rPr>
    </w:pPr>
    <w:r>
      <w:rPr>
        <w:noProof/>
      </w:rPr>
      <w:drawing>
        <wp:inline distT="0" distB="0" distL="0" distR="0" wp14:anchorId="189EE16F" wp14:editId="223B10A1">
          <wp:extent cx="1967345" cy="6719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4979" t="12612"/>
                  <a:stretch/>
                </pic:blipFill>
                <pic:spPr bwMode="auto">
                  <a:xfrm>
                    <a:off x="0" y="0"/>
                    <a:ext cx="1983852" cy="677562"/>
                  </a:xfrm>
                  <a:prstGeom prst="rect">
                    <a:avLst/>
                  </a:prstGeom>
                  <a:ln>
                    <a:noFill/>
                  </a:ln>
                  <a:extLst>
                    <a:ext uri="{53640926-AAD7-44D8-BBD7-CCE9431645EC}">
                      <a14:shadowObscured xmlns:a14="http://schemas.microsoft.com/office/drawing/2010/main"/>
                    </a:ext>
                  </a:extLst>
                </pic:spPr>
              </pic:pic>
            </a:graphicData>
          </a:graphic>
        </wp:inline>
      </w:drawing>
    </w:r>
    <w:r>
      <w:rPr>
        <w:color w:val="000000"/>
      </w:rPr>
      <w:tab/>
    </w:r>
    <w:r>
      <w:rPr>
        <w:noProof/>
      </w:rPr>
      <w:drawing>
        <wp:inline distT="0" distB="0" distL="0" distR="0" wp14:anchorId="4EF9B7E5" wp14:editId="5D10AA00">
          <wp:extent cx="2308860" cy="6169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extLst>
                      <a:ext uri="{28A0092B-C50C-407E-A947-70E740481C1C}">
                        <a14:useLocalDpi xmlns:a14="http://schemas.microsoft.com/office/drawing/2010/main" val="0"/>
                      </a:ext>
                    </a:extLst>
                  </a:blip>
                  <a:stretch>
                    <a:fillRect/>
                  </a:stretch>
                </pic:blipFill>
                <pic:spPr>
                  <a:xfrm>
                    <a:off x="0" y="0"/>
                    <a:ext cx="2353997" cy="629057"/>
                  </a:xfrm>
                  <a:prstGeom prst="rect">
                    <a:avLst/>
                  </a:prstGeom>
                </pic:spPr>
              </pic:pic>
            </a:graphicData>
          </a:graphic>
        </wp:inline>
      </w:drawing>
    </w:r>
  </w:p>
  <w:p w14:paraId="4501EA95" w14:textId="77777777" w:rsidR="005A7607" w:rsidRDefault="005A76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D23D" w14:textId="77777777" w:rsidR="005A7607" w:rsidRDefault="005A76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1AF20" w14:textId="2EFAF3F6" w:rsidR="005A7607" w:rsidRDefault="005A7607" w:rsidP="00E119B3">
    <w:pPr>
      <w:pBdr>
        <w:top w:val="nil"/>
        <w:left w:val="nil"/>
        <w:bottom w:val="nil"/>
        <w:right w:val="nil"/>
        <w:between w:val="nil"/>
      </w:pBdr>
      <w:tabs>
        <w:tab w:val="right" w:pos="9026"/>
      </w:tabs>
      <w:spacing w:after="0" w:line="240" w:lineRule="auto"/>
      <w:jc w:val="right"/>
      <w:rPr>
        <w:color w:val="000000"/>
      </w:rPr>
    </w:pPr>
    <w:r>
      <w:rPr>
        <w:noProof/>
      </w:rPr>
      <w:drawing>
        <wp:inline distT="0" distB="0" distL="0" distR="0" wp14:anchorId="6356ABB9" wp14:editId="494582EE">
          <wp:extent cx="1914525" cy="633413"/>
          <wp:effectExtent l="0" t="0" r="0" b="0"/>
          <wp:docPr id="1483731201" name="Picture 148373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4979" t="12612" r="2538" b="4997"/>
                  <a:stretch/>
                </pic:blipFill>
                <pic:spPr bwMode="auto">
                  <a:xfrm>
                    <a:off x="0" y="0"/>
                    <a:ext cx="1930860" cy="638817"/>
                  </a:xfrm>
                  <a:prstGeom prst="rect">
                    <a:avLst/>
                  </a:prstGeom>
                  <a:ln>
                    <a:noFill/>
                  </a:ln>
                  <a:extLst>
                    <a:ext uri="{53640926-AAD7-44D8-BBD7-CCE9431645EC}">
                      <a14:shadowObscured xmlns:a14="http://schemas.microsoft.com/office/drawing/2010/main"/>
                    </a:ext>
                  </a:extLst>
                </pic:spPr>
              </pic:pic>
            </a:graphicData>
          </a:graphic>
        </wp:inline>
      </w:drawing>
    </w:r>
    <w:r>
      <w:rPr>
        <w:color w:val="000000"/>
      </w:rPr>
      <w:tab/>
    </w:r>
    <w:r>
      <w:rPr>
        <w:noProof/>
      </w:rPr>
      <w:drawing>
        <wp:inline distT="0" distB="0" distL="0" distR="0" wp14:anchorId="109B5482" wp14:editId="3205A9C9">
          <wp:extent cx="2514268" cy="660683"/>
          <wp:effectExtent l="0" t="0" r="635" b="6350"/>
          <wp:docPr id="1483731203" name="Picture 1483731203" descr="A picture containing bottl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558112" cy="67220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2B64F" w14:textId="77777777" w:rsidR="005A7607" w:rsidRDefault="005A76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48D2"/>
    <w:multiLevelType w:val="hybridMultilevel"/>
    <w:tmpl w:val="DFDE0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D1658A"/>
    <w:multiLevelType w:val="hybridMultilevel"/>
    <w:tmpl w:val="D20EE8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E52BE4"/>
    <w:multiLevelType w:val="hybridMultilevel"/>
    <w:tmpl w:val="BB4844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7C5795"/>
    <w:multiLevelType w:val="hybridMultilevel"/>
    <w:tmpl w:val="4AAE7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BE4072"/>
    <w:multiLevelType w:val="hybridMultilevel"/>
    <w:tmpl w:val="17965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FF0988"/>
    <w:multiLevelType w:val="multilevel"/>
    <w:tmpl w:val="6A48E7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46E183F"/>
    <w:multiLevelType w:val="multilevel"/>
    <w:tmpl w:val="F21CE162"/>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Arial" w:hAnsi="Arial" w:hint="default"/>
        <w:color w:val="EEECE1" w:themeColor="background2"/>
      </w:rPr>
    </w:lvl>
    <w:lvl w:ilvl="2">
      <w:start w:val="1"/>
      <w:numFmt w:val="bullet"/>
      <w:lvlText w:val=""/>
      <w:lvlJc w:val="left"/>
      <w:pPr>
        <w:ind w:left="284" w:firstLine="283"/>
      </w:pPr>
      <w:rPr>
        <w:rFonts w:ascii="Wingdings" w:hAnsi="Wingdings" w:hint="default"/>
        <w:color w:val="EEECE1" w:themeColor="background2"/>
      </w:rPr>
    </w:lvl>
    <w:lvl w:ilvl="3">
      <w:start w:val="1"/>
      <w:numFmt w:val="none"/>
      <w:lvlRestart w:val="0"/>
      <w:lvlText w:val=""/>
      <w:lvlJc w:val="left"/>
      <w:pPr>
        <w:tabs>
          <w:tab w:val="num" w:pos="567"/>
        </w:tabs>
        <w:ind w:left="284" w:firstLine="283"/>
      </w:pPr>
      <w:rPr>
        <w:rFonts w:hint="default"/>
      </w:rPr>
    </w:lvl>
    <w:lvl w:ilvl="4">
      <w:start w:val="1"/>
      <w:numFmt w:val="none"/>
      <w:lvlRestart w:val="0"/>
      <w:lvlText w:val=""/>
      <w:lvlJc w:val="left"/>
      <w:pPr>
        <w:tabs>
          <w:tab w:val="num" w:pos="567"/>
        </w:tabs>
        <w:ind w:left="284" w:firstLine="283"/>
      </w:pPr>
      <w:rPr>
        <w:rFonts w:hint="default"/>
      </w:rPr>
    </w:lvl>
    <w:lvl w:ilvl="5">
      <w:start w:val="1"/>
      <w:numFmt w:val="none"/>
      <w:lvlRestart w:val="0"/>
      <w:lvlText w:val=""/>
      <w:lvlJc w:val="left"/>
      <w:pPr>
        <w:tabs>
          <w:tab w:val="num" w:pos="567"/>
        </w:tabs>
        <w:ind w:left="284" w:firstLine="283"/>
      </w:pPr>
      <w:rPr>
        <w:rFonts w:hint="default"/>
      </w:rPr>
    </w:lvl>
    <w:lvl w:ilvl="6">
      <w:start w:val="1"/>
      <w:numFmt w:val="none"/>
      <w:lvlRestart w:val="0"/>
      <w:lvlText w:val=""/>
      <w:lvlJc w:val="left"/>
      <w:pPr>
        <w:tabs>
          <w:tab w:val="num" w:pos="567"/>
        </w:tabs>
        <w:ind w:left="284" w:firstLine="283"/>
      </w:pPr>
      <w:rPr>
        <w:rFonts w:hint="default"/>
      </w:rPr>
    </w:lvl>
    <w:lvl w:ilvl="7">
      <w:start w:val="1"/>
      <w:numFmt w:val="none"/>
      <w:lvlRestart w:val="0"/>
      <w:lvlText w:val=""/>
      <w:lvlJc w:val="left"/>
      <w:pPr>
        <w:tabs>
          <w:tab w:val="num" w:pos="567"/>
        </w:tabs>
        <w:ind w:left="284" w:firstLine="283"/>
      </w:pPr>
      <w:rPr>
        <w:rFonts w:hint="default"/>
      </w:rPr>
    </w:lvl>
    <w:lvl w:ilvl="8">
      <w:start w:val="1"/>
      <w:numFmt w:val="none"/>
      <w:lvlRestart w:val="0"/>
      <w:lvlText w:val=""/>
      <w:lvlJc w:val="left"/>
      <w:pPr>
        <w:tabs>
          <w:tab w:val="num" w:pos="567"/>
        </w:tabs>
        <w:ind w:left="284" w:firstLine="283"/>
      </w:pPr>
      <w:rPr>
        <w:rFonts w:hint="default"/>
      </w:rPr>
    </w:lvl>
  </w:abstractNum>
  <w:abstractNum w:abstractNumId="7" w15:restartNumberingAfterBreak="0">
    <w:nsid w:val="04770AC6"/>
    <w:multiLevelType w:val="hybridMultilevel"/>
    <w:tmpl w:val="FDF67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4DB6D65"/>
    <w:multiLevelType w:val="hybridMultilevel"/>
    <w:tmpl w:val="CC08DE74"/>
    <w:lvl w:ilvl="0" w:tplc="BD089528">
      <w:start w:val="1"/>
      <w:numFmt w:val="decimal"/>
      <w:lvlText w:val="%1."/>
      <w:lvlJc w:val="left"/>
      <w:pPr>
        <w:ind w:left="506" w:hanging="360"/>
      </w:pPr>
      <w:rPr>
        <w:rFonts w:hint="default"/>
      </w:rPr>
    </w:lvl>
    <w:lvl w:ilvl="1" w:tplc="08090019" w:tentative="1">
      <w:start w:val="1"/>
      <w:numFmt w:val="lowerLetter"/>
      <w:lvlText w:val="%2."/>
      <w:lvlJc w:val="left"/>
      <w:pPr>
        <w:ind w:left="1226" w:hanging="360"/>
      </w:pPr>
    </w:lvl>
    <w:lvl w:ilvl="2" w:tplc="0809001B" w:tentative="1">
      <w:start w:val="1"/>
      <w:numFmt w:val="lowerRoman"/>
      <w:lvlText w:val="%3."/>
      <w:lvlJc w:val="right"/>
      <w:pPr>
        <w:ind w:left="1946" w:hanging="180"/>
      </w:pPr>
    </w:lvl>
    <w:lvl w:ilvl="3" w:tplc="0809000F" w:tentative="1">
      <w:start w:val="1"/>
      <w:numFmt w:val="decimal"/>
      <w:lvlText w:val="%4."/>
      <w:lvlJc w:val="left"/>
      <w:pPr>
        <w:ind w:left="2666" w:hanging="360"/>
      </w:pPr>
    </w:lvl>
    <w:lvl w:ilvl="4" w:tplc="08090019" w:tentative="1">
      <w:start w:val="1"/>
      <w:numFmt w:val="lowerLetter"/>
      <w:lvlText w:val="%5."/>
      <w:lvlJc w:val="left"/>
      <w:pPr>
        <w:ind w:left="3386" w:hanging="360"/>
      </w:pPr>
    </w:lvl>
    <w:lvl w:ilvl="5" w:tplc="0809001B" w:tentative="1">
      <w:start w:val="1"/>
      <w:numFmt w:val="lowerRoman"/>
      <w:lvlText w:val="%6."/>
      <w:lvlJc w:val="right"/>
      <w:pPr>
        <w:ind w:left="4106" w:hanging="180"/>
      </w:pPr>
    </w:lvl>
    <w:lvl w:ilvl="6" w:tplc="0809000F" w:tentative="1">
      <w:start w:val="1"/>
      <w:numFmt w:val="decimal"/>
      <w:lvlText w:val="%7."/>
      <w:lvlJc w:val="left"/>
      <w:pPr>
        <w:ind w:left="4826" w:hanging="360"/>
      </w:pPr>
    </w:lvl>
    <w:lvl w:ilvl="7" w:tplc="08090019" w:tentative="1">
      <w:start w:val="1"/>
      <w:numFmt w:val="lowerLetter"/>
      <w:lvlText w:val="%8."/>
      <w:lvlJc w:val="left"/>
      <w:pPr>
        <w:ind w:left="5546" w:hanging="360"/>
      </w:pPr>
    </w:lvl>
    <w:lvl w:ilvl="8" w:tplc="0809001B" w:tentative="1">
      <w:start w:val="1"/>
      <w:numFmt w:val="lowerRoman"/>
      <w:lvlText w:val="%9."/>
      <w:lvlJc w:val="right"/>
      <w:pPr>
        <w:ind w:left="6266" w:hanging="180"/>
      </w:pPr>
    </w:lvl>
  </w:abstractNum>
  <w:abstractNum w:abstractNumId="9" w15:restartNumberingAfterBreak="0">
    <w:nsid w:val="05BD5381"/>
    <w:multiLevelType w:val="hybridMultilevel"/>
    <w:tmpl w:val="14488CC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08083D8B"/>
    <w:multiLevelType w:val="hybridMultilevel"/>
    <w:tmpl w:val="F9921FFC"/>
    <w:lvl w:ilvl="0" w:tplc="0F0E09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0854F0"/>
    <w:multiLevelType w:val="hybridMultilevel"/>
    <w:tmpl w:val="48CC4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8653AD2"/>
    <w:multiLevelType w:val="multilevel"/>
    <w:tmpl w:val="B1545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888777E"/>
    <w:multiLevelType w:val="hybridMultilevel"/>
    <w:tmpl w:val="F85C8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8D2DBF"/>
    <w:multiLevelType w:val="hybridMultilevel"/>
    <w:tmpl w:val="7CC2BF60"/>
    <w:lvl w:ilvl="0" w:tplc="597A2BEA">
      <w:start w:val="1"/>
      <w:numFmt w:val="bullet"/>
      <w:lvlText w:val="•"/>
      <w:lvlJc w:val="left"/>
      <w:pPr>
        <w:tabs>
          <w:tab w:val="num" w:pos="720"/>
        </w:tabs>
        <w:ind w:left="720" w:hanging="360"/>
      </w:pPr>
      <w:rPr>
        <w:rFonts w:ascii="Arial" w:hAnsi="Arial" w:hint="default"/>
      </w:rPr>
    </w:lvl>
    <w:lvl w:ilvl="1" w:tplc="0F2C4800" w:tentative="1">
      <w:start w:val="1"/>
      <w:numFmt w:val="bullet"/>
      <w:lvlText w:val="•"/>
      <w:lvlJc w:val="left"/>
      <w:pPr>
        <w:tabs>
          <w:tab w:val="num" w:pos="1440"/>
        </w:tabs>
        <w:ind w:left="1440" w:hanging="360"/>
      </w:pPr>
      <w:rPr>
        <w:rFonts w:ascii="Arial" w:hAnsi="Arial" w:hint="default"/>
      </w:rPr>
    </w:lvl>
    <w:lvl w:ilvl="2" w:tplc="AAE219B2" w:tentative="1">
      <w:start w:val="1"/>
      <w:numFmt w:val="bullet"/>
      <w:lvlText w:val="•"/>
      <w:lvlJc w:val="left"/>
      <w:pPr>
        <w:tabs>
          <w:tab w:val="num" w:pos="2160"/>
        </w:tabs>
        <w:ind w:left="2160" w:hanging="360"/>
      </w:pPr>
      <w:rPr>
        <w:rFonts w:ascii="Arial" w:hAnsi="Arial" w:hint="default"/>
      </w:rPr>
    </w:lvl>
    <w:lvl w:ilvl="3" w:tplc="02527390" w:tentative="1">
      <w:start w:val="1"/>
      <w:numFmt w:val="bullet"/>
      <w:lvlText w:val="•"/>
      <w:lvlJc w:val="left"/>
      <w:pPr>
        <w:tabs>
          <w:tab w:val="num" w:pos="2880"/>
        </w:tabs>
        <w:ind w:left="2880" w:hanging="360"/>
      </w:pPr>
      <w:rPr>
        <w:rFonts w:ascii="Arial" w:hAnsi="Arial" w:hint="default"/>
      </w:rPr>
    </w:lvl>
    <w:lvl w:ilvl="4" w:tplc="FA903202" w:tentative="1">
      <w:start w:val="1"/>
      <w:numFmt w:val="bullet"/>
      <w:lvlText w:val="•"/>
      <w:lvlJc w:val="left"/>
      <w:pPr>
        <w:tabs>
          <w:tab w:val="num" w:pos="3600"/>
        </w:tabs>
        <w:ind w:left="3600" w:hanging="360"/>
      </w:pPr>
      <w:rPr>
        <w:rFonts w:ascii="Arial" w:hAnsi="Arial" w:hint="default"/>
      </w:rPr>
    </w:lvl>
    <w:lvl w:ilvl="5" w:tplc="E6168A3A" w:tentative="1">
      <w:start w:val="1"/>
      <w:numFmt w:val="bullet"/>
      <w:lvlText w:val="•"/>
      <w:lvlJc w:val="left"/>
      <w:pPr>
        <w:tabs>
          <w:tab w:val="num" w:pos="4320"/>
        </w:tabs>
        <w:ind w:left="4320" w:hanging="360"/>
      </w:pPr>
      <w:rPr>
        <w:rFonts w:ascii="Arial" w:hAnsi="Arial" w:hint="default"/>
      </w:rPr>
    </w:lvl>
    <w:lvl w:ilvl="6" w:tplc="330A54A8" w:tentative="1">
      <w:start w:val="1"/>
      <w:numFmt w:val="bullet"/>
      <w:lvlText w:val="•"/>
      <w:lvlJc w:val="left"/>
      <w:pPr>
        <w:tabs>
          <w:tab w:val="num" w:pos="5040"/>
        </w:tabs>
        <w:ind w:left="5040" w:hanging="360"/>
      </w:pPr>
      <w:rPr>
        <w:rFonts w:ascii="Arial" w:hAnsi="Arial" w:hint="default"/>
      </w:rPr>
    </w:lvl>
    <w:lvl w:ilvl="7" w:tplc="0ADE3E38" w:tentative="1">
      <w:start w:val="1"/>
      <w:numFmt w:val="bullet"/>
      <w:lvlText w:val="•"/>
      <w:lvlJc w:val="left"/>
      <w:pPr>
        <w:tabs>
          <w:tab w:val="num" w:pos="5760"/>
        </w:tabs>
        <w:ind w:left="5760" w:hanging="360"/>
      </w:pPr>
      <w:rPr>
        <w:rFonts w:ascii="Arial" w:hAnsi="Arial" w:hint="default"/>
      </w:rPr>
    </w:lvl>
    <w:lvl w:ilvl="8" w:tplc="660C70F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9617137"/>
    <w:multiLevelType w:val="hybridMultilevel"/>
    <w:tmpl w:val="CC08DE74"/>
    <w:lvl w:ilvl="0" w:tplc="BD089528">
      <w:start w:val="1"/>
      <w:numFmt w:val="decimal"/>
      <w:lvlText w:val="%1."/>
      <w:lvlJc w:val="left"/>
      <w:pPr>
        <w:ind w:left="506" w:hanging="360"/>
      </w:pPr>
      <w:rPr>
        <w:rFonts w:hint="default"/>
      </w:rPr>
    </w:lvl>
    <w:lvl w:ilvl="1" w:tplc="08090019" w:tentative="1">
      <w:start w:val="1"/>
      <w:numFmt w:val="lowerLetter"/>
      <w:lvlText w:val="%2."/>
      <w:lvlJc w:val="left"/>
      <w:pPr>
        <w:ind w:left="1226" w:hanging="360"/>
      </w:pPr>
    </w:lvl>
    <w:lvl w:ilvl="2" w:tplc="0809001B" w:tentative="1">
      <w:start w:val="1"/>
      <w:numFmt w:val="lowerRoman"/>
      <w:lvlText w:val="%3."/>
      <w:lvlJc w:val="right"/>
      <w:pPr>
        <w:ind w:left="1946" w:hanging="180"/>
      </w:pPr>
    </w:lvl>
    <w:lvl w:ilvl="3" w:tplc="0809000F" w:tentative="1">
      <w:start w:val="1"/>
      <w:numFmt w:val="decimal"/>
      <w:lvlText w:val="%4."/>
      <w:lvlJc w:val="left"/>
      <w:pPr>
        <w:ind w:left="2666" w:hanging="360"/>
      </w:pPr>
    </w:lvl>
    <w:lvl w:ilvl="4" w:tplc="08090019" w:tentative="1">
      <w:start w:val="1"/>
      <w:numFmt w:val="lowerLetter"/>
      <w:lvlText w:val="%5."/>
      <w:lvlJc w:val="left"/>
      <w:pPr>
        <w:ind w:left="3386" w:hanging="360"/>
      </w:pPr>
    </w:lvl>
    <w:lvl w:ilvl="5" w:tplc="0809001B" w:tentative="1">
      <w:start w:val="1"/>
      <w:numFmt w:val="lowerRoman"/>
      <w:lvlText w:val="%6."/>
      <w:lvlJc w:val="right"/>
      <w:pPr>
        <w:ind w:left="4106" w:hanging="180"/>
      </w:pPr>
    </w:lvl>
    <w:lvl w:ilvl="6" w:tplc="0809000F" w:tentative="1">
      <w:start w:val="1"/>
      <w:numFmt w:val="decimal"/>
      <w:lvlText w:val="%7."/>
      <w:lvlJc w:val="left"/>
      <w:pPr>
        <w:ind w:left="4826" w:hanging="360"/>
      </w:pPr>
    </w:lvl>
    <w:lvl w:ilvl="7" w:tplc="08090019" w:tentative="1">
      <w:start w:val="1"/>
      <w:numFmt w:val="lowerLetter"/>
      <w:lvlText w:val="%8."/>
      <w:lvlJc w:val="left"/>
      <w:pPr>
        <w:ind w:left="5546" w:hanging="360"/>
      </w:pPr>
    </w:lvl>
    <w:lvl w:ilvl="8" w:tplc="0809001B" w:tentative="1">
      <w:start w:val="1"/>
      <w:numFmt w:val="lowerRoman"/>
      <w:lvlText w:val="%9."/>
      <w:lvlJc w:val="right"/>
      <w:pPr>
        <w:ind w:left="6266" w:hanging="180"/>
      </w:pPr>
    </w:lvl>
  </w:abstractNum>
  <w:abstractNum w:abstractNumId="16" w15:restartNumberingAfterBreak="0">
    <w:nsid w:val="09DF68A4"/>
    <w:multiLevelType w:val="hybridMultilevel"/>
    <w:tmpl w:val="E1843C2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0B1D0FEC"/>
    <w:multiLevelType w:val="hybridMultilevel"/>
    <w:tmpl w:val="1944B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BB669D9"/>
    <w:multiLevelType w:val="hybridMultilevel"/>
    <w:tmpl w:val="A9769D34"/>
    <w:lvl w:ilvl="0" w:tplc="81A40A5C">
      <w:start w:val="1"/>
      <w:numFmt w:val="decimal"/>
      <w:lvlText w:val="%1."/>
      <w:lvlJc w:val="left"/>
      <w:pPr>
        <w:ind w:left="1069" w:hanging="360"/>
      </w:p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19" w15:restartNumberingAfterBreak="0">
    <w:nsid w:val="0C096ADF"/>
    <w:multiLevelType w:val="hybridMultilevel"/>
    <w:tmpl w:val="7D0A4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C7A5A4A"/>
    <w:multiLevelType w:val="hybridMultilevel"/>
    <w:tmpl w:val="0D7834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CE3123F"/>
    <w:multiLevelType w:val="hybridMultilevel"/>
    <w:tmpl w:val="413CE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D093276"/>
    <w:multiLevelType w:val="hybridMultilevel"/>
    <w:tmpl w:val="4CCCAE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20D34BA"/>
    <w:multiLevelType w:val="hybridMultilevel"/>
    <w:tmpl w:val="03CCF804"/>
    <w:lvl w:ilvl="0" w:tplc="3B42C7F6">
      <w:start w:val="1"/>
      <w:numFmt w:val="bullet"/>
      <w:lvlText w:val="•"/>
      <w:lvlJc w:val="left"/>
      <w:pPr>
        <w:tabs>
          <w:tab w:val="num" w:pos="720"/>
        </w:tabs>
        <w:ind w:left="720" w:hanging="360"/>
      </w:pPr>
      <w:rPr>
        <w:rFonts w:ascii="Arial" w:hAnsi="Arial" w:hint="default"/>
      </w:rPr>
    </w:lvl>
    <w:lvl w:ilvl="1" w:tplc="BC62A200" w:tentative="1">
      <w:start w:val="1"/>
      <w:numFmt w:val="bullet"/>
      <w:lvlText w:val="•"/>
      <w:lvlJc w:val="left"/>
      <w:pPr>
        <w:tabs>
          <w:tab w:val="num" w:pos="1440"/>
        </w:tabs>
        <w:ind w:left="1440" w:hanging="360"/>
      </w:pPr>
      <w:rPr>
        <w:rFonts w:ascii="Arial" w:hAnsi="Arial" w:hint="default"/>
      </w:rPr>
    </w:lvl>
    <w:lvl w:ilvl="2" w:tplc="5E80BBE4" w:tentative="1">
      <w:start w:val="1"/>
      <w:numFmt w:val="bullet"/>
      <w:lvlText w:val="•"/>
      <w:lvlJc w:val="left"/>
      <w:pPr>
        <w:tabs>
          <w:tab w:val="num" w:pos="2160"/>
        </w:tabs>
        <w:ind w:left="2160" w:hanging="360"/>
      </w:pPr>
      <w:rPr>
        <w:rFonts w:ascii="Arial" w:hAnsi="Arial" w:hint="default"/>
      </w:rPr>
    </w:lvl>
    <w:lvl w:ilvl="3" w:tplc="9DDEFB0C" w:tentative="1">
      <w:start w:val="1"/>
      <w:numFmt w:val="bullet"/>
      <w:lvlText w:val="•"/>
      <w:lvlJc w:val="left"/>
      <w:pPr>
        <w:tabs>
          <w:tab w:val="num" w:pos="2880"/>
        </w:tabs>
        <w:ind w:left="2880" w:hanging="360"/>
      </w:pPr>
      <w:rPr>
        <w:rFonts w:ascii="Arial" w:hAnsi="Arial" w:hint="default"/>
      </w:rPr>
    </w:lvl>
    <w:lvl w:ilvl="4" w:tplc="801633A0" w:tentative="1">
      <w:start w:val="1"/>
      <w:numFmt w:val="bullet"/>
      <w:lvlText w:val="•"/>
      <w:lvlJc w:val="left"/>
      <w:pPr>
        <w:tabs>
          <w:tab w:val="num" w:pos="3600"/>
        </w:tabs>
        <w:ind w:left="3600" w:hanging="360"/>
      </w:pPr>
      <w:rPr>
        <w:rFonts w:ascii="Arial" w:hAnsi="Arial" w:hint="default"/>
      </w:rPr>
    </w:lvl>
    <w:lvl w:ilvl="5" w:tplc="DA42C042" w:tentative="1">
      <w:start w:val="1"/>
      <w:numFmt w:val="bullet"/>
      <w:lvlText w:val="•"/>
      <w:lvlJc w:val="left"/>
      <w:pPr>
        <w:tabs>
          <w:tab w:val="num" w:pos="4320"/>
        </w:tabs>
        <w:ind w:left="4320" w:hanging="360"/>
      </w:pPr>
      <w:rPr>
        <w:rFonts w:ascii="Arial" w:hAnsi="Arial" w:hint="default"/>
      </w:rPr>
    </w:lvl>
    <w:lvl w:ilvl="6" w:tplc="147C2416" w:tentative="1">
      <w:start w:val="1"/>
      <w:numFmt w:val="bullet"/>
      <w:lvlText w:val="•"/>
      <w:lvlJc w:val="left"/>
      <w:pPr>
        <w:tabs>
          <w:tab w:val="num" w:pos="5040"/>
        </w:tabs>
        <w:ind w:left="5040" w:hanging="360"/>
      </w:pPr>
      <w:rPr>
        <w:rFonts w:ascii="Arial" w:hAnsi="Arial" w:hint="default"/>
      </w:rPr>
    </w:lvl>
    <w:lvl w:ilvl="7" w:tplc="B10206AC" w:tentative="1">
      <w:start w:val="1"/>
      <w:numFmt w:val="bullet"/>
      <w:lvlText w:val="•"/>
      <w:lvlJc w:val="left"/>
      <w:pPr>
        <w:tabs>
          <w:tab w:val="num" w:pos="5760"/>
        </w:tabs>
        <w:ind w:left="5760" w:hanging="360"/>
      </w:pPr>
      <w:rPr>
        <w:rFonts w:ascii="Arial" w:hAnsi="Arial" w:hint="default"/>
      </w:rPr>
    </w:lvl>
    <w:lvl w:ilvl="8" w:tplc="69E4C55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12D80D81"/>
    <w:multiLevelType w:val="hybridMultilevel"/>
    <w:tmpl w:val="9E1648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3AA2425"/>
    <w:multiLevelType w:val="hybridMultilevel"/>
    <w:tmpl w:val="AFA4D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3B00ABF"/>
    <w:multiLevelType w:val="hybridMultilevel"/>
    <w:tmpl w:val="D910B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4717522"/>
    <w:multiLevelType w:val="hybridMultilevel"/>
    <w:tmpl w:val="B51A4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4B46298"/>
    <w:multiLevelType w:val="multilevel"/>
    <w:tmpl w:val="6A48E7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51E5D54"/>
    <w:multiLevelType w:val="hybridMultilevel"/>
    <w:tmpl w:val="55282FF2"/>
    <w:lvl w:ilvl="0" w:tplc="A4FCDDEA">
      <w:start w:val="1"/>
      <w:numFmt w:val="bullet"/>
      <w:lvlText w:val="•"/>
      <w:lvlJc w:val="left"/>
      <w:pPr>
        <w:tabs>
          <w:tab w:val="num" w:pos="720"/>
        </w:tabs>
        <w:ind w:left="720" w:hanging="360"/>
      </w:pPr>
      <w:rPr>
        <w:rFonts w:ascii="Arial" w:hAnsi="Arial" w:hint="default"/>
      </w:rPr>
    </w:lvl>
    <w:lvl w:ilvl="1" w:tplc="12CC85C4" w:tentative="1">
      <w:start w:val="1"/>
      <w:numFmt w:val="bullet"/>
      <w:lvlText w:val="•"/>
      <w:lvlJc w:val="left"/>
      <w:pPr>
        <w:tabs>
          <w:tab w:val="num" w:pos="1440"/>
        </w:tabs>
        <w:ind w:left="1440" w:hanging="360"/>
      </w:pPr>
      <w:rPr>
        <w:rFonts w:ascii="Arial" w:hAnsi="Arial" w:hint="default"/>
      </w:rPr>
    </w:lvl>
    <w:lvl w:ilvl="2" w:tplc="334E96AC" w:tentative="1">
      <w:start w:val="1"/>
      <w:numFmt w:val="bullet"/>
      <w:lvlText w:val="•"/>
      <w:lvlJc w:val="left"/>
      <w:pPr>
        <w:tabs>
          <w:tab w:val="num" w:pos="2160"/>
        </w:tabs>
        <w:ind w:left="2160" w:hanging="360"/>
      </w:pPr>
      <w:rPr>
        <w:rFonts w:ascii="Arial" w:hAnsi="Arial" w:hint="default"/>
      </w:rPr>
    </w:lvl>
    <w:lvl w:ilvl="3" w:tplc="E6028EDE" w:tentative="1">
      <w:start w:val="1"/>
      <w:numFmt w:val="bullet"/>
      <w:lvlText w:val="•"/>
      <w:lvlJc w:val="left"/>
      <w:pPr>
        <w:tabs>
          <w:tab w:val="num" w:pos="2880"/>
        </w:tabs>
        <w:ind w:left="2880" w:hanging="360"/>
      </w:pPr>
      <w:rPr>
        <w:rFonts w:ascii="Arial" w:hAnsi="Arial" w:hint="default"/>
      </w:rPr>
    </w:lvl>
    <w:lvl w:ilvl="4" w:tplc="6E1A609E" w:tentative="1">
      <w:start w:val="1"/>
      <w:numFmt w:val="bullet"/>
      <w:lvlText w:val="•"/>
      <w:lvlJc w:val="left"/>
      <w:pPr>
        <w:tabs>
          <w:tab w:val="num" w:pos="3600"/>
        </w:tabs>
        <w:ind w:left="3600" w:hanging="360"/>
      </w:pPr>
      <w:rPr>
        <w:rFonts w:ascii="Arial" w:hAnsi="Arial" w:hint="default"/>
      </w:rPr>
    </w:lvl>
    <w:lvl w:ilvl="5" w:tplc="E36AED4C" w:tentative="1">
      <w:start w:val="1"/>
      <w:numFmt w:val="bullet"/>
      <w:lvlText w:val="•"/>
      <w:lvlJc w:val="left"/>
      <w:pPr>
        <w:tabs>
          <w:tab w:val="num" w:pos="4320"/>
        </w:tabs>
        <w:ind w:left="4320" w:hanging="360"/>
      </w:pPr>
      <w:rPr>
        <w:rFonts w:ascii="Arial" w:hAnsi="Arial" w:hint="default"/>
      </w:rPr>
    </w:lvl>
    <w:lvl w:ilvl="6" w:tplc="045EE7C2" w:tentative="1">
      <w:start w:val="1"/>
      <w:numFmt w:val="bullet"/>
      <w:lvlText w:val="•"/>
      <w:lvlJc w:val="left"/>
      <w:pPr>
        <w:tabs>
          <w:tab w:val="num" w:pos="5040"/>
        </w:tabs>
        <w:ind w:left="5040" w:hanging="360"/>
      </w:pPr>
      <w:rPr>
        <w:rFonts w:ascii="Arial" w:hAnsi="Arial" w:hint="default"/>
      </w:rPr>
    </w:lvl>
    <w:lvl w:ilvl="7" w:tplc="AFF4A320" w:tentative="1">
      <w:start w:val="1"/>
      <w:numFmt w:val="bullet"/>
      <w:lvlText w:val="•"/>
      <w:lvlJc w:val="left"/>
      <w:pPr>
        <w:tabs>
          <w:tab w:val="num" w:pos="5760"/>
        </w:tabs>
        <w:ind w:left="5760" w:hanging="360"/>
      </w:pPr>
      <w:rPr>
        <w:rFonts w:ascii="Arial" w:hAnsi="Arial" w:hint="default"/>
      </w:rPr>
    </w:lvl>
    <w:lvl w:ilvl="8" w:tplc="9EE4039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153A1629"/>
    <w:multiLevelType w:val="hybridMultilevel"/>
    <w:tmpl w:val="CC08DE74"/>
    <w:lvl w:ilvl="0" w:tplc="BD089528">
      <w:start w:val="1"/>
      <w:numFmt w:val="decimal"/>
      <w:lvlText w:val="%1."/>
      <w:lvlJc w:val="left"/>
      <w:pPr>
        <w:ind w:left="506" w:hanging="360"/>
      </w:pPr>
      <w:rPr>
        <w:rFonts w:hint="default"/>
      </w:rPr>
    </w:lvl>
    <w:lvl w:ilvl="1" w:tplc="08090019" w:tentative="1">
      <w:start w:val="1"/>
      <w:numFmt w:val="lowerLetter"/>
      <w:lvlText w:val="%2."/>
      <w:lvlJc w:val="left"/>
      <w:pPr>
        <w:ind w:left="1226" w:hanging="360"/>
      </w:pPr>
    </w:lvl>
    <w:lvl w:ilvl="2" w:tplc="0809001B" w:tentative="1">
      <w:start w:val="1"/>
      <w:numFmt w:val="lowerRoman"/>
      <w:lvlText w:val="%3."/>
      <w:lvlJc w:val="right"/>
      <w:pPr>
        <w:ind w:left="1946" w:hanging="180"/>
      </w:pPr>
    </w:lvl>
    <w:lvl w:ilvl="3" w:tplc="0809000F" w:tentative="1">
      <w:start w:val="1"/>
      <w:numFmt w:val="decimal"/>
      <w:lvlText w:val="%4."/>
      <w:lvlJc w:val="left"/>
      <w:pPr>
        <w:ind w:left="2666" w:hanging="360"/>
      </w:pPr>
    </w:lvl>
    <w:lvl w:ilvl="4" w:tplc="08090019" w:tentative="1">
      <w:start w:val="1"/>
      <w:numFmt w:val="lowerLetter"/>
      <w:lvlText w:val="%5."/>
      <w:lvlJc w:val="left"/>
      <w:pPr>
        <w:ind w:left="3386" w:hanging="360"/>
      </w:pPr>
    </w:lvl>
    <w:lvl w:ilvl="5" w:tplc="0809001B" w:tentative="1">
      <w:start w:val="1"/>
      <w:numFmt w:val="lowerRoman"/>
      <w:lvlText w:val="%6."/>
      <w:lvlJc w:val="right"/>
      <w:pPr>
        <w:ind w:left="4106" w:hanging="180"/>
      </w:pPr>
    </w:lvl>
    <w:lvl w:ilvl="6" w:tplc="0809000F" w:tentative="1">
      <w:start w:val="1"/>
      <w:numFmt w:val="decimal"/>
      <w:lvlText w:val="%7."/>
      <w:lvlJc w:val="left"/>
      <w:pPr>
        <w:ind w:left="4826" w:hanging="360"/>
      </w:pPr>
    </w:lvl>
    <w:lvl w:ilvl="7" w:tplc="08090019" w:tentative="1">
      <w:start w:val="1"/>
      <w:numFmt w:val="lowerLetter"/>
      <w:lvlText w:val="%8."/>
      <w:lvlJc w:val="left"/>
      <w:pPr>
        <w:ind w:left="5546" w:hanging="360"/>
      </w:pPr>
    </w:lvl>
    <w:lvl w:ilvl="8" w:tplc="0809001B" w:tentative="1">
      <w:start w:val="1"/>
      <w:numFmt w:val="lowerRoman"/>
      <w:lvlText w:val="%9."/>
      <w:lvlJc w:val="right"/>
      <w:pPr>
        <w:ind w:left="6266" w:hanging="180"/>
      </w:pPr>
    </w:lvl>
  </w:abstractNum>
  <w:abstractNum w:abstractNumId="31" w15:restartNumberingAfterBreak="0">
    <w:nsid w:val="164B0147"/>
    <w:multiLevelType w:val="hybridMultilevel"/>
    <w:tmpl w:val="510A4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6F13EA9"/>
    <w:multiLevelType w:val="hybridMultilevel"/>
    <w:tmpl w:val="47FE5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7141679"/>
    <w:multiLevelType w:val="hybridMultilevel"/>
    <w:tmpl w:val="E1843C2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17AC4BC5"/>
    <w:multiLevelType w:val="hybridMultilevel"/>
    <w:tmpl w:val="FE8A7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18D43EA9"/>
    <w:multiLevelType w:val="hybridMultilevel"/>
    <w:tmpl w:val="38A8FD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19017550"/>
    <w:multiLevelType w:val="hybridMultilevel"/>
    <w:tmpl w:val="BADE5C9E"/>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7" w15:restartNumberingAfterBreak="0">
    <w:nsid w:val="19730FD0"/>
    <w:multiLevelType w:val="hybridMultilevel"/>
    <w:tmpl w:val="BFDE4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B194A7D"/>
    <w:multiLevelType w:val="multilevel"/>
    <w:tmpl w:val="24D20DE8"/>
    <w:lvl w:ilvl="0">
      <w:start w:val="1"/>
      <w:numFmt w:val="decimal"/>
      <w:lvlText w:val="%1."/>
      <w:lvlJc w:val="left"/>
      <w:pPr>
        <w:ind w:left="360" w:hanging="360"/>
      </w:pPr>
    </w:lvl>
    <w:lvl w:ilvl="1">
      <w:start w:val="1"/>
      <w:numFmt w:val="decimal"/>
      <w:lvlText w:val="%1.%2."/>
      <w:lvlJc w:val="left"/>
      <w:pPr>
        <w:ind w:left="792" w:hanging="432"/>
      </w:pPr>
    </w:lvl>
    <w:lvl w:ilvl="2">
      <w:numFmt w:val="bullet"/>
      <w:lvlText w:val=""/>
      <w:lvlJc w:val="left"/>
      <w:pPr>
        <w:ind w:left="1224" w:hanging="504"/>
      </w:pPr>
      <w:rPr>
        <w:rFonts w:ascii="Symbol" w:eastAsiaTheme="minorHAnsi" w:hAnsi="Symbol" w:cstheme="minorBidi" w:hint="default"/>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1B4970F8"/>
    <w:multiLevelType w:val="hybridMultilevel"/>
    <w:tmpl w:val="2F983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BE12AC3"/>
    <w:multiLevelType w:val="multilevel"/>
    <w:tmpl w:val="55BEB15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1" w15:restartNumberingAfterBreak="0">
    <w:nsid w:val="1C621277"/>
    <w:multiLevelType w:val="hybridMultilevel"/>
    <w:tmpl w:val="43B29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D4A4D9C"/>
    <w:multiLevelType w:val="hybridMultilevel"/>
    <w:tmpl w:val="1F928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D9C229A"/>
    <w:multiLevelType w:val="hybridMultilevel"/>
    <w:tmpl w:val="6734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D9C2982"/>
    <w:multiLevelType w:val="hybridMultilevel"/>
    <w:tmpl w:val="4C7A3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E45028C"/>
    <w:multiLevelType w:val="multilevel"/>
    <w:tmpl w:val="497A351E"/>
    <w:name w:val="paBulletsReport23"/>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Arial" w:hAnsi="Arial" w:hint="default"/>
        <w:color w:val="EEECE1" w:themeColor="background2"/>
      </w:rPr>
    </w:lvl>
    <w:lvl w:ilvl="2">
      <w:start w:val="1"/>
      <w:numFmt w:val="bullet"/>
      <w:lvlText w:val=""/>
      <w:lvlJc w:val="left"/>
      <w:pPr>
        <w:ind w:left="284" w:firstLine="283"/>
      </w:pPr>
      <w:rPr>
        <w:rFonts w:ascii="Wingdings" w:hAnsi="Wingdings" w:hint="default"/>
        <w:color w:val="EEECE1" w:themeColor="background2"/>
      </w:rPr>
    </w:lvl>
    <w:lvl w:ilvl="3">
      <w:start w:val="1"/>
      <w:numFmt w:val="none"/>
      <w:lvlRestart w:val="0"/>
      <w:lvlText w:val=""/>
      <w:lvlJc w:val="left"/>
      <w:pPr>
        <w:tabs>
          <w:tab w:val="num" w:pos="567"/>
        </w:tabs>
        <w:ind w:left="284" w:firstLine="283"/>
      </w:pPr>
      <w:rPr>
        <w:rFonts w:hint="default"/>
      </w:rPr>
    </w:lvl>
    <w:lvl w:ilvl="4">
      <w:start w:val="1"/>
      <w:numFmt w:val="none"/>
      <w:lvlRestart w:val="0"/>
      <w:lvlText w:val=""/>
      <w:lvlJc w:val="left"/>
      <w:pPr>
        <w:tabs>
          <w:tab w:val="num" w:pos="567"/>
        </w:tabs>
        <w:ind w:left="284" w:firstLine="283"/>
      </w:pPr>
      <w:rPr>
        <w:rFonts w:hint="default"/>
      </w:rPr>
    </w:lvl>
    <w:lvl w:ilvl="5">
      <w:start w:val="1"/>
      <w:numFmt w:val="none"/>
      <w:lvlRestart w:val="0"/>
      <w:lvlText w:val=""/>
      <w:lvlJc w:val="left"/>
      <w:pPr>
        <w:tabs>
          <w:tab w:val="num" w:pos="567"/>
        </w:tabs>
        <w:ind w:left="284" w:firstLine="283"/>
      </w:pPr>
      <w:rPr>
        <w:rFonts w:hint="default"/>
      </w:rPr>
    </w:lvl>
    <w:lvl w:ilvl="6">
      <w:start w:val="1"/>
      <w:numFmt w:val="none"/>
      <w:lvlRestart w:val="0"/>
      <w:lvlText w:val=""/>
      <w:lvlJc w:val="left"/>
      <w:pPr>
        <w:tabs>
          <w:tab w:val="num" w:pos="567"/>
        </w:tabs>
        <w:ind w:left="284" w:firstLine="283"/>
      </w:pPr>
      <w:rPr>
        <w:rFonts w:hint="default"/>
      </w:rPr>
    </w:lvl>
    <w:lvl w:ilvl="7">
      <w:start w:val="1"/>
      <w:numFmt w:val="none"/>
      <w:lvlRestart w:val="0"/>
      <w:lvlText w:val=""/>
      <w:lvlJc w:val="left"/>
      <w:pPr>
        <w:tabs>
          <w:tab w:val="num" w:pos="567"/>
        </w:tabs>
        <w:ind w:left="284" w:firstLine="283"/>
      </w:pPr>
      <w:rPr>
        <w:rFonts w:hint="default"/>
      </w:rPr>
    </w:lvl>
    <w:lvl w:ilvl="8">
      <w:start w:val="1"/>
      <w:numFmt w:val="none"/>
      <w:lvlRestart w:val="0"/>
      <w:lvlText w:val=""/>
      <w:lvlJc w:val="left"/>
      <w:pPr>
        <w:tabs>
          <w:tab w:val="num" w:pos="567"/>
        </w:tabs>
        <w:ind w:left="284" w:firstLine="283"/>
      </w:pPr>
      <w:rPr>
        <w:rFonts w:hint="default"/>
      </w:rPr>
    </w:lvl>
  </w:abstractNum>
  <w:abstractNum w:abstractNumId="46" w15:restartNumberingAfterBreak="0">
    <w:nsid w:val="1E5B4C77"/>
    <w:multiLevelType w:val="hybridMultilevel"/>
    <w:tmpl w:val="CC08DE74"/>
    <w:lvl w:ilvl="0" w:tplc="BD089528">
      <w:start w:val="1"/>
      <w:numFmt w:val="decimal"/>
      <w:lvlText w:val="%1."/>
      <w:lvlJc w:val="left"/>
      <w:pPr>
        <w:ind w:left="506" w:hanging="360"/>
      </w:pPr>
      <w:rPr>
        <w:rFonts w:hint="default"/>
      </w:rPr>
    </w:lvl>
    <w:lvl w:ilvl="1" w:tplc="08090019" w:tentative="1">
      <w:start w:val="1"/>
      <w:numFmt w:val="lowerLetter"/>
      <w:lvlText w:val="%2."/>
      <w:lvlJc w:val="left"/>
      <w:pPr>
        <w:ind w:left="1226" w:hanging="360"/>
      </w:pPr>
    </w:lvl>
    <w:lvl w:ilvl="2" w:tplc="0809001B" w:tentative="1">
      <w:start w:val="1"/>
      <w:numFmt w:val="lowerRoman"/>
      <w:lvlText w:val="%3."/>
      <w:lvlJc w:val="right"/>
      <w:pPr>
        <w:ind w:left="1946" w:hanging="180"/>
      </w:pPr>
    </w:lvl>
    <w:lvl w:ilvl="3" w:tplc="0809000F" w:tentative="1">
      <w:start w:val="1"/>
      <w:numFmt w:val="decimal"/>
      <w:lvlText w:val="%4."/>
      <w:lvlJc w:val="left"/>
      <w:pPr>
        <w:ind w:left="2666" w:hanging="360"/>
      </w:pPr>
    </w:lvl>
    <w:lvl w:ilvl="4" w:tplc="08090019" w:tentative="1">
      <w:start w:val="1"/>
      <w:numFmt w:val="lowerLetter"/>
      <w:lvlText w:val="%5."/>
      <w:lvlJc w:val="left"/>
      <w:pPr>
        <w:ind w:left="3386" w:hanging="360"/>
      </w:pPr>
    </w:lvl>
    <w:lvl w:ilvl="5" w:tplc="0809001B" w:tentative="1">
      <w:start w:val="1"/>
      <w:numFmt w:val="lowerRoman"/>
      <w:lvlText w:val="%6."/>
      <w:lvlJc w:val="right"/>
      <w:pPr>
        <w:ind w:left="4106" w:hanging="180"/>
      </w:pPr>
    </w:lvl>
    <w:lvl w:ilvl="6" w:tplc="0809000F" w:tentative="1">
      <w:start w:val="1"/>
      <w:numFmt w:val="decimal"/>
      <w:lvlText w:val="%7."/>
      <w:lvlJc w:val="left"/>
      <w:pPr>
        <w:ind w:left="4826" w:hanging="360"/>
      </w:pPr>
    </w:lvl>
    <w:lvl w:ilvl="7" w:tplc="08090019" w:tentative="1">
      <w:start w:val="1"/>
      <w:numFmt w:val="lowerLetter"/>
      <w:lvlText w:val="%8."/>
      <w:lvlJc w:val="left"/>
      <w:pPr>
        <w:ind w:left="5546" w:hanging="360"/>
      </w:pPr>
    </w:lvl>
    <w:lvl w:ilvl="8" w:tplc="0809001B" w:tentative="1">
      <w:start w:val="1"/>
      <w:numFmt w:val="lowerRoman"/>
      <w:lvlText w:val="%9."/>
      <w:lvlJc w:val="right"/>
      <w:pPr>
        <w:ind w:left="6266" w:hanging="180"/>
      </w:pPr>
    </w:lvl>
  </w:abstractNum>
  <w:abstractNum w:abstractNumId="47" w15:restartNumberingAfterBreak="0">
    <w:nsid w:val="1ED7522B"/>
    <w:multiLevelType w:val="hybridMultilevel"/>
    <w:tmpl w:val="F1D40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0B27BFD"/>
    <w:multiLevelType w:val="multilevel"/>
    <w:tmpl w:val="A7F012C0"/>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49" w15:restartNumberingAfterBreak="0">
    <w:nsid w:val="226665CA"/>
    <w:multiLevelType w:val="hybridMultilevel"/>
    <w:tmpl w:val="7B06F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28871FF"/>
    <w:multiLevelType w:val="hybridMultilevel"/>
    <w:tmpl w:val="22A8E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30A717E"/>
    <w:multiLevelType w:val="hybridMultilevel"/>
    <w:tmpl w:val="771AB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4C30298"/>
    <w:multiLevelType w:val="hybridMultilevel"/>
    <w:tmpl w:val="82964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62B01C2"/>
    <w:multiLevelType w:val="multilevel"/>
    <w:tmpl w:val="6A48E7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267E6209"/>
    <w:multiLevelType w:val="hybridMultilevel"/>
    <w:tmpl w:val="8EACD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7662D98"/>
    <w:multiLevelType w:val="hybridMultilevel"/>
    <w:tmpl w:val="B1A81A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8CA7CA9"/>
    <w:multiLevelType w:val="hybridMultilevel"/>
    <w:tmpl w:val="D0C81744"/>
    <w:lvl w:ilvl="0" w:tplc="CEBCB6AA">
      <w:start w:val="1"/>
      <w:numFmt w:val="bullet"/>
      <w:lvlText w:val="-"/>
      <w:lvlJc w:val="left"/>
      <w:pPr>
        <w:ind w:left="1080" w:hanging="360"/>
      </w:pPr>
      <w:rPr>
        <w:rFonts w:ascii="Arial" w:eastAsiaTheme="minorHAnsi" w:hAnsi="Arial" w:cs="Arial" w:hint="default"/>
        <w:b w:val="0"/>
        <w:bCs/>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28D956CC"/>
    <w:multiLevelType w:val="hybridMultilevel"/>
    <w:tmpl w:val="DC18322E"/>
    <w:lvl w:ilvl="0" w:tplc="21528766">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8" w15:restartNumberingAfterBreak="0">
    <w:nsid w:val="28EA5EA3"/>
    <w:multiLevelType w:val="hybridMultilevel"/>
    <w:tmpl w:val="CC08DE74"/>
    <w:lvl w:ilvl="0" w:tplc="BD089528">
      <w:start w:val="1"/>
      <w:numFmt w:val="decimal"/>
      <w:lvlText w:val="%1."/>
      <w:lvlJc w:val="left"/>
      <w:pPr>
        <w:ind w:left="506" w:hanging="360"/>
      </w:pPr>
      <w:rPr>
        <w:rFonts w:hint="default"/>
      </w:rPr>
    </w:lvl>
    <w:lvl w:ilvl="1" w:tplc="08090019" w:tentative="1">
      <w:start w:val="1"/>
      <w:numFmt w:val="lowerLetter"/>
      <w:lvlText w:val="%2."/>
      <w:lvlJc w:val="left"/>
      <w:pPr>
        <w:ind w:left="1226" w:hanging="360"/>
      </w:pPr>
    </w:lvl>
    <w:lvl w:ilvl="2" w:tplc="0809001B" w:tentative="1">
      <w:start w:val="1"/>
      <w:numFmt w:val="lowerRoman"/>
      <w:lvlText w:val="%3."/>
      <w:lvlJc w:val="right"/>
      <w:pPr>
        <w:ind w:left="1946" w:hanging="180"/>
      </w:pPr>
    </w:lvl>
    <w:lvl w:ilvl="3" w:tplc="0809000F" w:tentative="1">
      <w:start w:val="1"/>
      <w:numFmt w:val="decimal"/>
      <w:lvlText w:val="%4."/>
      <w:lvlJc w:val="left"/>
      <w:pPr>
        <w:ind w:left="2666" w:hanging="360"/>
      </w:pPr>
    </w:lvl>
    <w:lvl w:ilvl="4" w:tplc="08090019" w:tentative="1">
      <w:start w:val="1"/>
      <w:numFmt w:val="lowerLetter"/>
      <w:lvlText w:val="%5."/>
      <w:lvlJc w:val="left"/>
      <w:pPr>
        <w:ind w:left="3386" w:hanging="360"/>
      </w:pPr>
    </w:lvl>
    <w:lvl w:ilvl="5" w:tplc="0809001B" w:tentative="1">
      <w:start w:val="1"/>
      <w:numFmt w:val="lowerRoman"/>
      <w:lvlText w:val="%6."/>
      <w:lvlJc w:val="right"/>
      <w:pPr>
        <w:ind w:left="4106" w:hanging="180"/>
      </w:pPr>
    </w:lvl>
    <w:lvl w:ilvl="6" w:tplc="0809000F" w:tentative="1">
      <w:start w:val="1"/>
      <w:numFmt w:val="decimal"/>
      <w:lvlText w:val="%7."/>
      <w:lvlJc w:val="left"/>
      <w:pPr>
        <w:ind w:left="4826" w:hanging="360"/>
      </w:pPr>
    </w:lvl>
    <w:lvl w:ilvl="7" w:tplc="08090019" w:tentative="1">
      <w:start w:val="1"/>
      <w:numFmt w:val="lowerLetter"/>
      <w:lvlText w:val="%8."/>
      <w:lvlJc w:val="left"/>
      <w:pPr>
        <w:ind w:left="5546" w:hanging="360"/>
      </w:pPr>
    </w:lvl>
    <w:lvl w:ilvl="8" w:tplc="0809001B" w:tentative="1">
      <w:start w:val="1"/>
      <w:numFmt w:val="lowerRoman"/>
      <w:lvlText w:val="%9."/>
      <w:lvlJc w:val="right"/>
      <w:pPr>
        <w:ind w:left="6266" w:hanging="180"/>
      </w:pPr>
    </w:lvl>
  </w:abstractNum>
  <w:abstractNum w:abstractNumId="59" w15:restartNumberingAfterBreak="0">
    <w:nsid w:val="29780F49"/>
    <w:multiLevelType w:val="hybridMultilevel"/>
    <w:tmpl w:val="3DF8D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9A72D56"/>
    <w:multiLevelType w:val="hybridMultilevel"/>
    <w:tmpl w:val="CB4A7792"/>
    <w:lvl w:ilvl="0" w:tplc="82EADDDC">
      <w:start w:val="1"/>
      <w:numFmt w:val="bullet"/>
      <w:lvlText w:val=""/>
      <w:lvlJc w:val="left"/>
      <w:pPr>
        <w:tabs>
          <w:tab w:val="num" w:pos="720"/>
        </w:tabs>
        <w:ind w:left="720" w:hanging="360"/>
      </w:pPr>
      <w:rPr>
        <w:rFonts w:ascii="Symbol" w:hAnsi="Symbol" w:hint="default"/>
      </w:rPr>
    </w:lvl>
    <w:lvl w:ilvl="1" w:tplc="F4A4FF18">
      <w:start w:val="1"/>
      <w:numFmt w:val="bullet"/>
      <w:lvlText w:val=""/>
      <w:lvlJc w:val="left"/>
      <w:pPr>
        <w:tabs>
          <w:tab w:val="num" w:pos="1440"/>
        </w:tabs>
        <w:ind w:left="1440" w:hanging="360"/>
      </w:pPr>
      <w:rPr>
        <w:rFonts w:ascii="Symbol" w:hAnsi="Symbol" w:hint="default"/>
      </w:rPr>
    </w:lvl>
    <w:lvl w:ilvl="2" w:tplc="D690E054" w:tentative="1">
      <w:start w:val="1"/>
      <w:numFmt w:val="bullet"/>
      <w:lvlText w:val=""/>
      <w:lvlJc w:val="left"/>
      <w:pPr>
        <w:tabs>
          <w:tab w:val="num" w:pos="2160"/>
        </w:tabs>
        <w:ind w:left="2160" w:hanging="360"/>
      </w:pPr>
      <w:rPr>
        <w:rFonts w:ascii="Symbol" w:hAnsi="Symbol" w:hint="default"/>
      </w:rPr>
    </w:lvl>
    <w:lvl w:ilvl="3" w:tplc="86D292C0" w:tentative="1">
      <w:start w:val="1"/>
      <w:numFmt w:val="bullet"/>
      <w:lvlText w:val=""/>
      <w:lvlJc w:val="left"/>
      <w:pPr>
        <w:tabs>
          <w:tab w:val="num" w:pos="2880"/>
        </w:tabs>
        <w:ind w:left="2880" w:hanging="360"/>
      </w:pPr>
      <w:rPr>
        <w:rFonts w:ascii="Symbol" w:hAnsi="Symbol" w:hint="default"/>
      </w:rPr>
    </w:lvl>
    <w:lvl w:ilvl="4" w:tplc="6974EEDC" w:tentative="1">
      <w:start w:val="1"/>
      <w:numFmt w:val="bullet"/>
      <w:lvlText w:val=""/>
      <w:lvlJc w:val="left"/>
      <w:pPr>
        <w:tabs>
          <w:tab w:val="num" w:pos="3600"/>
        </w:tabs>
        <w:ind w:left="3600" w:hanging="360"/>
      </w:pPr>
      <w:rPr>
        <w:rFonts w:ascii="Symbol" w:hAnsi="Symbol" w:hint="default"/>
      </w:rPr>
    </w:lvl>
    <w:lvl w:ilvl="5" w:tplc="FCCE0628" w:tentative="1">
      <w:start w:val="1"/>
      <w:numFmt w:val="bullet"/>
      <w:lvlText w:val=""/>
      <w:lvlJc w:val="left"/>
      <w:pPr>
        <w:tabs>
          <w:tab w:val="num" w:pos="4320"/>
        </w:tabs>
        <w:ind w:left="4320" w:hanging="360"/>
      </w:pPr>
      <w:rPr>
        <w:rFonts w:ascii="Symbol" w:hAnsi="Symbol" w:hint="default"/>
      </w:rPr>
    </w:lvl>
    <w:lvl w:ilvl="6" w:tplc="75DC09F4" w:tentative="1">
      <w:start w:val="1"/>
      <w:numFmt w:val="bullet"/>
      <w:lvlText w:val=""/>
      <w:lvlJc w:val="left"/>
      <w:pPr>
        <w:tabs>
          <w:tab w:val="num" w:pos="5040"/>
        </w:tabs>
        <w:ind w:left="5040" w:hanging="360"/>
      </w:pPr>
      <w:rPr>
        <w:rFonts w:ascii="Symbol" w:hAnsi="Symbol" w:hint="default"/>
      </w:rPr>
    </w:lvl>
    <w:lvl w:ilvl="7" w:tplc="29E20F78" w:tentative="1">
      <w:start w:val="1"/>
      <w:numFmt w:val="bullet"/>
      <w:lvlText w:val=""/>
      <w:lvlJc w:val="left"/>
      <w:pPr>
        <w:tabs>
          <w:tab w:val="num" w:pos="5760"/>
        </w:tabs>
        <w:ind w:left="5760" w:hanging="360"/>
      </w:pPr>
      <w:rPr>
        <w:rFonts w:ascii="Symbol" w:hAnsi="Symbol" w:hint="default"/>
      </w:rPr>
    </w:lvl>
    <w:lvl w:ilvl="8" w:tplc="AC2232B2" w:tentative="1">
      <w:start w:val="1"/>
      <w:numFmt w:val="bullet"/>
      <w:lvlText w:val=""/>
      <w:lvlJc w:val="left"/>
      <w:pPr>
        <w:tabs>
          <w:tab w:val="num" w:pos="6480"/>
        </w:tabs>
        <w:ind w:left="6480" w:hanging="360"/>
      </w:pPr>
      <w:rPr>
        <w:rFonts w:ascii="Symbol" w:hAnsi="Symbol" w:hint="default"/>
      </w:rPr>
    </w:lvl>
  </w:abstractNum>
  <w:abstractNum w:abstractNumId="61" w15:restartNumberingAfterBreak="0">
    <w:nsid w:val="2AB820AE"/>
    <w:multiLevelType w:val="hybridMultilevel"/>
    <w:tmpl w:val="D67E5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B175BA5"/>
    <w:multiLevelType w:val="hybridMultilevel"/>
    <w:tmpl w:val="21D2E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B3266E8"/>
    <w:multiLevelType w:val="hybridMultilevel"/>
    <w:tmpl w:val="CC08DE74"/>
    <w:lvl w:ilvl="0" w:tplc="BD089528">
      <w:start w:val="1"/>
      <w:numFmt w:val="decimal"/>
      <w:lvlText w:val="%1."/>
      <w:lvlJc w:val="left"/>
      <w:pPr>
        <w:ind w:left="506" w:hanging="360"/>
      </w:pPr>
      <w:rPr>
        <w:rFonts w:hint="default"/>
      </w:rPr>
    </w:lvl>
    <w:lvl w:ilvl="1" w:tplc="08090019" w:tentative="1">
      <w:start w:val="1"/>
      <w:numFmt w:val="lowerLetter"/>
      <w:lvlText w:val="%2."/>
      <w:lvlJc w:val="left"/>
      <w:pPr>
        <w:ind w:left="1226" w:hanging="360"/>
      </w:pPr>
    </w:lvl>
    <w:lvl w:ilvl="2" w:tplc="0809001B" w:tentative="1">
      <w:start w:val="1"/>
      <w:numFmt w:val="lowerRoman"/>
      <w:lvlText w:val="%3."/>
      <w:lvlJc w:val="right"/>
      <w:pPr>
        <w:ind w:left="1946" w:hanging="180"/>
      </w:pPr>
    </w:lvl>
    <w:lvl w:ilvl="3" w:tplc="0809000F" w:tentative="1">
      <w:start w:val="1"/>
      <w:numFmt w:val="decimal"/>
      <w:lvlText w:val="%4."/>
      <w:lvlJc w:val="left"/>
      <w:pPr>
        <w:ind w:left="2666" w:hanging="360"/>
      </w:pPr>
    </w:lvl>
    <w:lvl w:ilvl="4" w:tplc="08090019" w:tentative="1">
      <w:start w:val="1"/>
      <w:numFmt w:val="lowerLetter"/>
      <w:lvlText w:val="%5."/>
      <w:lvlJc w:val="left"/>
      <w:pPr>
        <w:ind w:left="3386" w:hanging="360"/>
      </w:pPr>
    </w:lvl>
    <w:lvl w:ilvl="5" w:tplc="0809001B" w:tentative="1">
      <w:start w:val="1"/>
      <w:numFmt w:val="lowerRoman"/>
      <w:lvlText w:val="%6."/>
      <w:lvlJc w:val="right"/>
      <w:pPr>
        <w:ind w:left="4106" w:hanging="180"/>
      </w:pPr>
    </w:lvl>
    <w:lvl w:ilvl="6" w:tplc="0809000F" w:tentative="1">
      <w:start w:val="1"/>
      <w:numFmt w:val="decimal"/>
      <w:lvlText w:val="%7."/>
      <w:lvlJc w:val="left"/>
      <w:pPr>
        <w:ind w:left="4826" w:hanging="360"/>
      </w:pPr>
    </w:lvl>
    <w:lvl w:ilvl="7" w:tplc="08090019" w:tentative="1">
      <w:start w:val="1"/>
      <w:numFmt w:val="lowerLetter"/>
      <w:lvlText w:val="%8."/>
      <w:lvlJc w:val="left"/>
      <w:pPr>
        <w:ind w:left="5546" w:hanging="360"/>
      </w:pPr>
    </w:lvl>
    <w:lvl w:ilvl="8" w:tplc="0809001B" w:tentative="1">
      <w:start w:val="1"/>
      <w:numFmt w:val="lowerRoman"/>
      <w:lvlText w:val="%9."/>
      <w:lvlJc w:val="right"/>
      <w:pPr>
        <w:ind w:left="6266" w:hanging="180"/>
      </w:pPr>
    </w:lvl>
  </w:abstractNum>
  <w:abstractNum w:abstractNumId="64" w15:restartNumberingAfterBreak="0">
    <w:nsid w:val="2D501A7E"/>
    <w:multiLevelType w:val="hybridMultilevel"/>
    <w:tmpl w:val="FBD84726"/>
    <w:name w:val="paBulletsReport2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2F714DB7"/>
    <w:multiLevelType w:val="multilevel"/>
    <w:tmpl w:val="F21CE162"/>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Arial" w:hAnsi="Arial" w:hint="default"/>
        <w:color w:val="EEECE1" w:themeColor="background2"/>
      </w:rPr>
    </w:lvl>
    <w:lvl w:ilvl="2">
      <w:start w:val="1"/>
      <w:numFmt w:val="bullet"/>
      <w:lvlText w:val=""/>
      <w:lvlJc w:val="left"/>
      <w:pPr>
        <w:ind w:left="284" w:firstLine="283"/>
      </w:pPr>
      <w:rPr>
        <w:rFonts w:ascii="Wingdings" w:hAnsi="Wingdings" w:hint="default"/>
        <w:color w:val="EEECE1" w:themeColor="background2"/>
      </w:rPr>
    </w:lvl>
    <w:lvl w:ilvl="3">
      <w:start w:val="1"/>
      <w:numFmt w:val="none"/>
      <w:lvlRestart w:val="0"/>
      <w:lvlText w:val=""/>
      <w:lvlJc w:val="left"/>
      <w:pPr>
        <w:tabs>
          <w:tab w:val="num" w:pos="567"/>
        </w:tabs>
        <w:ind w:left="284" w:firstLine="283"/>
      </w:pPr>
      <w:rPr>
        <w:rFonts w:hint="default"/>
      </w:rPr>
    </w:lvl>
    <w:lvl w:ilvl="4">
      <w:start w:val="1"/>
      <w:numFmt w:val="none"/>
      <w:lvlRestart w:val="0"/>
      <w:lvlText w:val=""/>
      <w:lvlJc w:val="left"/>
      <w:pPr>
        <w:tabs>
          <w:tab w:val="num" w:pos="567"/>
        </w:tabs>
        <w:ind w:left="284" w:firstLine="283"/>
      </w:pPr>
      <w:rPr>
        <w:rFonts w:hint="default"/>
      </w:rPr>
    </w:lvl>
    <w:lvl w:ilvl="5">
      <w:start w:val="1"/>
      <w:numFmt w:val="none"/>
      <w:lvlRestart w:val="0"/>
      <w:lvlText w:val=""/>
      <w:lvlJc w:val="left"/>
      <w:pPr>
        <w:tabs>
          <w:tab w:val="num" w:pos="567"/>
        </w:tabs>
        <w:ind w:left="284" w:firstLine="283"/>
      </w:pPr>
      <w:rPr>
        <w:rFonts w:hint="default"/>
      </w:rPr>
    </w:lvl>
    <w:lvl w:ilvl="6">
      <w:start w:val="1"/>
      <w:numFmt w:val="none"/>
      <w:lvlRestart w:val="0"/>
      <w:lvlText w:val=""/>
      <w:lvlJc w:val="left"/>
      <w:pPr>
        <w:tabs>
          <w:tab w:val="num" w:pos="567"/>
        </w:tabs>
        <w:ind w:left="284" w:firstLine="283"/>
      </w:pPr>
      <w:rPr>
        <w:rFonts w:hint="default"/>
      </w:rPr>
    </w:lvl>
    <w:lvl w:ilvl="7">
      <w:start w:val="1"/>
      <w:numFmt w:val="none"/>
      <w:lvlRestart w:val="0"/>
      <w:lvlText w:val=""/>
      <w:lvlJc w:val="left"/>
      <w:pPr>
        <w:tabs>
          <w:tab w:val="num" w:pos="567"/>
        </w:tabs>
        <w:ind w:left="284" w:firstLine="283"/>
      </w:pPr>
      <w:rPr>
        <w:rFonts w:hint="default"/>
      </w:rPr>
    </w:lvl>
    <w:lvl w:ilvl="8">
      <w:start w:val="1"/>
      <w:numFmt w:val="none"/>
      <w:lvlRestart w:val="0"/>
      <w:lvlText w:val=""/>
      <w:lvlJc w:val="left"/>
      <w:pPr>
        <w:tabs>
          <w:tab w:val="num" w:pos="567"/>
        </w:tabs>
        <w:ind w:left="284" w:firstLine="283"/>
      </w:pPr>
      <w:rPr>
        <w:rFonts w:hint="default"/>
      </w:rPr>
    </w:lvl>
  </w:abstractNum>
  <w:abstractNum w:abstractNumId="66" w15:restartNumberingAfterBreak="0">
    <w:nsid w:val="2F8D7A19"/>
    <w:multiLevelType w:val="hybridMultilevel"/>
    <w:tmpl w:val="A2A8A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13153DE"/>
    <w:multiLevelType w:val="hybridMultilevel"/>
    <w:tmpl w:val="76087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1735252"/>
    <w:multiLevelType w:val="multilevel"/>
    <w:tmpl w:val="B9B87724"/>
    <w:lvl w:ilvl="0">
      <w:start w:val="1"/>
      <w:numFmt w:val="decimal"/>
      <w:lvlText w:val="%1."/>
      <w:lvlJc w:val="left"/>
      <w:pPr>
        <w:ind w:left="720" w:hanging="360"/>
      </w:pPr>
      <w:rPr>
        <w:b/>
      </w:rPr>
    </w:lvl>
    <w:lvl w:ilvl="1">
      <w:start w:val="1"/>
      <w:numFmt w:val="decimal"/>
      <w:lvlText w:val="%1.%2"/>
      <w:lvlJc w:val="left"/>
      <w:pPr>
        <w:ind w:left="570" w:hanging="570"/>
      </w:pPr>
      <w:rPr>
        <w:rFonts w:ascii="Arial" w:eastAsia="Arial" w:hAnsi="Arial" w:cs="Arial"/>
        <w:b/>
      </w:rPr>
    </w:lvl>
    <w:lvl w:ilvl="2">
      <w:start w:val="1"/>
      <w:numFmt w:val="decimal"/>
      <w:lvlText w:val="%1.%2.%3"/>
      <w:lvlJc w:val="left"/>
      <w:pPr>
        <w:ind w:left="720" w:hanging="720"/>
      </w:pPr>
      <w:rPr>
        <w:b/>
        <w:sz w:val="22"/>
        <w:szCs w:val="22"/>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9" w15:restartNumberingAfterBreak="0">
    <w:nsid w:val="31914CF5"/>
    <w:multiLevelType w:val="hybridMultilevel"/>
    <w:tmpl w:val="418E4BB2"/>
    <w:lvl w:ilvl="0" w:tplc="7ED0728A">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32C038EC"/>
    <w:multiLevelType w:val="multilevel"/>
    <w:tmpl w:val="0C384414"/>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Arial" w:hAnsi="Arial" w:hint="default"/>
        <w:color w:val="EEECE1" w:themeColor="background2"/>
      </w:rPr>
    </w:lvl>
    <w:lvl w:ilvl="2">
      <w:start w:val="1"/>
      <w:numFmt w:val="bullet"/>
      <w:lvlText w:val=""/>
      <w:lvlJc w:val="left"/>
      <w:pPr>
        <w:ind w:left="284" w:firstLine="283"/>
      </w:pPr>
      <w:rPr>
        <w:rFonts w:ascii="Wingdings" w:hAnsi="Wingdings" w:hint="default"/>
        <w:color w:val="EEECE1" w:themeColor="background2"/>
      </w:rPr>
    </w:lvl>
    <w:lvl w:ilvl="3">
      <w:start w:val="1"/>
      <w:numFmt w:val="none"/>
      <w:lvlRestart w:val="0"/>
      <w:lvlText w:val=""/>
      <w:lvlJc w:val="left"/>
      <w:pPr>
        <w:tabs>
          <w:tab w:val="num" w:pos="567"/>
        </w:tabs>
        <w:ind w:left="284" w:firstLine="283"/>
      </w:pPr>
      <w:rPr>
        <w:rFonts w:hint="default"/>
      </w:rPr>
    </w:lvl>
    <w:lvl w:ilvl="4">
      <w:start w:val="1"/>
      <w:numFmt w:val="none"/>
      <w:lvlRestart w:val="0"/>
      <w:lvlText w:val=""/>
      <w:lvlJc w:val="left"/>
      <w:pPr>
        <w:tabs>
          <w:tab w:val="num" w:pos="567"/>
        </w:tabs>
        <w:ind w:left="284" w:firstLine="283"/>
      </w:pPr>
      <w:rPr>
        <w:rFonts w:hint="default"/>
      </w:rPr>
    </w:lvl>
    <w:lvl w:ilvl="5">
      <w:start w:val="1"/>
      <w:numFmt w:val="none"/>
      <w:lvlRestart w:val="0"/>
      <w:lvlText w:val=""/>
      <w:lvlJc w:val="left"/>
      <w:pPr>
        <w:tabs>
          <w:tab w:val="num" w:pos="567"/>
        </w:tabs>
        <w:ind w:left="284" w:firstLine="283"/>
      </w:pPr>
      <w:rPr>
        <w:rFonts w:hint="default"/>
      </w:rPr>
    </w:lvl>
    <w:lvl w:ilvl="6">
      <w:start w:val="1"/>
      <w:numFmt w:val="none"/>
      <w:lvlRestart w:val="0"/>
      <w:lvlText w:val=""/>
      <w:lvlJc w:val="left"/>
      <w:pPr>
        <w:tabs>
          <w:tab w:val="num" w:pos="567"/>
        </w:tabs>
        <w:ind w:left="284" w:firstLine="283"/>
      </w:pPr>
      <w:rPr>
        <w:rFonts w:hint="default"/>
      </w:rPr>
    </w:lvl>
    <w:lvl w:ilvl="7">
      <w:start w:val="1"/>
      <w:numFmt w:val="none"/>
      <w:lvlRestart w:val="0"/>
      <w:lvlText w:val=""/>
      <w:lvlJc w:val="left"/>
      <w:pPr>
        <w:tabs>
          <w:tab w:val="num" w:pos="567"/>
        </w:tabs>
        <w:ind w:left="284" w:firstLine="283"/>
      </w:pPr>
      <w:rPr>
        <w:rFonts w:hint="default"/>
      </w:rPr>
    </w:lvl>
    <w:lvl w:ilvl="8">
      <w:start w:val="1"/>
      <w:numFmt w:val="none"/>
      <w:lvlRestart w:val="0"/>
      <w:lvlText w:val=""/>
      <w:lvlJc w:val="left"/>
      <w:pPr>
        <w:tabs>
          <w:tab w:val="num" w:pos="567"/>
        </w:tabs>
        <w:ind w:left="284" w:firstLine="283"/>
      </w:pPr>
      <w:rPr>
        <w:rFonts w:hint="default"/>
      </w:rPr>
    </w:lvl>
  </w:abstractNum>
  <w:abstractNum w:abstractNumId="71" w15:restartNumberingAfterBreak="0">
    <w:nsid w:val="341F353F"/>
    <w:multiLevelType w:val="hybridMultilevel"/>
    <w:tmpl w:val="448E8974"/>
    <w:lvl w:ilvl="0" w:tplc="8BB416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4E61DF5"/>
    <w:multiLevelType w:val="hybridMultilevel"/>
    <w:tmpl w:val="CC08DE74"/>
    <w:lvl w:ilvl="0" w:tplc="BD089528">
      <w:start w:val="1"/>
      <w:numFmt w:val="decimal"/>
      <w:lvlText w:val="%1."/>
      <w:lvlJc w:val="left"/>
      <w:pPr>
        <w:ind w:left="506" w:hanging="360"/>
      </w:pPr>
      <w:rPr>
        <w:rFonts w:hint="default"/>
      </w:rPr>
    </w:lvl>
    <w:lvl w:ilvl="1" w:tplc="08090019" w:tentative="1">
      <w:start w:val="1"/>
      <w:numFmt w:val="lowerLetter"/>
      <w:lvlText w:val="%2."/>
      <w:lvlJc w:val="left"/>
      <w:pPr>
        <w:ind w:left="1226" w:hanging="360"/>
      </w:pPr>
    </w:lvl>
    <w:lvl w:ilvl="2" w:tplc="0809001B" w:tentative="1">
      <w:start w:val="1"/>
      <w:numFmt w:val="lowerRoman"/>
      <w:lvlText w:val="%3."/>
      <w:lvlJc w:val="right"/>
      <w:pPr>
        <w:ind w:left="1946" w:hanging="180"/>
      </w:pPr>
    </w:lvl>
    <w:lvl w:ilvl="3" w:tplc="0809000F" w:tentative="1">
      <w:start w:val="1"/>
      <w:numFmt w:val="decimal"/>
      <w:lvlText w:val="%4."/>
      <w:lvlJc w:val="left"/>
      <w:pPr>
        <w:ind w:left="2666" w:hanging="360"/>
      </w:pPr>
    </w:lvl>
    <w:lvl w:ilvl="4" w:tplc="08090019" w:tentative="1">
      <w:start w:val="1"/>
      <w:numFmt w:val="lowerLetter"/>
      <w:lvlText w:val="%5."/>
      <w:lvlJc w:val="left"/>
      <w:pPr>
        <w:ind w:left="3386" w:hanging="360"/>
      </w:pPr>
    </w:lvl>
    <w:lvl w:ilvl="5" w:tplc="0809001B" w:tentative="1">
      <w:start w:val="1"/>
      <w:numFmt w:val="lowerRoman"/>
      <w:lvlText w:val="%6."/>
      <w:lvlJc w:val="right"/>
      <w:pPr>
        <w:ind w:left="4106" w:hanging="180"/>
      </w:pPr>
    </w:lvl>
    <w:lvl w:ilvl="6" w:tplc="0809000F" w:tentative="1">
      <w:start w:val="1"/>
      <w:numFmt w:val="decimal"/>
      <w:lvlText w:val="%7."/>
      <w:lvlJc w:val="left"/>
      <w:pPr>
        <w:ind w:left="4826" w:hanging="360"/>
      </w:pPr>
    </w:lvl>
    <w:lvl w:ilvl="7" w:tplc="08090019" w:tentative="1">
      <w:start w:val="1"/>
      <w:numFmt w:val="lowerLetter"/>
      <w:lvlText w:val="%8."/>
      <w:lvlJc w:val="left"/>
      <w:pPr>
        <w:ind w:left="5546" w:hanging="360"/>
      </w:pPr>
    </w:lvl>
    <w:lvl w:ilvl="8" w:tplc="0809001B" w:tentative="1">
      <w:start w:val="1"/>
      <w:numFmt w:val="lowerRoman"/>
      <w:lvlText w:val="%9."/>
      <w:lvlJc w:val="right"/>
      <w:pPr>
        <w:ind w:left="6266" w:hanging="180"/>
      </w:pPr>
    </w:lvl>
  </w:abstractNum>
  <w:abstractNum w:abstractNumId="73" w15:restartNumberingAfterBreak="0">
    <w:nsid w:val="358F6007"/>
    <w:multiLevelType w:val="hybridMultilevel"/>
    <w:tmpl w:val="63F65C6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4" w15:restartNumberingAfterBreak="0">
    <w:nsid w:val="36563FB8"/>
    <w:multiLevelType w:val="hybridMultilevel"/>
    <w:tmpl w:val="FD844AF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5" w15:restartNumberingAfterBreak="0">
    <w:nsid w:val="370E48EB"/>
    <w:multiLevelType w:val="multilevel"/>
    <w:tmpl w:val="F21CE162"/>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Arial" w:hAnsi="Arial" w:hint="default"/>
        <w:color w:val="EEECE1" w:themeColor="background2"/>
      </w:rPr>
    </w:lvl>
    <w:lvl w:ilvl="2">
      <w:start w:val="1"/>
      <w:numFmt w:val="bullet"/>
      <w:lvlText w:val=""/>
      <w:lvlJc w:val="left"/>
      <w:pPr>
        <w:ind w:left="284" w:firstLine="283"/>
      </w:pPr>
      <w:rPr>
        <w:rFonts w:ascii="Wingdings" w:hAnsi="Wingdings" w:hint="default"/>
        <w:color w:val="EEECE1" w:themeColor="background2"/>
      </w:rPr>
    </w:lvl>
    <w:lvl w:ilvl="3">
      <w:start w:val="1"/>
      <w:numFmt w:val="none"/>
      <w:lvlRestart w:val="0"/>
      <w:lvlText w:val=""/>
      <w:lvlJc w:val="left"/>
      <w:pPr>
        <w:tabs>
          <w:tab w:val="num" w:pos="567"/>
        </w:tabs>
        <w:ind w:left="284" w:firstLine="283"/>
      </w:pPr>
      <w:rPr>
        <w:rFonts w:hint="default"/>
      </w:rPr>
    </w:lvl>
    <w:lvl w:ilvl="4">
      <w:start w:val="1"/>
      <w:numFmt w:val="none"/>
      <w:lvlRestart w:val="0"/>
      <w:lvlText w:val=""/>
      <w:lvlJc w:val="left"/>
      <w:pPr>
        <w:tabs>
          <w:tab w:val="num" w:pos="567"/>
        </w:tabs>
        <w:ind w:left="284" w:firstLine="283"/>
      </w:pPr>
      <w:rPr>
        <w:rFonts w:hint="default"/>
      </w:rPr>
    </w:lvl>
    <w:lvl w:ilvl="5">
      <w:start w:val="1"/>
      <w:numFmt w:val="none"/>
      <w:lvlRestart w:val="0"/>
      <w:lvlText w:val=""/>
      <w:lvlJc w:val="left"/>
      <w:pPr>
        <w:tabs>
          <w:tab w:val="num" w:pos="567"/>
        </w:tabs>
        <w:ind w:left="284" w:firstLine="283"/>
      </w:pPr>
      <w:rPr>
        <w:rFonts w:hint="default"/>
      </w:rPr>
    </w:lvl>
    <w:lvl w:ilvl="6">
      <w:start w:val="1"/>
      <w:numFmt w:val="none"/>
      <w:lvlRestart w:val="0"/>
      <w:lvlText w:val=""/>
      <w:lvlJc w:val="left"/>
      <w:pPr>
        <w:tabs>
          <w:tab w:val="num" w:pos="567"/>
        </w:tabs>
        <w:ind w:left="284" w:firstLine="283"/>
      </w:pPr>
      <w:rPr>
        <w:rFonts w:hint="default"/>
      </w:rPr>
    </w:lvl>
    <w:lvl w:ilvl="7">
      <w:start w:val="1"/>
      <w:numFmt w:val="none"/>
      <w:lvlRestart w:val="0"/>
      <w:lvlText w:val=""/>
      <w:lvlJc w:val="left"/>
      <w:pPr>
        <w:tabs>
          <w:tab w:val="num" w:pos="567"/>
        </w:tabs>
        <w:ind w:left="284" w:firstLine="283"/>
      </w:pPr>
      <w:rPr>
        <w:rFonts w:hint="default"/>
      </w:rPr>
    </w:lvl>
    <w:lvl w:ilvl="8">
      <w:start w:val="1"/>
      <w:numFmt w:val="none"/>
      <w:lvlRestart w:val="0"/>
      <w:lvlText w:val=""/>
      <w:lvlJc w:val="left"/>
      <w:pPr>
        <w:tabs>
          <w:tab w:val="num" w:pos="567"/>
        </w:tabs>
        <w:ind w:left="284" w:firstLine="283"/>
      </w:pPr>
      <w:rPr>
        <w:rFonts w:hint="default"/>
      </w:rPr>
    </w:lvl>
  </w:abstractNum>
  <w:abstractNum w:abstractNumId="76" w15:restartNumberingAfterBreak="0">
    <w:nsid w:val="37D655D8"/>
    <w:multiLevelType w:val="hybridMultilevel"/>
    <w:tmpl w:val="0FA8D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91345CF"/>
    <w:multiLevelType w:val="hybridMultilevel"/>
    <w:tmpl w:val="3CEA3B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3949606B"/>
    <w:multiLevelType w:val="hybridMultilevel"/>
    <w:tmpl w:val="CA6651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39B635A6"/>
    <w:multiLevelType w:val="hybridMultilevel"/>
    <w:tmpl w:val="A4306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A42368A"/>
    <w:multiLevelType w:val="hybridMultilevel"/>
    <w:tmpl w:val="0650A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3B38087F"/>
    <w:multiLevelType w:val="hybridMultilevel"/>
    <w:tmpl w:val="18E212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3C0F4918"/>
    <w:multiLevelType w:val="hybridMultilevel"/>
    <w:tmpl w:val="C73A807A"/>
    <w:lvl w:ilvl="0" w:tplc="08090001">
      <w:start w:val="1"/>
      <w:numFmt w:val="bullet"/>
      <w:lvlText w:val=""/>
      <w:lvlJc w:val="left"/>
      <w:pPr>
        <w:ind w:left="1080" w:hanging="360"/>
      </w:pPr>
      <w:rPr>
        <w:rFonts w:ascii="Symbol" w:hAnsi="Symbol" w:hint="default"/>
        <w:b w:val="0"/>
        <w:bCs/>
      </w:rPr>
    </w:lvl>
    <w:lvl w:ilvl="1" w:tplc="08090003" w:tentative="1">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3" w15:restartNumberingAfterBreak="0">
    <w:nsid w:val="3C1079D2"/>
    <w:multiLevelType w:val="hybridMultilevel"/>
    <w:tmpl w:val="A364A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C6657E9"/>
    <w:multiLevelType w:val="hybridMultilevel"/>
    <w:tmpl w:val="62246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CDB5BAD"/>
    <w:multiLevelType w:val="multilevel"/>
    <w:tmpl w:val="451CC60C"/>
    <w:name w:val="paNumbersReport23"/>
    <w:lvl w:ilvl="0">
      <w:start w:val="1"/>
      <w:numFmt w:val="decimal"/>
      <w:lvlText w:val="%1."/>
      <w:lvlJc w:val="left"/>
      <w:pPr>
        <w:ind w:left="284" w:hanging="284"/>
      </w:pPr>
      <w:rPr>
        <w:rFonts w:hint="default"/>
        <w:color w:val="EEECE1" w:themeColor="background2"/>
      </w:rPr>
    </w:lvl>
    <w:lvl w:ilvl="1">
      <w:start w:val="1"/>
      <w:numFmt w:val="lowerLetter"/>
      <w:pStyle w:val="ListNumber2"/>
      <w:lvlText w:val="%2."/>
      <w:lvlJc w:val="left"/>
      <w:pPr>
        <w:ind w:left="567" w:hanging="283"/>
      </w:pPr>
      <w:rPr>
        <w:rFonts w:hint="default"/>
        <w:color w:val="EEECE1" w:themeColor="background2"/>
      </w:rPr>
    </w:lvl>
    <w:lvl w:ilvl="2">
      <w:start w:val="1"/>
      <w:numFmt w:val="lowerRoman"/>
      <w:pStyle w:val="ListNumber3"/>
      <w:lvlText w:val="%3."/>
      <w:lvlJc w:val="left"/>
      <w:pPr>
        <w:ind w:left="284" w:firstLine="283"/>
      </w:pPr>
      <w:rPr>
        <w:rFonts w:hint="default"/>
        <w:color w:val="EEECE1" w:themeColor="background2"/>
      </w:rPr>
    </w:lvl>
    <w:lvl w:ilvl="3">
      <w:start w:val="1"/>
      <w:numFmt w:val="none"/>
      <w:lvlRestart w:val="0"/>
      <w:lvlText w:val=""/>
      <w:lvlJc w:val="left"/>
      <w:pPr>
        <w:tabs>
          <w:tab w:val="num" w:pos="567"/>
        </w:tabs>
        <w:ind w:left="284" w:firstLine="283"/>
      </w:pPr>
      <w:rPr>
        <w:rFonts w:hint="default"/>
      </w:rPr>
    </w:lvl>
    <w:lvl w:ilvl="4">
      <w:start w:val="1"/>
      <w:numFmt w:val="none"/>
      <w:lvlRestart w:val="0"/>
      <w:lvlText w:val=""/>
      <w:lvlJc w:val="left"/>
      <w:pPr>
        <w:tabs>
          <w:tab w:val="num" w:pos="567"/>
        </w:tabs>
        <w:ind w:left="284" w:firstLine="283"/>
      </w:pPr>
      <w:rPr>
        <w:rFonts w:hint="default"/>
      </w:rPr>
    </w:lvl>
    <w:lvl w:ilvl="5">
      <w:start w:val="1"/>
      <w:numFmt w:val="none"/>
      <w:lvlRestart w:val="0"/>
      <w:lvlText w:val=""/>
      <w:lvlJc w:val="left"/>
      <w:pPr>
        <w:tabs>
          <w:tab w:val="num" w:pos="567"/>
        </w:tabs>
        <w:ind w:left="284" w:firstLine="283"/>
      </w:pPr>
      <w:rPr>
        <w:rFonts w:hint="default"/>
      </w:rPr>
    </w:lvl>
    <w:lvl w:ilvl="6">
      <w:start w:val="1"/>
      <w:numFmt w:val="none"/>
      <w:lvlRestart w:val="0"/>
      <w:lvlText w:val=""/>
      <w:lvlJc w:val="left"/>
      <w:pPr>
        <w:tabs>
          <w:tab w:val="num" w:pos="567"/>
        </w:tabs>
        <w:ind w:left="284" w:firstLine="283"/>
      </w:pPr>
      <w:rPr>
        <w:rFonts w:hint="default"/>
      </w:rPr>
    </w:lvl>
    <w:lvl w:ilvl="7">
      <w:start w:val="1"/>
      <w:numFmt w:val="none"/>
      <w:lvlRestart w:val="0"/>
      <w:lvlText w:val=""/>
      <w:lvlJc w:val="left"/>
      <w:pPr>
        <w:tabs>
          <w:tab w:val="num" w:pos="567"/>
        </w:tabs>
        <w:ind w:left="284" w:firstLine="283"/>
      </w:pPr>
      <w:rPr>
        <w:rFonts w:hint="default"/>
      </w:rPr>
    </w:lvl>
    <w:lvl w:ilvl="8">
      <w:start w:val="1"/>
      <w:numFmt w:val="none"/>
      <w:lvlRestart w:val="0"/>
      <w:lvlText w:val=""/>
      <w:lvlJc w:val="left"/>
      <w:pPr>
        <w:tabs>
          <w:tab w:val="num" w:pos="567"/>
        </w:tabs>
        <w:ind w:left="284" w:firstLine="283"/>
      </w:pPr>
      <w:rPr>
        <w:rFonts w:hint="default"/>
      </w:rPr>
    </w:lvl>
  </w:abstractNum>
  <w:abstractNum w:abstractNumId="86" w15:restartNumberingAfterBreak="0">
    <w:nsid w:val="3CDF6821"/>
    <w:multiLevelType w:val="hybridMultilevel"/>
    <w:tmpl w:val="3B102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D5D5172"/>
    <w:multiLevelType w:val="hybridMultilevel"/>
    <w:tmpl w:val="CC08DE74"/>
    <w:lvl w:ilvl="0" w:tplc="BD089528">
      <w:start w:val="1"/>
      <w:numFmt w:val="decimal"/>
      <w:lvlText w:val="%1."/>
      <w:lvlJc w:val="left"/>
      <w:pPr>
        <w:ind w:left="506" w:hanging="360"/>
      </w:pPr>
      <w:rPr>
        <w:rFonts w:hint="default"/>
      </w:rPr>
    </w:lvl>
    <w:lvl w:ilvl="1" w:tplc="08090019" w:tentative="1">
      <w:start w:val="1"/>
      <w:numFmt w:val="lowerLetter"/>
      <w:lvlText w:val="%2."/>
      <w:lvlJc w:val="left"/>
      <w:pPr>
        <w:ind w:left="1226" w:hanging="360"/>
      </w:pPr>
    </w:lvl>
    <w:lvl w:ilvl="2" w:tplc="0809001B" w:tentative="1">
      <w:start w:val="1"/>
      <w:numFmt w:val="lowerRoman"/>
      <w:lvlText w:val="%3."/>
      <w:lvlJc w:val="right"/>
      <w:pPr>
        <w:ind w:left="1946" w:hanging="180"/>
      </w:pPr>
    </w:lvl>
    <w:lvl w:ilvl="3" w:tplc="0809000F" w:tentative="1">
      <w:start w:val="1"/>
      <w:numFmt w:val="decimal"/>
      <w:lvlText w:val="%4."/>
      <w:lvlJc w:val="left"/>
      <w:pPr>
        <w:ind w:left="2666" w:hanging="360"/>
      </w:pPr>
    </w:lvl>
    <w:lvl w:ilvl="4" w:tplc="08090019" w:tentative="1">
      <w:start w:val="1"/>
      <w:numFmt w:val="lowerLetter"/>
      <w:lvlText w:val="%5."/>
      <w:lvlJc w:val="left"/>
      <w:pPr>
        <w:ind w:left="3386" w:hanging="360"/>
      </w:pPr>
    </w:lvl>
    <w:lvl w:ilvl="5" w:tplc="0809001B" w:tentative="1">
      <w:start w:val="1"/>
      <w:numFmt w:val="lowerRoman"/>
      <w:lvlText w:val="%6."/>
      <w:lvlJc w:val="right"/>
      <w:pPr>
        <w:ind w:left="4106" w:hanging="180"/>
      </w:pPr>
    </w:lvl>
    <w:lvl w:ilvl="6" w:tplc="0809000F" w:tentative="1">
      <w:start w:val="1"/>
      <w:numFmt w:val="decimal"/>
      <w:lvlText w:val="%7."/>
      <w:lvlJc w:val="left"/>
      <w:pPr>
        <w:ind w:left="4826" w:hanging="360"/>
      </w:pPr>
    </w:lvl>
    <w:lvl w:ilvl="7" w:tplc="08090019" w:tentative="1">
      <w:start w:val="1"/>
      <w:numFmt w:val="lowerLetter"/>
      <w:lvlText w:val="%8."/>
      <w:lvlJc w:val="left"/>
      <w:pPr>
        <w:ind w:left="5546" w:hanging="360"/>
      </w:pPr>
    </w:lvl>
    <w:lvl w:ilvl="8" w:tplc="0809001B" w:tentative="1">
      <w:start w:val="1"/>
      <w:numFmt w:val="lowerRoman"/>
      <w:lvlText w:val="%9."/>
      <w:lvlJc w:val="right"/>
      <w:pPr>
        <w:ind w:left="6266" w:hanging="180"/>
      </w:pPr>
    </w:lvl>
  </w:abstractNum>
  <w:abstractNum w:abstractNumId="88" w15:restartNumberingAfterBreak="0">
    <w:nsid w:val="3D8C75FD"/>
    <w:multiLevelType w:val="hybridMultilevel"/>
    <w:tmpl w:val="06DEBE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3E975D18"/>
    <w:multiLevelType w:val="hybridMultilevel"/>
    <w:tmpl w:val="4DD8B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EB9114A"/>
    <w:multiLevelType w:val="multilevel"/>
    <w:tmpl w:val="F21CE162"/>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Arial" w:hAnsi="Arial" w:hint="default"/>
        <w:color w:val="EEECE1" w:themeColor="background2"/>
      </w:rPr>
    </w:lvl>
    <w:lvl w:ilvl="2">
      <w:start w:val="1"/>
      <w:numFmt w:val="bullet"/>
      <w:lvlText w:val=""/>
      <w:lvlJc w:val="left"/>
      <w:pPr>
        <w:ind w:left="284" w:firstLine="283"/>
      </w:pPr>
      <w:rPr>
        <w:rFonts w:ascii="Wingdings" w:hAnsi="Wingdings" w:hint="default"/>
        <w:color w:val="EEECE1" w:themeColor="background2"/>
      </w:rPr>
    </w:lvl>
    <w:lvl w:ilvl="3">
      <w:start w:val="1"/>
      <w:numFmt w:val="none"/>
      <w:lvlRestart w:val="0"/>
      <w:lvlText w:val=""/>
      <w:lvlJc w:val="left"/>
      <w:pPr>
        <w:tabs>
          <w:tab w:val="num" w:pos="567"/>
        </w:tabs>
        <w:ind w:left="284" w:firstLine="283"/>
      </w:pPr>
      <w:rPr>
        <w:rFonts w:hint="default"/>
      </w:rPr>
    </w:lvl>
    <w:lvl w:ilvl="4">
      <w:start w:val="1"/>
      <w:numFmt w:val="none"/>
      <w:lvlRestart w:val="0"/>
      <w:lvlText w:val=""/>
      <w:lvlJc w:val="left"/>
      <w:pPr>
        <w:tabs>
          <w:tab w:val="num" w:pos="567"/>
        </w:tabs>
        <w:ind w:left="284" w:firstLine="283"/>
      </w:pPr>
      <w:rPr>
        <w:rFonts w:hint="default"/>
      </w:rPr>
    </w:lvl>
    <w:lvl w:ilvl="5">
      <w:start w:val="1"/>
      <w:numFmt w:val="none"/>
      <w:lvlRestart w:val="0"/>
      <w:lvlText w:val=""/>
      <w:lvlJc w:val="left"/>
      <w:pPr>
        <w:tabs>
          <w:tab w:val="num" w:pos="567"/>
        </w:tabs>
        <w:ind w:left="284" w:firstLine="283"/>
      </w:pPr>
      <w:rPr>
        <w:rFonts w:hint="default"/>
      </w:rPr>
    </w:lvl>
    <w:lvl w:ilvl="6">
      <w:start w:val="1"/>
      <w:numFmt w:val="none"/>
      <w:lvlRestart w:val="0"/>
      <w:lvlText w:val=""/>
      <w:lvlJc w:val="left"/>
      <w:pPr>
        <w:tabs>
          <w:tab w:val="num" w:pos="567"/>
        </w:tabs>
        <w:ind w:left="284" w:firstLine="283"/>
      </w:pPr>
      <w:rPr>
        <w:rFonts w:hint="default"/>
      </w:rPr>
    </w:lvl>
    <w:lvl w:ilvl="7">
      <w:start w:val="1"/>
      <w:numFmt w:val="none"/>
      <w:lvlRestart w:val="0"/>
      <w:lvlText w:val=""/>
      <w:lvlJc w:val="left"/>
      <w:pPr>
        <w:tabs>
          <w:tab w:val="num" w:pos="567"/>
        </w:tabs>
        <w:ind w:left="284" w:firstLine="283"/>
      </w:pPr>
      <w:rPr>
        <w:rFonts w:hint="default"/>
      </w:rPr>
    </w:lvl>
    <w:lvl w:ilvl="8">
      <w:start w:val="1"/>
      <w:numFmt w:val="none"/>
      <w:lvlRestart w:val="0"/>
      <w:lvlText w:val=""/>
      <w:lvlJc w:val="left"/>
      <w:pPr>
        <w:tabs>
          <w:tab w:val="num" w:pos="567"/>
        </w:tabs>
        <w:ind w:left="284" w:firstLine="283"/>
      </w:pPr>
      <w:rPr>
        <w:rFonts w:hint="default"/>
      </w:rPr>
    </w:lvl>
  </w:abstractNum>
  <w:abstractNum w:abstractNumId="91" w15:restartNumberingAfterBreak="0">
    <w:nsid w:val="3ED5260E"/>
    <w:multiLevelType w:val="hybridMultilevel"/>
    <w:tmpl w:val="30E2B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FCA56DB"/>
    <w:multiLevelType w:val="hybridMultilevel"/>
    <w:tmpl w:val="9B06B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3FF85AF8"/>
    <w:multiLevelType w:val="hybridMultilevel"/>
    <w:tmpl w:val="7004C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06072E3"/>
    <w:multiLevelType w:val="hybridMultilevel"/>
    <w:tmpl w:val="535AF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1470982"/>
    <w:multiLevelType w:val="hybridMultilevel"/>
    <w:tmpl w:val="CC405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302613F"/>
    <w:multiLevelType w:val="hybridMultilevel"/>
    <w:tmpl w:val="F0022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4442068"/>
    <w:multiLevelType w:val="hybridMultilevel"/>
    <w:tmpl w:val="C090E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4A10AD8"/>
    <w:multiLevelType w:val="hybridMultilevel"/>
    <w:tmpl w:val="07B4C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4A83401"/>
    <w:multiLevelType w:val="hybridMultilevel"/>
    <w:tmpl w:val="85BAB84A"/>
    <w:lvl w:ilvl="0" w:tplc="08090001">
      <w:start w:val="1"/>
      <w:numFmt w:val="bullet"/>
      <w:lvlText w:val=""/>
      <w:lvlJc w:val="left"/>
      <w:pPr>
        <w:ind w:left="804" w:hanging="44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4AF224E"/>
    <w:multiLevelType w:val="hybridMultilevel"/>
    <w:tmpl w:val="6EA29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4C33B74"/>
    <w:multiLevelType w:val="hybridMultilevel"/>
    <w:tmpl w:val="2ACC39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2" w15:restartNumberingAfterBreak="0">
    <w:nsid w:val="454A7D7D"/>
    <w:multiLevelType w:val="hybridMultilevel"/>
    <w:tmpl w:val="076646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45551A0E"/>
    <w:multiLevelType w:val="hybridMultilevel"/>
    <w:tmpl w:val="7772C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6B66A60"/>
    <w:multiLevelType w:val="hybridMultilevel"/>
    <w:tmpl w:val="4B544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7FF4C1E"/>
    <w:multiLevelType w:val="hybridMultilevel"/>
    <w:tmpl w:val="B1F0D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89966D7"/>
    <w:multiLevelType w:val="hybridMultilevel"/>
    <w:tmpl w:val="22C67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A044987"/>
    <w:multiLevelType w:val="hybridMultilevel"/>
    <w:tmpl w:val="FE5A6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A3F1829"/>
    <w:multiLevelType w:val="hybridMultilevel"/>
    <w:tmpl w:val="0A606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AEA2D1B"/>
    <w:multiLevelType w:val="hybridMultilevel"/>
    <w:tmpl w:val="20EEB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4B9A11EB"/>
    <w:multiLevelType w:val="hybridMultilevel"/>
    <w:tmpl w:val="C9F8B5B2"/>
    <w:lvl w:ilvl="0" w:tplc="64940764">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4C5175DD"/>
    <w:multiLevelType w:val="hybridMultilevel"/>
    <w:tmpl w:val="C2DA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4EDA3C2B"/>
    <w:multiLevelType w:val="hybridMultilevel"/>
    <w:tmpl w:val="EA3A78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3" w15:restartNumberingAfterBreak="0">
    <w:nsid w:val="4EF142E1"/>
    <w:multiLevelType w:val="hybridMultilevel"/>
    <w:tmpl w:val="E000E55E"/>
    <w:lvl w:ilvl="0" w:tplc="E3803118">
      <w:start w:val="1"/>
      <w:numFmt w:val="bullet"/>
      <w:lvlText w:val=""/>
      <w:lvlJc w:val="left"/>
      <w:pPr>
        <w:tabs>
          <w:tab w:val="num" w:pos="720"/>
        </w:tabs>
        <w:ind w:left="720" w:hanging="360"/>
      </w:pPr>
      <w:rPr>
        <w:rFonts w:ascii="Symbol" w:hAnsi="Symbol" w:hint="default"/>
      </w:rPr>
    </w:lvl>
    <w:lvl w:ilvl="1" w:tplc="F1366A98">
      <w:start w:val="1"/>
      <w:numFmt w:val="bullet"/>
      <w:lvlText w:val=""/>
      <w:lvlJc w:val="left"/>
      <w:pPr>
        <w:tabs>
          <w:tab w:val="num" w:pos="1440"/>
        </w:tabs>
        <w:ind w:left="1440" w:hanging="360"/>
      </w:pPr>
      <w:rPr>
        <w:rFonts w:ascii="Symbol" w:hAnsi="Symbol" w:hint="default"/>
      </w:rPr>
    </w:lvl>
    <w:lvl w:ilvl="2" w:tplc="A57CF1CE">
      <w:numFmt w:val="bullet"/>
      <w:lvlText w:val=""/>
      <w:lvlJc w:val="left"/>
      <w:pPr>
        <w:tabs>
          <w:tab w:val="num" w:pos="2160"/>
        </w:tabs>
        <w:ind w:left="2160" w:hanging="360"/>
      </w:pPr>
      <w:rPr>
        <w:rFonts w:ascii="Symbol" w:hAnsi="Symbol" w:hint="default"/>
      </w:rPr>
    </w:lvl>
    <w:lvl w:ilvl="3" w:tplc="35207F66" w:tentative="1">
      <w:start w:val="1"/>
      <w:numFmt w:val="bullet"/>
      <w:lvlText w:val=""/>
      <w:lvlJc w:val="left"/>
      <w:pPr>
        <w:tabs>
          <w:tab w:val="num" w:pos="2880"/>
        </w:tabs>
        <w:ind w:left="2880" w:hanging="360"/>
      </w:pPr>
      <w:rPr>
        <w:rFonts w:ascii="Symbol" w:hAnsi="Symbol" w:hint="default"/>
      </w:rPr>
    </w:lvl>
    <w:lvl w:ilvl="4" w:tplc="01C8BC3E" w:tentative="1">
      <w:start w:val="1"/>
      <w:numFmt w:val="bullet"/>
      <w:lvlText w:val=""/>
      <w:lvlJc w:val="left"/>
      <w:pPr>
        <w:tabs>
          <w:tab w:val="num" w:pos="3600"/>
        </w:tabs>
        <w:ind w:left="3600" w:hanging="360"/>
      </w:pPr>
      <w:rPr>
        <w:rFonts w:ascii="Symbol" w:hAnsi="Symbol" w:hint="default"/>
      </w:rPr>
    </w:lvl>
    <w:lvl w:ilvl="5" w:tplc="29CAAC70" w:tentative="1">
      <w:start w:val="1"/>
      <w:numFmt w:val="bullet"/>
      <w:lvlText w:val=""/>
      <w:lvlJc w:val="left"/>
      <w:pPr>
        <w:tabs>
          <w:tab w:val="num" w:pos="4320"/>
        </w:tabs>
        <w:ind w:left="4320" w:hanging="360"/>
      </w:pPr>
      <w:rPr>
        <w:rFonts w:ascii="Symbol" w:hAnsi="Symbol" w:hint="default"/>
      </w:rPr>
    </w:lvl>
    <w:lvl w:ilvl="6" w:tplc="CDA008F6" w:tentative="1">
      <w:start w:val="1"/>
      <w:numFmt w:val="bullet"/>
      <w:lvlText w:val=""/>
      <w:lvlJc w:val="left"/>
      <w:pPr>
        <w:tabs>
          <w:tab w:val="num" w:pos="5040"/>
        </w:tabs>
        <w:ind w:left="5040" w:hanging="360"/>
      </w:pPr>
      <w:rPr>
        <w:rFonts w:ascii="Symbol" w:hAnsi="Symbol" w:hint="default"/>
      </w:rPr>
    </w:lvl>
    <w:lvl w:ilvl="7" w:tplc="205CDDC2" w:tentative="1">
      <w:start w:val="1"/>
      <w:numFmt w:val="bullet"/>
      <w:lvlText w:val=""/>
      <w:lvlJc w:val="left"/>
      <w:pPr>
        <w:tabs>
          <w:tab w:val="num" w:pos="5760"/>
        </w:tabs>
        <w:ind w:left="5760" w:hanging="360"/>
      </w:pPr>
      <w:rPr>
        <w:rFonts w:ascii="Symbol" w:hAnsi="Symbol" w:hint="default"/>
      </w:rPr>
    </w:lvl>
    <w:lvl w:ilvl="8" w:tplc="097AFDDE" w:tentative="1">
      <w:start w:val="1"/>
      <w:numFmt w:val="bullet"/>
      <w:lvlText w:val=""/>
      <w:lvlJc w:val="left"/>
      <w:pPr>
        <w:tabs>
          <w:tab w:val="num" w:pos="6480"/>
        </w:tabs>
        <w:ind w:left="6480" w:hanging="360"/>
      </w:pPr>
      <w:rPr>
        <w:rFonts w:ascii="Symbol" w:hAnsi="Symbol" w:hint="default"/>
      </w:rPr>
    </w:lvl>
  </w:abstractNum>
  <w:abstractNum w:abstractNumId="114" w15:restartNumberingAfterBreak="0">
    <w:nsid w:val="4FC160AB"/>
    <w:multiLevelType w:val="hybridMultilevel"/>
    <w:tmpl w:val="B1DA6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040640D"/>
    <w:multiLevelType w:val="hybridMultilevel"/>
    <w:tmpl w:val="25A0D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1F90F70"/>
    <w:multiLevelType w:val="hybridMultilevel"/>
    <w:tmpl w:val="2CBEBA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42A1E82"/>
    <w:multiLevelType w:val="hybridMultilevel"/>
    <w:tmpl w:val="3A4E514C"/>
    <w:lvl w:ilvl="0" w:tplc="41305722">
      <w:start w:val="1"/>
      <w:numFmt w:val="bullet"/>
      <w:lvlText w:val="•"/>
      <w:lvlJc w:val="left"/>
      <w:pPr>
        <w:tabs>
          <w:tab w:val="num" w:pos="720"/>
        </w:tabs>
        <w:ind w:left="720" w:hanging="360"/>
      </w:pPr>
      <w:rPr>
        <w:rFonts w:ascii="Arial" w:hAnsi="Arial" w:hint="default"/>
      </w:rPr>
    </w:lvl>
    <w:lvl w:ilvl="1" w:tplc="1406817A" w:tentative="1">
      <w:start w:val="1"/>
      <w:numFmt w:val="bullet"/>
      <w:lvlText w:val="•"/>
      <w:lvlJc w:val="left"/>
      <w:pPr>
        <w:tabs>
          <w:tab w:val="num" w:pos="1440"/>
        </w:tabs>
        <w:ind w:left="1440" w:hanging="360"/>
      </w:pPr>
      <w:rPr>
        <w:rFonts w:ascii="Arial" w:hAnsi="Arial" w:hint="default"/>
      </w:rPr>
    </w:lvl>
    <w:lvl w:ilvl="2" w:tplc="850C870A" w:tentative="1">
      <w:start w:val="1"/>
      <w:numFmt w:val="bullet"/>
      <w:lvlText w:val="•"/>
      <w:lvlJc w:val="left"/>
      <w:pPr>
        <w:tabs>
          <w:tab w:val="num" w:pos="2160"/>
        </w:tabs>
        <w:ind w:left="2160" w:hanging="360"/>
      </w:pPr>
      <w:rPr>
        <w:rFonts w:ascii="Arial" w:hAnsi="Arial" w:hint="default"/>
      </w:rPr>
    </w:lvl>
    <w:lvl w:ilvl="3" w:tplc="F84E8BB8" w:tentative="1">
      <w:start w:val="1"/>
      <w:numFmt w:val="bullet"/>
      <w:lvlText w:val="•"/>
      <w:lvlJc w:val="left"/>
      <w:pPr>
        <w:tabs>
          <w:tab w:val="num" w:pos="2880"/>
        </w:tabs>
        <w:ind w:left="2880" w:hanging="360"/>
      </w:pPr>
      <w:rPr>
        <w:rFonts w:ascii="Arial" w:hAnsi="Arial" w:hint="default"/>
      </w:rPr>
    </w:lvl>
    <w:lvl w:ilvl="4" w:tplc="7284B53C" w:tentative="1">
      <w:start w:val="1"/>
      <w:numFmt w:val="bullet"/>
      <w:lvlText w:val="•"/>
      <w:lvlJc w:val="left"/>
      <w:pPr>
        <w:tabs>
          <w:tab w:val="num" w:pos="3600"/>
        </w:tabs>
        <w:ind w:left="3600" w:hanging="360"/>
      </w:pPr>
      <w:rPr>
        <w:rFonts w:ascii="Arial" w:hAnsi="Arial" w:hint="default"/>
      </w:rPr>
    </w:lvl>
    <w:lvl w:ilvl="5" w:tplc="75A24974" w:tentative="1">
      <w:start w:val="1"/>
      <w:numFmt w:val="bullet"/>
      <w:lvlText w:val="•"/>
      <w:lvlJc w:val="left"/>
      <w:pPr>
        <w:tabs>
          <w:tab w:val="num" w:pos="4320"/>
        </w:tabs>
        <w:ind w:left="4320" w:hanging="360"/>
      </w:pPr>
      <w:rPr>
        <w:rFonts w:ascii="Arial" w:hAnsi="Arial" w:hint="default"/>
      </w:rPr>
    </w:lvl>
    <w:lvl w:ilvl="6" w:tplc="40CE9B70" w:tentative="1">
      <w:start w:val="1"/>
      <w:numFmt w:val="bullet"/>
      <w:lvlText w:val="•"/>
      <w:lvlJc w:val="left"/>
      <w:pPr>
        <w:tabs>
          <w:tab w:val="num" w:pos="5040"/>
        </w:tabs>
        <w:ind w:left="5040" w:hanging="360"/>
      </w:pPr>
      <w:rPr>
        <w:rFonts w:ascii="Arial" w:hAnsi="Arial" w:hint="default"/>
      </w:rPr>
    </w:lvl>
    <w:lvl w:ilvl="7" w:tplc="C4662176" w:tentative="1">
      <w:start w:val="1"/>
      <w:numFmt w:val="bullet"/>
      <w:lvlText w:val="•"/>
      <w:lvlJc w:val="left"/>
      <w:pPr>
        <w:tabs>
          <w:tab w:val="num" w:pos="5760"/>
        </w:tabs>
        <w:ind w:left="5760" w:hanging="360"/>
      </w:pPr>
      <w:rPr>
        <w:rFonts w:ascii="Arial" w:hAnsi="Arial" w:hint="default"/>
      </w:rPr>
    </w:lvl>
    <w:lvl w:ilvl="8" w:tplc="34180454"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54823BA5"/>
    <w:multiLevelType w:val="hybridMultilevel"/>
    <w:tmpl w:val="E3D61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4EB05CF"/>
    <w:multiLevelType w:val="multilevel"/>
    <w:tmpl w:val="A380D4D2"/>
    <w:lvl w:ilvl="0">
      <w:start w:val="1"/>
      <w:numFmt w:val="decimal"/>
      <w:lvlText w:val="%1."/>
      <w:lvlJc w:val="left"/>
      <w:pPr>
        <w:ind w:left="720" w:hanging="360"/>
      </w:pPr>
      <w:rPr>
        <w:b/>
      </w:rPr>
    </w:lvl>
    <w:lvl w:ilvl="1">
      <w:start w:val="1"/>
      <w:numFmt w:val="decimal"/>
      <w:lvlText w:val="%1.%2"/>
      <w:lvlJc w:val="left"/>
      <w:pPr>
        <w:ind w:left="570" w:hanging="570"/>
      </w:pPr>
      <w:rPr>
        <w:rFonts w:ascii="Arial" w:eastAsia="Arial" w:hAnsi="Arial" w:cs="Arial"/>
        <w:b/>
      </w:rPr>
    </w:lvl>
    <w:lvl w:ilvl="2">
      <w:start w:val="1"/>
      <w:numFmt w:val="decimal"/>
      <w:lvlText w:val="%1.%2.%3"/>
      <w:lvlJc w:val="left"/>
      <w:pPr>
        <w:ind w:left="720" w:hanging="720"/>
      </w:pPr>
      <w:rPr>
        <w:b/>
        <w:sz w:val="22"/>
        <w:szCs w:val="22"/>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0" w15:restartNumberingAfterBreak="0">
    <w:nsid w:val="56E13A70"/>
    <w:multiLevelType w:val="multilevel"/>
    <w:tmpl w:val="BC0A7BFA"/>
    <w:name w:val="paBulletsReport232"/>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Arial" w:hAnsi="Arial" w:hint="default"/>
        <w:color w:val="EEECE1" w:themeColor="background2"/>
      </w:rPr>
    </w:lvl>
    <w:lvl w:ilvl="2">
      <w:start w:val="1"/>
      <w:numFmt w:val="bullet"/>
      <w:lvlText w:val=""/>
      <w:lvlJc w:val="left"/>
      <w:pPr>
        <w:ind w:left="284" w:firstLine="283"/>
      </w:pPr>
      <w:rPr>
        <w:rFonts w:ascii="Wingdings" w:hAnsi="Wingdings" w:hint="default"/>
        <w:color w:val="EEECE1" w:themeColor="background2"/>
      </w:rPr>
    </w:lvl>
    <w:lvl w:ilvl="3">
      <w:start w:val="1"/>
      <w:numFmt w:val="none"/>
      <w:lvlRestart w:val="0"/>
      <w:lvlText w:val=""/>
      <w:lvlJc w:val="left"/>
      <w:pPr>
        <w:tabs>
          <w:tab w:val="num" w:pos="567"/>
        </w:tabs>
        <w:ind w:left="284" w:firstLine="283"/>
      </w:pPr>
      <w:rPr>
        <w:rFonts w:hint="default"/>
      </w:rPr>
    </w:lvl>
    <w:lvl w:ilvl="4">
      <w:start w:val="1"/>
      <w:numFmt w:val="none"/>
      <w:lvlRestart w:val="0"/>
      <w:lvlText w:val=""/>
      <w:lvlJc w:val="left"/>
      <w:pPr>
        <w:tabs>
          <w:tab w:val="num" w:pos="567"/>
        </w:tabs>
        <w:ind w:left="284" w:firstLine="283"/>
      </w:pPr>
      <w:rPr>
        <w:rFonts w:hint="default"/>
      </w:rPr>
    </w:lvl>
    <w:lvl w:ilvl="5">
      <w:start w:val="1"/>
      <w:numFmt w:val="none"/>
      <w:lvlRestart w:val="0"/>
      <w:lvlText w:val=""/>
      <w:lvlJc w:val="left"/>
      <w:pPr>
        <w:tabs>
          <w:tab w:val="num" w:pos="567"/>
        </w:tabs>
        <w:ind w:left="284" w:firstLine="283"/>
      </w:pPr>
      <w:rPr>
        <w:rFonts w:hint="default"/>
      </w:rPr>
    </w:lvl>
    <w:lvl w:ilvl="6">
      <w:start w:val="1"/>
      <w:numFmt w:val="none"/>
      <w:lvlRestart w:val="0"/>
      <w:lvlText w:val=""/>
      <w:lvlJc w:val="left"/>
      <w:pPr>
        <w:tabs>
          <w:tab w:val="num" w:pos="567"/>
        </w:tabs>
        <w:ind w:left="284" w:firstLine="283"/>
      </w:pPr>
      <w:rPr>
        <w:rFonts w:hint="default"/>
      </w:rPr>
    </w:lvl>
    <w:lvl w:ilvl="7">
      <w:start w:val="1"/>
      <w:numFmt w:val="none"/>
      <w:lvlRestart w:val="0"/>
      <w:lvlText w:val=""/>
      <w:lvlJc w:val="left"/>
      <w:pPr>
        <w:tabs>
          <w:tab w:val="num" w:pos="567"/>
        </w:tabs>
        <w:ind w:left="284" w:firstLine="283"/>
      </w:pPr>
      <w:rPr>
        <w:rFonts w:hint="default"/>
      </w:rPr>
    </w:lvl>
    <w:lvl w:ilvl="8">
      <w:start w:val="1"/>
      <w:numFmt w:val="none"/>
      <w:lvlRestart w:val="0"/>
      <w:lvlText w:val=""/>
      <w:lvlJc w:val="left"/>
      <w:pPr>
        <w:tabs>
          <w:tab w:val="num" w:pos="567"/>
        </w:tabs>
        <w:ind w:left="284" w:firstLine="283"/>
      </w:pPr>
      <w:rPr>
        <w:rFonts w:hint="default"/>
      </w:rPr>
    </w:lvl>
  </w:abstractNum>
  <w:abstractNum w:abstractNumId="121" w15:restartNumberingAfterBreak="0">
    <w:nsid w:val="58101E2F"/>
    <w:multiLevelType w:val="hybridMultilevel"/>
    <w:tmpl w:val="743A4570"/>
    <w:lvl w:ilvl="0" w:tplc="425C4FFE">
      <w:start w:val="1"/>
      <w:numFmt w:val="bullet"/>
      <w:lvlText w:val="•"/>
      <w:lvlJc w:val="left"/>
      <w:pPr>
        <w:tabs>
          <w:tab w:val="num" w:pos="720"/>
        </w:tabs>
        <w:ind w:left="720" w:hanging="360"/>
      </w:pPr>
      <w:rPr>
        <w:rFonts w:ascii="Arial" w:hAnsi="Arial" w:hint="default"/>
      </w:rPr>
    </w:lvl>
    <w:lvl w:ilvl="1" w:tplc="2392DF34" w:tentative="1">
      <w:start w:val="1"/>
      <w:numFmt w:val="bullet"/>
      <w:lvlText w:val="•"/>
      <w:lvlJc w:val="left"/>
      <w:pPr>
        <w:tabs>
          <w:tab w:val="num" w:pos="1440"/>
        </w:tabs>
        <w:ind w:left="1440" w:hanging="360"/>
      </w:pPr>
      <w:rPr>
        <w:rFonts w:ascii="Arial" w:hAnsi="Arial" w:hint="default"/>
      </w:rPr>
    </w:lvl>
    <w:lvl w:ilvl="2" w:tplc="5A8C19F6" w:tentative="1">
      <w:start w:val="1"/>
      <w:numFmt w:val="bullet"/>
      <w:lvlText w:val="•"/>
      <w:lvlJc w:val="left"/>
      <w:pPr>
        <w:tabs>
          <w:tab w:val="num" w:pos="2160"/>
        </w:tabs>
        <w:ind w:left="2160" w:hanging="360"/>
      </w:pPr>
      <w:rPr>
        <w:rFonts w:ascii="Arial" w:hAnsi="Arial" w:hint="default"/>
      </w:rPr>
    </w:lvl>
    <w:lvl w:ilvl="3" w:tplc="67AA3C2A" w:tentative="1">
      <w:start w:val="1"/>
      <w:numFmt w:val="bullet"/>
      <w:lvlText w:val="•"/>
      <w:lvlJc w:val="left"/>
      <w:pPr>
        <w:tabs>
          <w:tab w:val="num" w:pos="2880"/>
        </w:tabs>
        <w:ind w:left="2880" w:hanging="360"/>
      </w:pPr>
      <w:rPr>
        <w:rFonts w:ascii="Arial" w:hAnsi="Arial" w:hint="default"/>
      </w:rPr>
    </w:lvl>
    <w:lvl w:ilvl="4" w:tplc="A68A6710" w:tentative="1">
      <w:start w:val="1"/>
      <w:numFmt w:val="bullet"/>
      <w:lvlText w:val="•"/>
      <w:lvlJc w:val="left"/>
      <w:pPr>
        <w:tabs>
          <w:tab w:val="num" w:pos="3600"/>
        </w:tabs>
        <w:ind w:left="3600" w:hanging="360"/>
      </w:pPr>
      <w:rPr>
        <w:rFonts w:ascii="Arial" w:hAnsi="Arial" w:hint="default"/>
      </w:rPr>
    </w:lvl>
    <w:lvl w:ilvl="5" w:tplc="45460058" w:tentative="1">
      <w:start w:val="1"/>
      <w:numFmt w:val="bullet"/>
      <w:lvlText w:val="•"/>
      <w:lvlJc w:val="left"/>
      <w:pPr>
        <w:tabs>
          <w:tab w:val="num" w:pos="4320"/>
        </w:tabs>
        <w:ind w:left="4320" w:hanging="360"/>
      </w:pPr>
      <w:rPr>
        <w:rFonts w:ascii="Arial" w:hAnsi="Arial" w:hint="default"/>
      </w:rPr>
    </w:lvl>
    <w:lvl w:ilvl="6" w:tplc="9F6CA344" w:tentative="1">
      <w:start w:val="1"/>
      <w:numFmt w:val="bullet"/>
      <w:lvlText w:val="•"/>
      <w:lvlJc w:val="left"/>
      <w:pPr>
        <w:tabs>
          <w:tab w:val="num" w:pos="5040"/>
        </w:tabs>
        <w:ind w:left="5040" w:hanging="360"/>
      </w:pPr>
      <w:rPr>
        <w:rFonts w:ascii="Arial" w:hAnsi="Arial" w:hint="default"/>
      </w:rPr>
    </w:lvl>
    <w:lvl w:ilvl="7" w:tplc="0C56BA18" w:tentative="1">
      <w:start w:val="1"/>
      <w:numFmt w:val="bullet"/>
      <w:lvlText w:val="•"/>
      <w:lvlJc w:val="left"/>
      <w:pPr>
        <w:tabs>
          <w:tab w:val="num" w:pos="5760"/>
        </w:tabs>
        <w:ind w:left="5760" w:hanging="360"/>
      </w:pPr>
      <w:rPr>
        <w:rFonts w:ascii="Arial" w:hAnsi="Arial" w:hint="default"/>
      </w:rPr>
    </w:lvl>
    <w:lvl w:ilvl="8" w:tplc="D8746972"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58213D28"/>
    <w:multiLevelType w:val="multilevel"/>
    <w:tmpl w:val="F21CE162"/>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Arial" w:hAnsi="Arial" w:hint="default"/>
        <w:color w:val="EEECE1" w:themeColor="background2"/>
      </w:rPr>
    </w:lvl>
    <w:lvl w:ilvl="2">
      <w:start w:val="1"/>
      <w:numFmt w:val="bullet"/>
      <w:lvlText w:val=""/>
      <w:lvlJc w:val="left"/>
      <w:pPr>
        <w:ind w:left="284" w:firstLine="283"/>
      </w:pPr>
      <w:rPr>
        <w:rFonts w:ascii="Wingdings" w:hAnsi="Wingdings" w:hint="default"/>
        <w:color w:val="EEECE1" w:themeColor="background2"/>
      </w:rPr>
    </w:lvl>
    <w:lvl w:ilvl="3">
      <w:start w:val="1"/>
      <w:numFmt w:val="none"/>
      <w:lvlRestart w:val="0"/>
      <w:lvlText w:val=""/>
      <w:lvlJc w:val="left"/>
      <w:pPr>
        <w:tabs>
          <w:tab w:val="num" w:pos="567"/>
        </w:tabs>
        <w:ind w:left="284" w:firstLine="283"/>
      </w:pPr>
      <w:rPr>
        <w:rFonts w:hint="default"/>
      </w:rPr>
    </w:lvl>
    <w:lvl w:ilvl="4">
      <w:start w:val="1"/>
      <w:numFmt w:val="none"/>
      <w:lvlRestart w:val="0"/>
      <w:lvlText w:val=""/>
      <w:lvlJc w:val="left"/>
      <w:pPr>
        <w:tabs>
          <w:tab w:val="num" w:pos="567"/>
        </w:tabs>
        <w:ind w:left="284" w:firstLine="283"/>
      </w:pPr>
      <w:rPr>
        <w:rFonts w:hint="default"/>
      </w:rPr>
    </w:lvl>
    <w:lvl w:ilvl="5">
      <w:start w:val="1"/>
      <w:numFmt w:val="none"/>
      <w:lvlRestart w:val="0"/>
      <w:lvlText w:val=""/>
      <w:lvlJc w:val="left"/>
      <w:pPr>
        <w:tabs>
          <w:tab w:val="num" w:pos="567"/>
        </w:tabs>
        <w:ind w:left="284" w:firstLine="283"/>
      </w:pPr>
      <w:rPr>
        <w:rFonts w:hint="default"/>
      </w:rPr>
    </w:lvl>
    <w:lvl w:ilvl="6">
      <w:start w:val="1"/>
      <w:numFmt w:val="none"/>
      <w:lvlRestart w:val="0"/>
      <w:lvlText w:val=""/>
      <w:lvlJc w:val="left"/>
      <w:pPr>
        <w:tabs>
          <w:tab w:val="num" w:pos="567"/>
        </w:tabs>
        <w:ind w:left="284" w:firstLine="283"/>
      </w:pPr>
      <w:rPr>
        <w:rFonts w:hint="default"/>
      </w:rPr>
    </w:lvl>
    <w:lvl w:ilvl="7">
      <w:start w:val="1"/>
      <w:numFmt w:val="none"/>
      <w:lvlRestart w:val="0"/>
      <w:lvlText w:val=""/>
      <w:lvlJc w:val="left"/>
      <w:pPr>
        <w:tabs>
          <w:tab w:val="num" w:pos="567"/>
        </w:tabs>
        <w:ind w:left="284" w:firstLine="283"/>
      </w:pPr>
      <w:rPr>
        <w:rFonts w:hint="default"/>
      </w:rPr>
    </w:lvl>
    <w:lvl w:ilvl="8">
      <w:start w:val="1"/>
      <w:numFmt w:val="none"/>
      <w:lvlRestart w:val="0"/>
      <w:lvlText w:val=""/>
      <w:lvlJc w:val="left"/>
      <w:pPr>
        <w:tabs>
          <w:tab w:val="num" w:pos="567"/>
        </w:tabs>
        <w:ind w:left="284" w:firstLine="283"/>
      </w:pPr>
      <w:rPr>
        <w:rFonts w:hint="default"/>
      </w:rPr>
    </w:lvl>
  </w:abstractNum>
  <w:abstractNum w:abstractNumId="123" w15:restartNumberingAfterBreak="0">
    <w:nsid w:val="582D7AFB"/>
    <w:multiLevelType w:val="hybridMultilevel"/>
    <w:tmpl w:val="09FE9C84"/>
    <w:name w:val="paBulletsReport232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A953F39"/>
    <w:multiLevelType w:val="hybridMultilevel"/>
    <w:tmpl w:val="687E2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C0502B0"/>
    <w:multiLevelType w:val="hybridMultilevel"/>
    <w:tmpl w:val="8D1C0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C8A70D1"/>
    <w:multiLevelType w:val="hybridMultilevel"/>
    <w:tmpl w:val="90048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5CA208C4"/>
    <w:multiLevelType w:val="hybridMultilevel"/>
    <w:tmpl w:val="DC0EA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5E011C44"/>
    <w:multiLevelType w:val="hybridMultilevel"/>
    <w:tmpl w:val="354ACF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5E3C77A8"/>
    <w:multiLevelType w:val="hybridMultilevel"/>
    <w:tmpl w:val="96F01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5E7C0437"/>
    <w:multiLevelType w:val="hybridMultilevel"/>
    <w:tmpl w:val="642A0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EEC4FB9"/>
    <w:multiLevelType w:val="hybridMultilevel"/>
    <w:tmpl w:val="02E8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5F5D33BB"/>
    <w:multiLevelType w:val="hybridMultilevel"/>
    <w:tmpl w:val="F9E6995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5FF16127"/>
    <w:multiLevelType w:val="hybridMultilevel"/>
    <w:tmpl w:val="3EAA9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5FFB6176"/>
    <w:multiLevelType w:val="hybridMultilevel"/>
    <w:tmpl w:val="53FA1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1C62B75"/>
    <w:multiLevelType w:val="multilevel"/>
    <w:tmpl w:val="BC0A7BFA"/>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Arial" w:hAnsi="Arial" w:hint="default"/>
        <w:color w:val="EEECE1" w:themeColor="background2"/>
      </w:rPr>
    </w:lvl>
    <w:lvl w:ilvl="2">
      <w:start w:val="1"/>
      <w:numFmt w:val="bullet"/>
      <w:lvlText w:val=""/>
      <w:lvlJc w:val="left"/>
      <w:pPr>
        <w:ind w:left="284" w:firstLine="283"/>
      </w:pPr>
      <w:rPr>
        <w:rFonts w:ascii="Wingdings" w:hAnsi="Wingdings" w:hint="default"/>
        <w:color w:val="EEECE1" w:themeColor="background2"/>
      </w:rPr>
    </w:lvl>
    <w:lvl w:ilvl="3">
      <w:start w:val="1"/>
      <w:numFmt w:val="none"/>
      <w:lvlRestart w:val="0"/>
      <w:lvlText w:val=""/>
      <w:lvlJc w:val="left"/>
      <w:pPr>
        <w:tabs>
          <w:tab w:val="num" w:pos="567"/>
        </w:tabs>
        <w:ind w:left="284" w:firstLine="283"/>
      </w:pPr>
      <w:rPr>
        <w:rFonts w:hint="default"/>
      </w:rPr>
    </w:lvl>
    <w:lvl w:ilvl="4">
      <w:start w:val="1"/>
      <w:numFmt w:val="none"/>
      <w:lvlRestart w:val="0"/>
      <w:lvlText w:val=""/>
      <w:lvlJc w:val="left"/>
      <w:pPr>
        <w:tabs>
          <w:tab w:val="num" w:pos="567"/>
        </w:tabs>
        <w:ind w:left="284" w:firstLine="283"/>
      </w:pPr>
      <w:rPr>
        <w:rFonts w:hint="default"/>
      </w:rPr>
    </w:lvl>
    <w:lvl w:ilvl="5">
      <w:start w:val="1"/>
      <w:numFmt w:val="none"/>
      <w:lvlRestart w:val="0"/>
      <w:lvlText w:val=""/>
      <w:lvlJc w:val="left"/>
      <w:pPr>
        <w:tabs>
          <w:tab w:val="num" w:pos="567"/>
        </w:tabs>
        <w:ind w:left="284" w:firstLine="283"/>
      </w:pPr>
      <w:rPr>
        <w:rFonts w:hint="default"/>
      </w:rPr>
    </w:lvl>
    <w:lvl w:ilvl="6">
      <w:start w:val="1"/>
      <w:numFmt w:val="none"/>
      <w:lvlRestart w:val="0"/>
      <w:lvlText w:val=""/>
      <w:lvlJc w:val="left"/>
      <w:pPr>
        <w:tabs>
          <w:tab w:val="num" w:pos="567"/>
        </w:tabs>
        <w:ind w:left="284" w:firstLine="283"/>
      </w:pPr>
      <w:rPr>
        <w:rFonts w:hint="default"/>
      </w:rPr>
    </w:lvl>
    <w:lvl w:ilvl="7">
      <w:start w:val="1"/>
      <w:numFmt w:val="none"/>
      <w:lvlRestart w:val="0"/>
      <w:lvlText w:val=""/>
      <w:lvlJc w:val="left"/>
      <w:pPr>
        <w:tabs>
          <w:tab w:val="num" w:pos="567"/>
        </w:tabs>
        <w:ind w:left="284" w:firstLine="283"/>
      </w:pPr>
      <w:rPr>
        <w:rFonts w:hint="default"/>
      </w:rPr>
    </w:lvl>
    <w:lvl w:ilvl="8">
      <w:start w:val="1"/>
      <w:numFmt w:val="none"/>
      <w:lvlRestart w:val="0"/>
      <w:lvlText w:val=""/>
      <w:lvlJc w:val="left"/>
      <w:pPr>
        <w:tabs>
          <w:tab w:val="num" w:pos="567"/>
        </w:tabs>
        <w:ind w:left="284" w:firstLine="283"/>
      </w:pPr>
      <w:rPr>
        <w:rFonts w:hint="default"/>
      </w:rPr>
    </w:lvl>
  </w:abstractNum>
  <w:abstractNum w:abstractNumId="136" w15:restartNumberingAfterBreak="0">
    <w:nsid w:val="62B45D2B"/>
    <w:multiLevelType w:val="hybridMultilevel"/>
    <w:tmpl w:val="572A3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2E006D4"/>
    <w:multiLevelType w:val="hybridMultilevel"/>
    <w:tmpl w:val="6A34C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559522D"/>
    <w:multiLevelType w:val="hybridMultilevel"/>
    <w:tmpl w:val="2B442C54"/>
    <w:name w:val="paBulletsReport2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5B227F8"/>
    <w:multiLevelType w:val="hybridMultilevel"/>
    <w:tmpl w:val="133EB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66884BE3"/>
    <w:multiLevelType w:val="hybridMultilevel"/>
    <w:tmpl w:val="F7D44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6E70B6B"/>
    <w:multiLevelType w:val="hybridMultilevel"/>
    <w:tmpl w:val="543AB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7236D4A"/>
    <w:multiLevelType w:val="hybridMultilevel"/>
    <w:tmpl w:val="4A169B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6814038B"/>
    <w:multiLevelType w:val="multilevel"/>
    <w:tmpl w:val="6A48E7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15:restartNumberingAfterBreak="0">
    <w:nsid w:val="68606BE1"/>
    <w:multiLevelType w:val="multilevel"/>
    <w:tmpl w:val="AB78AE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15:restartNumberingAfterBreak="0">
    <w:nsid w:val="69484D5A"/>
    <w:multiLevelType w:val="hybridMultilevel"/>
    <w:tmpl w:val="6AEA3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69733946"/>
    <w:multiLevelType w:val="hybridMultilevel"/>
    <w:tmpl w:val="CB389C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B6F5950"/>
    <w:multiLevelType w:val="hybridMultilevel"/>
    <w:tmpl w:val="557834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8" w15:restartNumberingAfterBreak="0">
    <w:nsid w:val="6D0646D7"/>
    <w:multiLevelType w:val="hybridMultilevel"/>
    <w:tmpl w:val="DA70A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6D4D7A9E"/>
    <w:multiLevelType w:val="hybridMultilevel"/>
    <w:tmpl w:val="A852D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E0A3FB4"/>
    <w:multiLevelType w:val="hybridMultilevel"/>
    <w:tmpl w:val="310E44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E8D6D5C"/>
    <w:multiLevelType w:val="hybridMultilevel"/>
    <w:tmpl w:val="58004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ED3726D"/>
    <w:multiLevelType w:val="hybridMultilevel"/>
    <w:tmpl w:val="04B4D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F683DCA"/>
    <w:multiLevelType w:val="hybridMultilevel"/>
    <w:tmpl w:val="5F1C2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6FBE1493"/>
    <w:multiLevelType w:val="hybridMultilevel"/>
    <w:tmpl w:val="E97AA602"/>
    <w:lvl w:ilvl="0" w:tplc="08090001">
      <w:start w:val="1"/>
      <w:numFmt w:val="bullet"/>
      <w:lvlText w:val=""/>
      <w:lvlJc w:val="left"/>
      <w:pPr>
        <w:ind w:left="84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5" w15:restartNumberingAfterBreak="0">
    <w:nsid w:val="701225FD"/>
    <w:multiLevelType w:val="hybridMultilevel"/>
    <w:tmpl w:val="CC08DE74"/>
    <w:lvl w:ilvl="0" w:tplc="BD089528">
      <w:start w:val="1"/>
      <w:numFmt w:val="decimal"/>
      <w:lvlText w:val="%1."/>
      <w:lvlJc w:val="left"/>
      <w:pPr>
        <w:ind w:left="506" w:hanging="360"/>
      </w:pPr>
      <w:rPr>
        <w:rFonts w:hint="default"/>
      </w:rPr>
    </w:lvl>
    <w:lvl w:ilvl="1" w:tplc="08090019" w:tentative="1">
      <w:start w:val="1"/>
      <w:numFmt w:val="lowerLetter"/>
      <w:lvlText w:val="%2."/>
      <w:lvlJc w:val="left"/>
      <w:pPr>
        <w:ind w:left="1226" w:hanging="360"/>
      </w:pPr>
    </w:lvl>
    <w:lvl w:ilvl="2" w:tplc="0809001B" w:tentative="1">
      <w:start w:val="1"/>
      <w:numFmt w:val="lowerRoman"/>
      <w:lvlText w:val="%3."/>
      <w:lvlJc w:val="right"/>
      <w:pPr>
        <w:ind w:left="1946" w:hanging="180"/>
      </w:pPr>
    </w:lvl>
    <w:lvl w:ilvl="3" w:tplc="0809000F" w:tentative="1">
      <w:start w:val="1"/>
      <w:numFmt w:val="decimal"/>
      <w:lvlText w:val="%4."/>
      <w:lvlJc w:val="left"/>
      <w:pPr>
        <w:ind w:left="2666" w:hanging="360"/>
      </w:pPr>
    </w:lvl>
    <w:lvl w:ilvl="4" w:tplc="08090019" w:tentative="1">
      <w:start w:val="1"/>
      <w:numFmt w:val="lowerLetter"/>
      <w:lvlText w:val="%5."/>
      <w:lvlJc w:val="left"/>
      <w:pPr>
        <w:ind w:left="3386" w:hanging="360"/>
      </w:pPr>
    </w:lvl>
    <w:lvl w:ilvl="5" w:tplc="0809001B" w:tentative="1">
      <w:start w:val="1"/>
      <w:numFmt w:val="lowerRoman"/>
      <w:lvlText w:val="%6."/>
      <w:lvlJc w:val="right"/>
      <w:pPr>
        <w:ind w:left="4106" w:hanging="180"/>
      </w:pPr>
    </w:lvl>
    <w:lvl w:ilvl="6" w:tplc="0809000F" w:tentative="1">
      <w:start w:val="1"/>
      <w:numFmt w:val="decimal"/>
      <w:lvlText w:val="%7."/>
      <w:lvlJc w:val="left"/>
      <w:pPr>
        <w:ind w:left="4826" w:hanging="360"/>
      </w:pPr>
    </w:lvl>
    <w:lvl w:ilvl="7" w:tplc="08090019" w:tentative="1">
      <w:start w:val="1"/>
      <w:numFmt w:val="lowerLetter"/>
      <w:lvlText w:val="%8."/>
      <w:lvlJc w:val="left"/>
      <w:pPr>
        <w:ind w:left="5546" w:hanging="360"/>
      </w:pPr>
    </w:lvl>
    <w:lvl w:ilvl="8" w:tplc="0809001B" w:tentative="1">
      <w:start w:val="1"/>
      <w:numFmt w:val="lowerRoman"/>
      <w:lvlText w:val="%9."/>
      <w:lvlJc w:val="right"/>
      <w:pPr>
        <w:ind w:left="6266" w:hanging="180"/>
      </w:pPr>
    </w:lvl>
  </w:abstractNum>
  <w:abstractNum w:abstractNumId="156" w15:restartNumberingAfterBreak="0">
    <w:nsid w:val="72562411"/>
    <w:multiLevelType w:val="hybridMultilevel"/>
    <w:tmpl w:val="A768B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2980EE5"/>
    <w:multiLevelType w:val="hybridMultilevel"/>
    <w:tmpl w:val="3224D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2AB4D41"/>
    <w:multiLevelType w:val="hybridMultilevel"/>
    <w:tmpl w:val="DC82E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3955CA9"/>
    <w:multiLevelType w:val="hybridMultilevel"/>
    <w:tmpl w:val="27625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40248F5"/>
    <w:multiLevelType w:val="hybridMultilevel"/>
    <w:tmpl w:val="B26EB9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1" w15:restartNumberingAfterBreak="0">
    <w:nsid w:val="76EC0A0C"/>
    <w:multiLevelType w:val="hybridMultilevel"/>
    <w:tmpl w:val="18EED142"/>
    <w:name w:val="paBulletsReport2322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81055BF"/>
    <w:multiLevelType w:val="hybridMultilevel"/>
    <w:tmpl w:val="ACD4AE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83E38F4"/>
    <w:multiLevelType w:val="hybridMultilevel"/>
    <w:tmpl w:val="3DF2C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9AA4C51"/>
    <w:multiLevelType w:val="hybridMultilevel"/>
    <w:tmpl w:val="CC08DE74"/>
    <w:lvl w:ilvl="0" w:tplc="BD089528">
      <w:start w:val="1"/>
      <w:numFmt w:val="decimal"/>
      <w:lvlText w:val="%1."/>
      <w:lvlJc w:val="left"/>
      <w:pPr>
        <w:ind w:left="506" w:hanging="360"/>
      </w:pPr>
      <w:rPr>
        <w:rFonts w:hint="default"/>
      </w:rPr>
    </w:lvl>
    <w:lvl w:ilvl="1" w:tplc="08090019" w:tentative="1">
      <w:start w:val="1"/>
      <w:numFmt w:val="lowerLetter"/>
      <w:lvlText w:val="%2."/>
      <w:lvlJc w:val="left"/>
      <w:pPr>
        <w:ind w:left="1226" w:hanging="360"/>
      </w:pPr>
    </w:lvl>
    <w:lvl w:ilvl="2" w:tplc="0809001B" w:tentative="1">
      <w:start w:val="1"/>
      <w:numFmt w:val="lowerRoman"/>
      <w:lvlText w:val="%3."/>
      <w:lvlJc w:val="right"/>
      <w:pPr>
        <w:ind w:left="1946" w:hanging="180"/>
      </w:pPr>
    </w:lvl>
    <w:lvl w:ilvl="3" w:tplc="0809000F" w:tentative="1">
      <w:start w:val="1"/>
      <w:numFmt w:val="decimal"/>
      <w:lvlText w:val="%4."/>
      <w:lvlJc w:val="left"/>
      <w:pPr>
        <w:ind w:left="2666" w:hanging="360"/>
      </w:pPr>
    </w:lvl>
    <w:lvl w:ilvl="4" w:tplc="08090019" w:tentative="1">
      <w:start w:val="1"/>
      <w:numFmt w:val="lowerLetter"/>
      <w:lvlText w:val="%5."/>
      <w:lvlJc w:val="left"/>
      <w:pPr>
        <w:ind w:left="3386" w:hanging="360"/>
      </w:pPr>
    </w:lvl>
    <w:lvl w:ilvl="5" w:tplc="0809001B" w:tentative="1">
      <w:start w:val="1"/>
      <w:numFmt w:val="lowerRoman"/>
      <w:lvlText w:val="%6."/>
      <w:lvlJc w:val="right"/>
      <w:pPr>
        <w:ind w:left="4106" w:hanging="180"/>
      </w:pPr>
    </w:lvl>
    <w:lvl w:ilvl="6" w:tplc="0809000F" w:tentative="1">
      <w:start w:val="1"/>
      <w:numFmt w:val="decimal"/>
      <w:lvlText w:val="%7."/>
      <w:lvlJc w:val="left"/>
      <w:pPr>
        <w:ind w:left="4826" w:hanging="360"/>
      </w:pPr>
    </w:lvl>
    <w:lvl w:ilvl="7" w:tplc="08090019" w:tentative="1">
      <w:start w:val="1"/>
      <w:numFmt w:val="lowerLetter"/>
      <w:lvlText w:val="%8."/>
      <w:lvlJc w:val="left"/>
      <w:pPr>
        <w:ind w:left="5546" w:hanging="360"/>
      </w:pPr>
    </w:lvl>
    <w:lvl w:ilvl="8" w:tplc="0809001B" w:tentative="1">
      <w:start w:val="1"/>
      <w:numFmt w:val="lowerRoman"/>
      <w:lvlText w:val="%9."/>
      <w:lvlJc w:val="right"/>
      <w:pPr>
        <w:ind w:left="6266" w:hanging="180"/>
      </w:pPr>
    </w:lvl>
  </w:abstractNum>
  <w:abstractNum w:abstractNumId="165" w15:restartNumberingAfterBreak="0">
    <w:nsid w:val="7AFB5204"/>
    <w:multiLevelType w:val="hybridMultilevel"/>
    <w:tmpl w:val="34AAD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BE7137F"/>
    <w:multiLevelType w:val="hybridMultilevel"/>
    <w:tmpl w:val="2C169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D4A5623"/>
    <w:multiLevelType w:val="hybridMultilevel"/>
    <w:tmpl w:val="9FEA6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7EA260F3"/>
    <w:multiLevelType w:val="hybridMultilevel"/>
    <w:tmpl w:val="45680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7FB943B5"/>
    <w:multiLevelType w:val="hybridMultilevel"/>
    <w:tmpl w:val="076646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7FCE56F1"/>
    <w:multiLevelType w:val="multilevel"/>
    <w:tmpl w:val="6A48E7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1" w15:restartNumberingAfterBreak="0">
    <w:nsid w:val="7FD97BB8"/>
    <w:multiLevelType w:val="hybridMultilevel"/>
    <w:tmpl w:val="1CB25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7FFA7884"/>
    <w:multiLevelType w:val="hybridMultilevel"/>
    <w:tmpl w:val="C8C23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EE2E1264">
      <w:start w:val="4"/>
      <w:numFmt w:val="bullet"/>
      <w:lvlText w:val="•"/>
      <w:lvlJc w:val="left"/>
      <w:pPr>
        <w:ind w:left="2160" w:hanging="36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8"/>
  </w:num>
  <w:num w:numId="2">
    <w:abstractNumId w:val="12"/>
  </w:num>
  <w:num w:numId="3">
    <w:abstractNumId w:val="144"/>
  </w:num>
  <w:num w:numId="4">
    <w:abstractNumId w:val="146"/>
  </w:num>
  <w:num w:numId="5">
    <w:abstractNumId w:val="150"/>
  </w:num>
  <w:num w:numId="6">
    <w:abstractNumId w:val="105"/>
  </w:num>
  <w:num w:numId="7">
    <w:abstractNumId w:val="141"/>
  </w:num>
  <w:num w:numId="8">
    <w:abstractNumId w:val="130"/>
  </w:num>
  <w:num w:numId="9">
    <w:abstractNumId w:val="172"/>
  </w:num>
  <w:num w:numId="10">
    <w:abstractNumId w:val="86"/>
  </w:num>
  <w:num w:numId="11">
    <w:abstractNumId w:val="153"/>
  </w:num>
  <w:num w:numId="12">
    <w:abstractNumId w:val="134"/>
  </w:num>
  <w:num w:numId="13">
    <w:abstractNumId w:val="148"/>
  </w:num>
  <w:num w:numId="14">
    <w:abstractNumId w:val="0"/>
  </w:num>
  <w:num w:numId="15">
    <w:abstractNumId w:val="10"/>
  </w:num>
  <w:num w:numId="16">
    <w:abstractNumId w:val="131"/>
  </w:num>
  <w:num w:numId="17">
    <w:abstractNumId w:val="48"/>
  </w:num>
  <w:num w:numId="18">
    <w:abstractNumId w:val="132"/>
  </w:num>
  <w:num w:numId="19">
    <w:abstractNumId w:val="4"/>
  </w:num>
  <w:num w:numId="20">
    <w:abstractNumId w:val="142"/>
  </w:num>
  <w:num w:numId="21">
    <w:abstractNumId w:val="166"/>
  </w:num>
  <w:num w:numId="2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1"/>
  </w:num>
  <w:num w:numId="24">
    <w:abstractNumId w:val="127"/>
  </w:num>
  <w:num w:numId="25">
    <w:abstractNumId w:val="62"/>
  </w:num>
  <w:num w:numId="26">
    <w:abstractNumId w:val="20"/>
  </w:num>
  <w:num w:numId="27">
    <w:abstractNumId w:val="111"/>
  </w:num>
  <w:num w:numId="28">
    <w:abstractNumId w:val="102"/>
  </w:num>
  <w:num w:numId="29">
    <w:abstractNumId w:val="56"/>
  </w:num>
  <w:num w:numId="30">
    <w:abstractNumId w:val="113"/>
  </w:num>
  <w:num w:numId="31">
    <w:abstractNumId w:val="85"/>
  </w:num>
  <w:num w:numId="32">
    <w:abstractNumId w:val="45"/>
  </w:num>
  <w:num w:numId="33">
    <w:abstractNumId w:val="4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7"/>
  </w:num>
  <w:num w:numId="38">
    <w:abstractNumId w:val="160"/>
  </w:num>
  <w:num w:numId="39">
    <w:abstractNumId w:val="119"/>
  </w:num>
  <w:num w:numId="40">
    <w:abstractNumId w:val="156"/>
  </w:num>
  <w:num w:numId="41">
    <w:abstractNumId w:val="23"/>
  </w:num>
  <w:num w:numId="42">
    <w:abstractNumId w:val="29"/>
  </w:num>
  <w:num w:numId="43">
    <w:abstractNumId w:val="121"/>
  </w:num>
  <w:num w:numId="44">
    <w:abstractNumId w:val="14"/>
  </w:num>
  <w:num w:numId="45">
    <w:abstractNumId w:val="117"/>
  </w:num>
  <w:num w:numId="46">
    <w:abstractNumId w:val="44"/>
  </w:num>
  <w:num w:numId="47">
    <w:abstractNumId w:val="26"/>
  </w:num>
  <w:num w:numId="48">
    <w:abstractNumId w:val="1"/>
  </w:num>
  <w:num w:numId="49">
    <w:abstractNumId w:val="38"/>
  </w:num>
  <w:num w:numId="50">
    <w:abstractNumId w:val="69"/>
  </w:num>
  <w:num w:numId="51">
    <w:abstractNumId w:val="92"/>
  </w:num>
  <w:num w:numId="52">
    <w:abstractNumId w:val="47"/>
  </w:num>
  <w:num w:numId="53">
    <w:abstractNumId w:val="43"/>
  </w:num>
  <w:num w:numId="54">
    <w:abstractNumId w:val="136"/>
  </w:num>
  <w:num w:numId="55">
    <w:abstractNumId w:val="165"/>
  </w:num>
  <w:num w:numId="56">
    <w:abstractNumId w:val="91"/>
  </w:num>
  <w:num w:numId="57">
    <w:abstractNumId w:val="167"/>
  </w:num>
  <w:num w:numId="58">
    <w:abstractNumId w:val="151"/>
  </w:num>
  <w:num w:numId="59">
    <w:abstractNumId w:val="125"/>
  </w:num>
  <w:num w:numId="60">
    <w:abstractNumId w:val="28"/>
  </w:num>
  <w:num w:numId="61">
    <w:abstractNumId w:val="143"/>
  </w:num>
  <w:num w:numId="62">
    <w:abstractNumId w:val="5"/>
  </w:num>
  <w:num w:numId="63">
    <w:abstractNumId w:val="77"/>
  </w:num>
  <w:num w:numId="64">
    <w:abstractNumId w:val="170"/>
  </w:num>
  <w:num w:numId="65">
    <w:abstractNumId w:val="53"/>
  </w:num>
  <w:num w:numId="66">
    <w:abstractNumId w:val="40"/>
  </w:num>
  <w:num w:numId="67">
    <w:abstractNumId w:val="61"/>
  </w:num>
  <w:num w:numId="68">
    <w:abstractNumId w:val="129"/>
  </w:num>
  <w:num w:numId="69">
    <w:abstractNumId w:val="96"/>
  </w:num>
  <w:num w:numId="70">
    <w:abstractNumId w:val="106"/>
  </w:num>
  <w:num w:numId="71">
    <w:abstractNumId w:val="42"/>
  </w:num>
  <w:num w:numId="72">
    <w:abstractNumId w:val="7"/>
  </w:num>
  <w:num w:numId="73">
    <w:abstractNumId w:val="59"/>
  </w:num>
  <w:num w:numId="74">
    <w:abstractNumId w:val="13"/>
  </w:num>
  <w:num w:numId="75">
    <w:abstractNumId w:val="163"/>
  </w:num>
  <w:num w:numId="76">
    <w:abstractNumId w:val="139"/>
  </w:num>
  <w:num w:numId="77">
    <w:abstractNumId w:val="66"/>
  </w:num>
  <w:num w:numId="78">
    <w:abstractNumId w:val="49"/>
  </w:num>
  <w:num w:numId="79">
    <w:abstractNumId w:val="73"/>
  </w:num>
  <w:num w:numId="80">
    <w:abstractNumId w:val="99"/>
  </w:num>
  <w:num w:numId="81">
    <w:abstractNumId w:val="97"/>
  </w:num>
  <w:num w:numId="82">
    <w:abstractNumId w:val="112"/>
  </w:num>
  <w:num w:numId="83">
    <w:abstractNumId w:val="54"/>
  </w:num>
  <w:num w:numId="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4"/>
  </w:num>
  <w:num w:numId="86">
    <w:abstractNumId w:val="35"/>
  </w:num>
  <w:num w:numId="87">
    <w:abstractNumId w:val="89"/>
  </w:num>
  <w:num w:numId="88">
    <w:abstractNumId w:val="154"/>
  </w:num>
  <w:num w:numId="89">
    <w:abstractNumId w:val="52"/>
  </w:num>
  <w:num w:numId="90">
    <w:abstractNumId w:val="25"/>
  </w:num>
  <w:num w:numId="91">
    <w:abstractNumId w:val="60"/>
  </w:num>
  <w:num w:numId="92">
    <w:abstractNumId w:val="37"/>
  </w:num>
  <w:num w:numId="93">
    <w:abstractNumId w:val="82"/>
  </w:num>
  <w:num w:numId="94">
    <w:abstractNumId w:val="124"/>
  </w:num>
  <w:num w:numId="95">
    <w:abstractNumId w:val="16"/>
  </w:num>
  <w:num w:numId="96">
    <w:abstractNumId w:val="51"/>
  </w:num>
  <w:num w:numId="97">
    <w:abstractNumId w:val="98"/>
  </w:num>
  <w:num w:numId="98">
    <w:abstractNumId w:val="39"/>
  </w:num>
  <w:num w:numId="99">
    <w:abstractNumId w:val="2"/>
  </w:num>
  <w:num w:numId="100">
    <w:abstractNumId w:val="11"/>
  </w:num>
  <w:num w:numId="101">
    <w:abstractNumId w:val="78"/>
  </w:num>
  <w:num w:numId="102">
    <w:abstractNumId w:val="17"/>
  </w:num>
  <w:num w:numId="103">
    <w:abstractNumId w:val="128"/>
  </w:num>
  <w:num w:numId="104">
    <w:abstractNumId w:val="81"/>
  </w:num>
  <w:num w:numId="105">
    <w:abstractNumId w:val="145"/>
  </w:num>
  <w:num w:numId="106">
    <w:abstractNumId w:val="88"/>
  </w:num>
  <w:num w:numId="107">
    <w:abstractNumId w:val="22"/>
  </w:num>
  <w:num w:numId="108">
    <w:abstractNumId w:val="116"/>
  </w:num>
  <w:num w:numId="109">
    <w:abstractNumId w:val="93"/>
  </w:num>
  <w:num w:numId="110">
    <w:abstractNumId w:val="133"/>
  </w:num>
  <w:num w:numId="111">
    <w:abstractNumId w:val="162"/>
  </w:num>
  <w:num w:numId="112">
    <w:abstractNumId w:val="24"/>
  </w:num>
  <w:num w:numId="113">
    <w:abstractNumId w:val="67"/>
  </w:num>
  <w:num w:numId="114">
    <w:abstractNumId w:val="76"/>
  </w:num>
  <w:num w:numId="115">
    <w:abstractNumId w:val="171"/>
  </w:num>
  <w:num w:numId="116">
    <w:abstractNumId w:val="55"/>
  </w:num>
  <w:num w:numId="117">
    <w:abstractNumId w:val="104"/>
  </w:num>
  <w:num w:numId="118">
    <w:abstractNumId w:val="114"/>
  </w:num>
  <w:num w:numId="119">
    <w:abstractNumId w:val="95"/>
  </w:num>
  <w:num w:numId="120">
    <w:abstractNumId w:val="140"/>
  </w:num>
  <w:num w:numId="121">
    <w:abstractNumId w:val="50"/>
  </w:num>
  <w:num w:numId="122">
    <w:abstractNumId w:val="100"/>
  </w:num>
  <w:num w:numId="123">
    <w:abstractNumId w:val="27"/>
  </w:num>
  <w:num w:numId="124">
    <w:abstractNumId w:val="108"/>
  </w:num>
  <w:num w:numId="125">
    <w:abstractNumId w:val="157"/>
  </w:num>
  <w:num w:numId="126">
    <w:abstractNumId w:val="159"/>
  </w:num>
  <w:num w:numId="127">
    <w:abstractNumId w:val="71"/>
  </w:num>
  <w:num w:numId="128">
    <w:abstractNumId w:val="94"/>
  </w:num>
  <w:num w:numId="129">
    <w:abstractNumId w:val="118"/>
  </w:num>
  <w:num w:numId="130">
    <w:abstractNumId w:val="152"/>
  </w:num>
  <w:num w:numId="131">
    <w:abstractNumId w:val="70"/>
  </w:num>
  <w:num w:numId="132">
    <w:abstractNumId w:val="90"/>
  </w:num>
  <w:num w:numId="133">
    <w:abstractNumId w:val="75"/>
  </w:num>
  <w:num w:numId="134">
    <w:abstractNumId w:val="122"/>
  </w:num>
  <w:num w:numId="135">
    <w:abstractNumId w:val="6"/>
  </w:num>
  <w:num w:numId="136">
    <w:abstractNumId w:val="65"/>
  </w:num>
  <w:num w:numId="137">
    <w:abstractNumId w:val="135"/>
  </w:num>
  <w:num w:numId="138">
    <w:abstractNumId w:val="64"/>
  </w:num>
  <w:num w:numId="139">
    <w:abstractNumId w:val="138"/>
  </w:num>
  <w:num w:numId="140">
    <w:abstractNumId w:val="9"/>
  </w:num>
  <w:num w:numId="141">
    <w:abstractNumId w:val="123"/>
  </w:num>
  <w:num w:numId="142">
    <w:abstractNumId w:val="161"/>
  </w:num>
  <w:num w:numId="143">
    <w:abstractNumId w:val="83"/>
  </w:num>
  <w:num w:numId="144">
    <w:abstractNumId w:val="158"/>
  </w:num>
  <w:num w:numId="145">
    <w:abstractNumId w:val="115"/>
  </w:num>
  <w:num w:numId="146">
    <w:abstractNumId w:val="168"/>
  </w:num>
  <w:num w:numId="147">
    <w:abstractNumId w:val="31"/>
  </w:num>
  <w:num w:numId="148">
    <w:abstractNumId w:val="19"/>
  </w:num>
  <w:num w:numId="149">
    <w:abstractNumId w:val="21"/>
  </w:num>
  <w:num w:numId="150">
    <w:abstractNumId w:val="169"/>
  </w:num>
  <w:num w:numId="151">
    <w:abstractNumId w:val="149"/>
  </w:num>
  <w:num w:numId="152">
    <w:abstractNumId w:val="32"/>
  </w:num>
  <w:num w:numId="153">
    <w:abstractNumId w:val="72"/>
  </w:num>
  <w:num w:numId="154">
    <w:abstractNumId w:val="8"/>
  </w:num>
  <w:num w:numId="155">
    <w:abstractNumId w:val="164"/>
  </w:num>
  <w:num w:numId="156">
    <w:abstractNumId w:val="15"/>
  </w:num>
  <w:num w:numId="157">
    <w:abstractNumId w:val="30"/>
  </w:num>
  <w:num w:numId="158">
    <w:abstractNumId w:val="110"/>
  </w:num>
  <w:num w:numId="159">
    <w:abstractNumId w:val="63"/>
  </w:num>
  <w:num w:numId="160">
    <w:abstractNumId w:val="58"/>
  </w:num>
  <w:num w:numId="161">
    <w:abstractNumId w:val="155"/>
  </w:num>
  <w:num w:numId="162">
    <w:abstractNumId w:val="46"/>
  </w:num>
  <w:num w:numId="163">
    <w:abstractNumId w:val="87"/>
  </w:num>
  <w:num w:numId="164">
    <w:abstractNumId w:val="84"/>
  </w:num>
  <w:num w:numId="165">
    <w:abstractNumId w:val="80"/>
  </w:num>
  <w:num w:numId="166">
    <w:abstractNumId w:val="103"/>
  </w:num>
  <w:num w:numId="16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37"/>
  </w:num>
  <w:num w:numId="169">
    <w:abstractNumId w:val="36"/>
  </w:num>
  <w:num w:numId="170">
    <w:abstractNumId w:val="41"/>
  </w:num>
  <w:num w:numId="171">
    <w:abstractNumId w:val="109"/>
  </w:num>
  <w:num w:numId="172">
    <w:abstractNumId w:val="126"/>
  </w:num>
  <w:num w:numId="173">
    <w:abstractNumId w:val="79"/>
  </w:num>
  <w:num w:numId="174">
    <w:abstractNumId w:val="107"/>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trackRevision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998"/>
    <w:rsid w:val="00000E8A"/>
    <w:rsid w:val="00003D59"/>
    <w:rsid w:val="00004A66"/>
    <w:rsid w:val="0000509E"/>
    <w:rsid w:val="00005C69"/>
    <w:rsid w:val="00011FCA"/>
    <w:rsid w:val="00014436"/>
    <w:rsid w:val="000179CF"/>
    <w:rsid w:val="00033CAE"/>
    <w:rsid w:val="0003510F"/>
    <w:rsid w:val="00035D62"/>
    <w:rsid w:val="00036866"/>
    <w:rsid w:val="0004407D"/>
    <w:rsid w:val="00044DCA"/>
    <w:rsid w:val="0004656C"/>
    <w:rsid w:val="00051B2F"/>
    <w:rsid w:val="00052E90"/>
    <w:rsid w:val="000577C0"/>
    <w:rsid w:val="00060745"/>
    <w:rsid w:val="000614A5"/>
    <w:rsid w:val="0006225E"/>
    <w:rsid w:val="00062436"/>
    <w:rsid w:val="00064AA9"/>
    <w:rsid w:val="00065B33"/>
    <w:rsid w:val="000704F2"/>
    <w:rsid w:val="000711AF"/>
    <w:rsid w:val="00074F03"/>
    <w:rsid w:val="00077EDB"/>
    <w:rsid w:val="0008564F"/>
    <w:rsid w:val="00087085"/>
    <w:rsid w:val="00087BB7"/>
    <w:rsid w:val="000905EB"/>
    <w:rsid w:val="0009186B"/>
    <w:rsid w:val="00091AE2"/>
    <w:rsid w:val="0009374F"/>
    <w:rsid w:val="0009536B"/>
    <w:rsid w:val="000A00F8"/>
    <w:rsid w:val="000A18C4"/>
    <w:rsid w:val="000A6668"/>
    <w:rsid w:val="000B300C"/>
    <w:rsid w:val="000B3914"/>
    <w:rsid w:val="000B3991"/>
    <w:rsid w:val="000C0D70"/>
    <w:rsid w:val="000C4B79"/>
    <w:rsid w:val="000C6AFE"/>
    <w:rsid w:val="000C6CD9"/>
    <w:rsid w:val="000C6EFF"/>
    <w:rsid w:val="000D05E5"/>
    <w:rsid w:val="000D0D24"/>
    <w:rsid w:val="000D1B66"/>
    <w:rsid w:val="000D3E1E"/>
    <w:rsid w:val="000D6864"/>
    <w:rsid w:val="000D7088"/>
    <w:rsid w:val="000D7344"/>
    <w:rsid w:val="000D7ECF"/>
    <w:rsid w:val="000E08B9"/>
    <w:rsid w:val="000E5E41"/>
    <w:rsid w:val="000E5EF3"/>
    <w:rsid w:val="000E6ECA"/>
    <w:rsid w:val="000E6ECB"/>
    <w:rsid w:val="000F1019"/>
    <w:rsid w:val="000F2C8A"/>
    <w:rsid w:val="000F5130"/>
    <w:rsid w:val="000F6F3A"/>
    <w:rsid w:val="001017B9"/>
    <w:rsid w:val="00104C9A"/>
    <w:rsid w:val="0011033C"/>
    <w:rsid w:val="001128C7"/>
    <w:rsid w:val="00120310"/>
    <w:rsid w:val="00123A60"/>
    <w:rsid w:val="00123B30"/>
    <w:rsid w:val="001249D5"/>
    <w:rsid w:val="00125628"/>
    <w:rsid w:val="00127D77"/>
    <w:rsid w:val="001305A9"/>
    <w:rsid w:val="00135293"/>
    <w:rsid w:val="0013612A"/>
    <w:rsid w:val="00137A2D"/>
    <w:rsid w:val="00142B4C"/>
    <w:rsid w:val="00144711"/>
    <w:rsid w:val="001509CB"/>
    <w:rsid w:val="00151E4E"/>
    <w:rsid w:val="001537D6"/>
    <w:rsid w:val="001554D1"/>
    <w:rsid w:val="00156CB3"/>
    <w:rsid w:val="00157376"/>
    <w:rsid w:val="00157C23"/>
    <w:rsid w:val="00160E68"/>
    <w:rsid w:val="00166F33"/>
    <w:rsid w:val="0017200E"/>
    <w:rsid w:val="00176D42"/>
    <w:rsid w:val="001778AD"/>
    <w:rsid w:val="00181673"/>
    <w:rsid w:val="00181896"/>
    <w:rsid w:val="00183B32"/>
    <w:rsid w:val="00184F1A"/>
    <w:rsid w:val="0018544C"/>
    <w:rsid w:val="00186E6D"/>
    <w:rsid w:val="001871DB"/>
    <w:rsid w:val="00190084"/>
    <w:rsid w:val="00192F60"/>
    <w:rsid w:val="00193156"/>
    <w:rsid w:val="001936F8"/>
    <w:rsid w:val="00193E8D"/>
    <w:rsid w:val="00195E7F"/>
    <w:rsid w:val="001A00E0"/>
    <w:rsid w:val="001A01D9"/>
    <w:rsid w:val="001A0266"/>
    <w:rsid w:val="001A04F2"/>
    <w:rsid w:val="001A1D6D"/>
    <w:rsid w:val="001A3620"/>
    <w:rsid w:val="001A4B28"/>
    <w:rsid w:val="001A7EE7"/>
    <w:rsid w:val="001B10F0"/>
    <w:rsid w:val="001B545B"/>
    <w:rsid w:val="001B5AB7"/>
    <w:rsid w:val="001B6528"/>
    <w:rsid w:val="001C375E"/>
    <w:rsid w:val="001C60E7"/>
    <w:rsid w:val="001D0A5D"/>
    <w:rsid w:val="001D123C"/>
    <w:rsid w:val="001D19FB"/>
    <w:rsid w:val="001D399B"/>
    <w:rsid w:val="001D702B"/>
    <w:rsid w:val="001D71F5"/>
    <w:rsid w:val="001E1172"/>
    <w:rsid w:val="001E1233"/>
    <w:rsid w:val="001E453F"/>
    <w:rsid w:val="001F1F06"/>
    <w:rsid w:val="00200DE4"/>
    <w:rsid w:val="002058A2"/>
    <w:rsid w:val="0020592A"/>
    <w:rsid w:val="00215A23"/>
    <w:rsid w:val="0021652C"/>
    <w:rsid w:val="002165C3"/>
    <w:rsid w:val="002174A9"/>
    <w:rsid w:val="00221DFF"/>
    <w:rsid w:val="002236F3"/>
    <w:rsid w:val="00224DCA"/>
    <w:rsid w:val="00227765"/>
    <w:rsid w:val="00230041"/>
    <w:rsid w:val="002308D0"/>
    <w:rsid w:val="0023096D"/>
    <w:rsid w:val="00235874"/>
    <w:rsid w:val="00236908"/>
    <w:rsid w:val="002409D6"/>
    <w:rsid w:val="002412EA"/>
    <w:rsid w:val="00241914"/>
    <w:rsid w:val="00245A66"/>
    <w:rsid w:val="00245DAD"/>
    <w:rsid w:val="00246A07"/>
    <w:rsid w:val="00247733"/>
    <w:rsid w:val="00251DD4"/>
    <w:rsid w:val="0025490F"/>
    <w:rsid w:val="0025699F"/>
    <w:rsid w:val="002601DB"/>
    <w:rsid w:val="00260D6D"/>
    <w:rsid w:val="002616DC"/>
    <w:rsid w:val="00265985"/>
    <w:rsid w:val="00266084"/>
    <w:rsid w:val="002664B3"/>
    <w:rsid w:val="00267569"/>
    <w:rsid w:val="0027303E"/>
    <w:rsid w:val="002746F5"/>
    <w:rsid w:val="00275EBF"/>
    <w:rsid w:val="00282E42"/>
    <w:rsid w:val="00285E19"/>
    <w:rsid w:val="00286C7F"/>
    <w:rsid w:val="002936CF"/>
    <w:rsid w:val="0029470F"/>
    <w:rsid w:val="00296889"/>
    <w:rsid w:val="002A0AB7"/>
    <w:rsid w:val="002A17A3"/>
    <w:rsid w:val="002A2B71"/>
    <w:rsid w:val="002A67F1"/>
    <w:rsid w:val="002A7910"/>
    <w:rsid w:val="002B00C3"/>
    <w:rsid w:val="002B0ADF"/>
    <w:rsid w:val="002B2926"/>
    <w:rsid w:val="002B6F60"/>
    <w:rsid w:val="002C2A39"/>
    <w:rsid w:val="002C5245"/>
    <w:rsid w:val="002C66F3"/>
    <w:rsid w:val="002C7769"/>
    <w:rsid w:val="002D03AB"/>
    <w:rsid w:val="002D66A7"/>
    <w:rsid w:val="002D79C2"/>
    <w:rsid w:val="002E1337"/>
    <w:rsid w:val="002E52C2"/>
    <w:rsid w:val="002E6FC3"/>
    <w:rsid w:val="002E7902"/>
    <w:rsid w:val="002F0307"/>
    <w:rsid w:val="002F2DD6"/>
    <w:rsid w:val="002F4789"/>
    <w:rsid w:val="002F47A3"/>
    <w:rsid w:val="002F6F52"/>
    <w:rsid w:val="002F7C36"/>
    <w:rsid w:val="00301DB6"/>
    <w:rsid w:val="003055B8"/>
    <w:rsid w:val="0031255E"/>
    <w:rsid w:val="003128BF"/>
    <w:rsid w:val="003128F4"/>
    <w:rsid w:val="00312C4C"/>
    <w:rsid w:val="00320059"/>
    <w:rsid w:val="0032277A"/>
    <w:rsid w:val="00323D41"/>
    <w:rsid w:val="00326C20"/>
    <w:rsid w:val="003364A1"/>
    <w:rsid w:val="00337FFD"/>
    <w:rsid w:val="00342573"/>
    <w:rsid w:val="003455B8"/>
    <w:rsid w:val="00350138"/>
    <w:rsid w:val="00352F01"/>
    <w:rsid w:val="00353712"/>
    <w:rsid w:val="00354059"/>
    <w:rsid w:val="00366594"/>
    <w:rsid w:val="00372CB9"/>
    <w:rsid w:val="003842E6"/>
    <w:rsid w:val="00384A55"/>
    <w:rsid w:val="00386E1C"/>
    <w:rsid w:val="00391872"/>
    <w:rsid w:val="00392C0A"/>
    <w:rsid w:val="00396599"/>
    <w:rsid w:val="0039722C"/>
    <w:rsid w:val="003A1814"/>
    <w:rsid w:val="003A4E29"/>
    <w:rsid w:val="003A65EB"/>
    <w:rsid w:val="003A7998"/>
    <w:rsid w:val="003B0B86"/>
    <w:rsid w:val="003B14EC"/>
    <w:rsid w:val="003B2095"/>
    <w:rsid w:val="003B2301"/>
    <w:rsid w:val="003B2756"/>
    <w:rsid w:val="003C4F0C"/>
    <w:rsid w:val="003C5DBE"/>
    <w:rsid w:val="003C5DEA"/>
    <w:rsid w:val="003C6908"/>
    <w:rsid w:val="003D00F0"/>
    <w:rsid w:val="003D0D09"/>
    <w:rsid w:val="003D17D2"/>
    <w:rsid w:val="003D2584"/>
    <w:rsid w:val="003D58E4"/>
    <w:rsid w:val="003D5B56"/>
    <w:rsid w:val="003D6701"/>
    <w:rsid w:val="003E24BA"/>
    <w:rsid w:val="003E63DF"/>
    <w:rsid w:val="003E697D"/>
    <w:rsid w:val="003E6C82"/>
    <w:rsid w:val="003F5081"/>
    <w:rsid w:val="003F59F2"/>
    <w:rsid w:val="003F6D7D"/>
    <w:rsid w:val="003F7789"/>
    <w:rsid w:val="0040091E"/>
    <w:rsid w:val="004040D3"/>
    <w:rsid w:val="00407487"/>
    <w:rsid w:val="004078AF"/>
    <w:rsid w:val="0041321F"/>
    <w:rsid w:val="00417687"/>
    <w:rsid w:val="004176DE"/>
    <w:rsid w:val="004248A2"/>
    <w:rsid w:val="00424F45"/>
    <w:rsid w:val="00430812"/>
    <w:rsid w:val="0043133F"/>
    <w:rsid w:val="00432073"/>
    <w:rsid w:val="004350B8"/>
    <w:rsid w:val="00435F56"/>
    <w:rsid w:val="0043755F"/>
    <w:rsid w:val="004424A6"/>
    <w:rsid w:val="00443463"/>
    <w:rsid w:val="004436A8"/>
    <w:rsid w:val="00444EE9"/>
    <w:rsid w:val="004460FC"/>
    <w:rsid w:val="00453EDB"/>
    <w:rsid w:val="004603E9"/>
    <w:rsid w:val="00460412"/>
    <w:rsid w:val="00462B94"/>
    <w:rsid w:val="00466BD8"/>
    <w:rsid w:val="00471966"/>
    <w:rsid w:val="0047556D"/>
    <w:rsid w:val="00481AA3"/>
    <w:rsid w:val="00481D35"/>
    <w:rsid w:val="00485D95"/>
    <w:rsid w:val="00487129"/>
    <w:rsid w:val="004879AA"/>
    <w:rsid w:val="00494792"/>
    <w:rsid w:val="004A6BFA"/>
    <w:rsid w:val="004A7E6A"/>
    <w:rsid w:val="004B4C43"/>
    <w:rsid w:val="004B74F0"/>
    <w:rsid w:val="004B771A"/>
    <w:rsid w:val="004B79A2"/>
    <w:rsid w:val="004C10BD"/>
    <w:rsid w:val="004C688A"/>
    <w:rsid w:val="004D2C8F"/>
    <w:rsid w:val="004D4FA9"/>
    <w:rsid w:val="004D6081"/>
    <w:rsid w:val="004D6D07"/>
    <w:rsid w:val="004E443D"/>
    <w:rsid w:val="004E542C"/>
    <w:rsid w:val="004E7DC8"/>
    <w:rsid w:val="004F1E9A"/>
    <w:rsid w:val="004F42E2"/>
    <w:rsid w:val="004F4B79"/>
    <w:rsid w:val="004F6216"/>
    <w:rsid w:val="00506268"/>
    <w:rsid w:val="00507DA3"/>
    <w:rsid w:val="00510ACC"/>
    <w:rsid w:val="005112F4"/>
    <w:rsid w:val="00515709"/>
    <w:rsid w:val="0051747D"/>
    <w:rsid w:val="00520AE6"/>
    <w:rsid w:val="00521C5D"/>
    <w:rsid w:val="00522C5E"/>
    <w:rsid w:val="005242E8"/>
    <w:rsid w:val="005278C1"/>
    <w:rsid w:val="00531AD6"/>
    <w:rsid w:val="00537FE4"/>
    <w:rsid w:val="00541642"/>
    <w:rsid w:val="005441D4"/>
    <w:rsid w:val="005515A9"/>
    <w:rsid w:val="005520F2"/>
    <w:rsid w:val="0055248F"/>
    <w:rsid w:val="00554707"/>
    <w:rsid w:val="00554BD4"/>
    <w:rsid w:val="0055604E"/>
    <w:rsid w:val="00556E0E"/>
    <w:rsid w:val="00557C11"/>
    <w:rsid w:val="00570EAB"/>
    <w:rsid w:val="0057327F"/>
    <w:rsid w:val="0057608D"/>
    <w:rsid w:val="0058157E"/>
    <w:rsid w:val="005822A1"/>
    <w:rsid w:val="00582E37"/>
    <w:rsid w:val="00583714"/>
    <w:rsid w:val="00587DF1"/>
    <w:rsid w:val="00592AA0"/>
    <w:rsid w:val="00592DF7"/>
    <w:rsid w:val="00594680"/>
    <w:rsid w:val="00595000"/>
    <w:rsid w:val="005956CA"/>
    <w:rsid w:val="00597702"/>
    <w:rsid w:val="005A0305"/>
    <w:rsid w:val="005A10FE"/>
    <w:rsid w:val="005A3A14"/>
    <w:rsid w:val="005A7607"/>
    <w:rsid w:val="005B1836"/>
    <w:rsid w:val="005B65CB"/>
    <w:rsid w:val="005B6AF5"/>
    <w:rsid w:val="005B7B37"/>
    <w:rsid w:val="005C4179"/>
    <w:rsid w:val="005C4D37"/>
    <w:rsid w:val="005C539B"/>
    <w:rsid w:val="005C5B7A"/>
    <w:rsid w:val="005D04DA"/>
    <w:rsid w:val="005D7FC7"/>
    <w:rsid w:val="005E0BE3"/>
    <w:rsid w:val="005E0D57"/>
    <w:rsid w:val="005E30EF"/>
    <w:rsid w:val="005E5ECF"/>
    <w:rsid w:val="005E64DB"/>
    <w:rsid w:val="005E788A"/>
    <w:rsid w:val="005F074A"/>
    <w:rsid w:val="005F4050"/>
    <w:rsid w:val="005F45AF"/>
    <w:rsid w:val="005F614D"/>
    <w:rsid w:val="005F6540"/>
    <w:rsid w:val="005F779A"/>
    <w:rsid w:val="0060006F"/>
    <w:rsid w:val="00600E4C"/>
    <w:rsid w:val="00601CEE"/>
    <w:rsid w:val="00613001"/>
    <w:rsid w:val="006151CB"/>
    <w:rsid w:val="0061637A"/>
    <w:rsid w:val="00616936"/>
    <w:rsid w:val="006170A5"/>
    <w:rsid w:val="00623BDC"/>
    <w:rsid w:val="00625852"/>
    <w:rsid w:val="006313D6"/>
    <w:rsid w:val="006367C4"/>
    <w:rsid w:val="00637325"/>
    <w:rsid w:val="006376EA"/>
    <w:rsid w:val="0063794B"/>
    <w:rsid w:val="006405F9"/>
    <w:rsid w:val="00640A0E"/>
    <w:rsid w:val="006422D9"/>
    <w:rsid w:val="0064251E"/>
    <w:rsid w:val="0064303C"/>
    <w:rsid w:val="006458B3"/>
    <w:rsid w:val="00645D0B"/>
    <w:rsid w:val="00646ED7"/>
    <w:rsid w:val="006477E4"/>
    <w:rsid w:val="006517EF"/>
    <w:rsid w:val="0065302B"/>
    <w:rsid w:val="00655174"/>
    <w:rsid w:val="006554EA"/>
    <w:rsid w:val="00655C00"/>
    <w:rsid w:val="00657038"/>
    <w:rsid w:val="00657E1A"/>
    <w:rsid w:val="0066230F"/>
    <w:rsid w:val="0066359B"/>
    <w:rsid w:val="00665431"/>
    <w:rsid w:val="006659AB"/>
    <w:rsid w:val="00667468"/>
    <w:rsid w:val="0067073C"/>
    <w:rsid w:val="00670752"/>
    <w:rsid w:val="00671925"/>
    <w:rsid w:val="006730D5"/>
    <w:rsid w:val="00675F01"/>
    <w:rsid w:val="0067602B"/>
    <w:rsid w:val="0067703A"/>
    <w:rsid w:val="0067782C"/>
    <w:rsid w:val="00677A5F"/>
    <w:rsid w:val="0068379D"/>
    <w:rsid w:val="006855D5"/>
    <w:rsid w:val="0068650A"/>
    <w:rsid w:val="006872ED"/>
    <w:rsid w:val="00687908"/>
    <w:rsid w:val="00691888"/>
    <w:rsid w:val="0069407C"/>
    <w:rsid w:val="006976B2"/>
    <w:rsid w:val="006A0D4C"/>
    <w:rsid w:val="006A1C5A"/>
    <w:rsid w:val="006A6ADC"/>
    <w:rsid w:val="006A6ED6"/>
    <w:rsid w:val="006A7385"/>
    <w:rsid w:val="006B30A3"/>
    <w:rsid w:val="006B55F9"/>
    <w:rsid w:val="006C1AC4"/>
    <w:rsid w:val="006C31C9"/>
    <w:rsid w:val="006C41FE"/>
    <w:rsid w:val="006C4800"/>
    <w:rsid w:val="006C494E"/>
    <w:rsid w:val="006C4D91"/>
    <w:rsid w:val="006C6938"/>
    <w:rsid w:val="006D17EE"/>
    <w:rsid w:val="006D43DC"/>
    <w:rsid w:val="006E1455"/>
    <w:rsid w:val="006E1B58"/>
    <w:rsid w:val="006E564F"/>
    <w:rsid w:val="006F5D4F"/>
    <w:rsid w:val="006F7BA3"/>
    <w:rsid w:val="00700190"/>
    <w:rsid w:val="00702F20"/>
    <w:rsid w:val="007036FC"/>
    <w:rsid w:val="00703910"/>
    <w:rsid w:val="00704757"/>
    <w:rsid w:val="0070603A"/>
    <w:rsid w:val="00721330"/>
    <w:rsid w:val="00723267"/>
    <w:rsid w:val="007247B3"/>
    <w:rsid w:val="00724B4B"/>
    <w:rsid w:val="00725971"/>
    <w:rsid w:val="00730491"/>
    <w:rsid w:val="00732A68"/>
    <w:rsid w:val="007338B5"/>
    <w:rsid w:val="00733B6B"/>
    <w:rsid w:val="0073455F"/>
    <w:rsid w:val="007348A9"/>
    <w:rsid w:val="00734F61"/>
    <w:rsid w:val="00737284"/>
    <w:rsid w:val="0075151D"/>
    <w:rsid w:val="00751589"/>
    <w:rsid w:val="007547DF"/>
    <w:rsid w:val="00756AD5"/>
    <w:rsid w:val="00757BC7"/>
    <w:rsid w:val="00760B82"/>
    <w:rsid w:val="00767BA4"/>
    <w:rsid w:val="00770D3F"/>
    <w:rsid w:val="00772BAC"/>
    <w:rsid w:val="0077413E"/>
    <w:rsid w:val="0077502D"/>
    <w:rsid w:val="00777C46"/>
    <w:rsid w:val="00781F80"/>
    <w:rsid w:val="00786989"/>
    <w:rsid w:val="007907E9"/>
    <w:rsid w:val="00790AE3"/>
    <w:rsid w:val="00794E83"/>
    <w:rsid w:val="007A5153"/>
    <w:rsid w:val="007A6923"/>
    <w:rsid w:val="007B49BF"/>
    <w:rsid w:val="007C541C"/>
    <w:rsid w:val="007C5504"/>
    <w:rsid w:val="007C6C43"/>
    <w:rsid w:val="007C73B2"/>
    <w:rsid w:val="007C770A"/>
    <w:rsid w:val="007C7CA8"/>
    <w:rsid w:val="007D1202"/>
    <w:rsid w:val="007D2294"/>
    <w:rsid w:val="007D639E"/>
    <w:rsid w:val="007E046F"/>
    <w:rsid w:val="007E13F3"/>
    <w:rsid w:val="007E570C"/>
    <w:rsid w:val="007E62C2"/>
    <w:rsid w:val="007F01A5"/>
    <w:rsid w:val="007F7BE8"/>
    <w:rsid w:val="0080018D"/>
    <w:rsid w:val="00800200"/>
    <w:rsid w:val="008015AD"/>
    <w:rsid w:val="00804C69"/>
    <w:rsid w:val="00806A24"/>
    <w:rsid w:val="0081352E"/>
    <w:rsid w:val="00815AD8"/>
    <w:rsid w:val="008210B2"/>
    <w:rsid w:val="0082206E"/>
    <w:rsid w:val="00826956"/>
    <w:rsid w:val="00827AED"/>
    <w:rsid w:val="00835BC9"/>
    <w:rsid w:val="00836431"/>
    <w:rsid w:val="00836BFA"/>
    <w:rsid w:val="00836FF5"/>
    <w:rsid w:val="00837469"/>
    <w:rsid w:val="00841A0C"/>
    <w:rsid w:val="00843F50"/>
    <w:rsid w:val="00844A45"/>
    <w:rsid w:val="00844E78"/>
    <w:rsid w:val="00844F17"/>
    <w:rsid w:val="0084544B"/>
    <w:rsid w:val="00847767"/>
    <w:rsid w:val="00851E21"/>
    <w:rsid w:val="008550B8"/>
    <w:rsid w:val="00857596"/>
    <w:rsid w:val="00857F6F"/>
    <w:rsid w:val="00862EF3"/>
    <w:rsid w:val="0086534C"/>
    <w:rsid w:val="008748C5"/>
    <w:rsid w:val="00880F3B"/>
    <w:rsid w:val="00882138"/>
    <w:rsid w:val="00882733"/>
    <w:rsid w:val="0088520D"/>
    <w:rsid w:val="00887D71"/>
    <w:rsid w:val="0089011E"/>
    <w:rsid w:val="00890AEF"/>
    <w:rsid w:val="00890CA7"/>
    <w:rsid w:val="008973E4"/>
    <w:rsid w:val="00897582"/>
    <w:rsid w:val="008B1A47"/>
    <w:rsid w:val="008B2108"/>
    <w:rsid w:val="008B5ACF"/>
    <w:rsid w:val="008C3A72"/>
    <w:rsid w:val="008C43DB"/>
    <w:rsid w:val="008C793F"/>
    <w:rsid w:val="008D7CC0"/>
    <w:rsid w:val="008E01D0"/>
    <w:rsid w:val="008E4AA0"/>
    <w:rsid w:val="008E6493"/>
    <w:rsid w:val="008E6BC2"/>
    <w:rsid w:val="008E7C75"/>
    <w:rsid w:val="008F2797"/>
    <w:rsid w:val="008F2E32"/>
    <w:rsid w:val="008F3805"/>
    <w:rsid w:val="008F768A"/>
    <w:rsid w:val="00900902"/>
    <w:rsid w:val="00905AF5"/>
    <w:rsid w:val="009074AA"/>
    <w:rsid w:val="0091093B"/>
    <w:rsid w:val="009110B1"/>
    <w:rsid w:val="00911CDD"/>
    <w:rsid w:val="00912AC9"/>
    <w:rsid w:val="00913E29"/>
    <w:rsid w:val="009148B5"/>
    <w:rsid w:val="009154B8"/>
    <w:rsid w:val="0091591C"/>
    <w:rsid w:val="00916064"/>
    <w:rsid w:val="009207F8"/>
    <w:rsid w:val="00925E76"/>
    <w:rsid w:val="009300D3"/>
    <w:rsid w:val="00930DB4"/>
    <w:rsid w:val="0093193F"/>
    <w:rsid w:val="00933822"/>
    <w:rsid w:val="0093555D"/>
    <w:rsid w:val="00937174"/>
    <w:rsid w:val="00942A80"/>
    <w:rsid w:val="00942ED8"/>
    <w:rsid w:val="009467B6"/>
    <w:rsid w:val="00947AFE"/>
    <w:rsid w:val="009529B1"/>
    <w:rsid w:val="00952C66"/>
    <w:rsid w:val="009537BA"/>
    <w:rsid w:val="009542BD"/>
    <w:rsid w:val="00956568"/>
    <w:rsid w:val="009571D3"/>
    <w:rsid w:val="009571D4"/>
    <w:rsid w:val="00957E58"/>
    <w:rsid w:val="00960F58"/>
    <w:rsid w:val="00962465"/>
    <w:rsid w:val="00963B42"/>
    <w:rsid w:val="00964502"/>
    <w:rsid w:val="00964928"/>
    <w:rsid w:val="00965519"/>
    <w:rsid w:val="009666E1"/>
    <w:rsid w:val="00967608"/>
    <w:rsid w:val="00967C47"/>
    <w:rsid w:val="00971468"/>
    <w:rsid w:val="009724B9"/>
    <w:rsid w:val="00972522"/>
    <w:rsid w:val="009739BA"/>
    <w:rsid w:val="009750CF"/>
    <w:rsid w:val="00975CD0"/>
    <w:rsid w:val="00984E33"/>
    <w:rsid w:val="00987E00"/>
    <w:rsid w:val="00990F46"/>
    <w:rsid w:val="00991D5B"/>
    <w:rsid w:val="0099383D"/>
    <w:rsid w:val="009940CE"/>
    <w:rsid w:val="009A2585"/>
    <w:rsid w:val="009A276F"/>
    <w:rsid w:val="009A2CE8"/>
    <w:rsid w:val="009B1484"/>
    <w:rsid w:val="009B15A1"/>
    <w:rsid w:val="009B2A6E"/>
    <w:rsid w:val="009B4A06"/>
    <w:rsid w:val="009B54A7"/>
    <w:rsid w:val="009B6918"/>
    <w:rsid w:val="009C06C9"/>
    <w:rsid w:val="009C09B9"/>
    <w:rsid w:val="009C1357"/>
    <w:rsid w:val="009C36CE"/>
    <w:rsid w:val="009C3A8A"/>
    <w:rsid w:val="009C7F79"/>
    <w:rsid w:val="009E1E35"/>
    <w:rsid w:val="009E2A83"/>
    <w:rsid w:val="009E3BE3"/>
    <w:rsid w:val="009E533B"/>
    <w:rsid w:val="009E5516"/>
    <w:rsid w:val="009E6D42"/>
    <w:rsid w:val="009F2698"/>
    <w:rsid w:val="009F6F63"/>
    <w:rsid w:val="00A00376"/>
    <w:rsid w:val="00A01F99"/>
    <w:rsid w:val="00A03650"/>
    <w:rsid w:val="00A04248"/>
    <w:rsid w:val="00A042C6"/>
    <w:rsid w:val="00A05747"/>
    <w:rsid w:val="00A058FE"/>
    <w:rsid w:val="00A110C3"/>
    <w:rsid w:val="00A1175B"/>
    <w:rsid w:val="00A13D8F"/>
    <w:rsid w:val="00A143A1"/>
    <w:rsid w:val="00A14AB7"/>
    <w:rsid w:val="00A15C58"/>
    <w:rsid w:val="00A20127"/>
    <w:rsid w:val="00A27A7D"/>
    <w:rsid w:val="00A310AD"/>
    <w:rsid w:val="00A31993"/>
    <w:rsid w:val="00A32400"/>
    <w:rsid w:val="00A3327A"/>
    <w:rsid w:val="00A3557D"/>
    <w:rsid w:val="00A35868"/>
    <w:rsid w:val="00A35E1E"/>
    <w:rsid w:val="00A369C0"/>
    <w:rsid w:val="00A40A5F"/>
    <w:rsid w:val="00A40BA5"/>
    <w:rsid w:val="00A512E7"/>
    <w:rsid w:val="00A5379E"/>
    <w:rsid w:val="00A53828"/>
    <w:rsid w:val="00A53AD9"/>
    <w:rsid w:val="00A55C91"/>
    <w:rsid w:val="00A60730"/>
    <w:rsid w:val="00A6277A"/>
    <w:rsid w:val="00A63382"/>
    <w:rsid w:val="00A6440A"/>
    <w:rsid w:val="00A66849"/>
    <w:rsid w:val="00A67217"/>
    <w:rsid w:val="00A71D1A"/>
    <w:rsid w:val="00A74436"/>
    <w:rsid w:val="00A775F1"/>
    <w:rsid w:val="00A82D65"/>
    <w:rsid w:val="00A83049"/>
    <w:rsid w:val="00A9001E"/>
    <w:rsid w:val="00A91CE8"/>
    <w:rsid w:val="00A936CD"/>
    <w:rsid w:val="00A9578F"/>
    <w:rsid w:val="00A96CC8"/>
    <w:rsid w:val="00AA10DC"/>
    <w:rsid w:val="00AA230E"/>
    <w:rsid w:val="00AA373C"/>
    <w:rsid w:val="00AA761B"/>
    <w:rsid w:val="00AB287D"/>
    <w:rsid w:val="00AB2E2A"/>
    <w:rsid w:val="00AB4099"/>
    <w:rsid w:val="00AB50F7"/>
    <w:rsid w:val="00AB7429"/>
    <w:rsid w:val="00AB76DC"/>
    <w:rsid w:val="00AC11DD"/>
    <w:rsid w:val="00AC1B81"/>
    <w:rsid w:val="00AC38C4"/>
    <w:rsid w:val="00AC5A79"/>
    <w:rsid w:val="00AC72AF"/>
    <w:rsid w:val="00AC7FC6"/>
    <w:rsid w:val="00AD325B"/>
    <w:rsid w:val="00AD3E2C"/>
    <w:rsid w:val="00AD5489"/>
    <w:rsid w:val="00AE0FD0"/>
    <w:rsid w:val="00AE1C90"/>
    <w:rsid w:val="00AE22D1"/>
    <w:rsid w:val="00AE4E35"/>
    <w:rsid w:val="00AE6CD7"/>
    <w:rsid w:val="00AE6DB6"/>
    <w:rsid w:val="00AE6E05"/>
    <w:rsid w:val="00AF49A7"/>
    <w:rsid w:val="00AF5666"/>
    <w:rsid w:val="00AF6524"/>
    <w:rsid w:val="00AF7894"/>
    <w:rsid w:val="00B00B90"/>
    <w:rsid w:val="00B00F17"/>
    <w:rsid w:val="00B025B8"/>
    <w:rsid w:val="00B049C9"/>
    <w:rsid w:val="00B06D42"/>
    <w:rsid w:val="00B100B8"/>
    <w:rsid w:val="00B146F0"/>
    <w:rsid w:val="00B15325"/>
    <w:rsid w:val="00B229D0"/>
    <w:rsid w:val="00B2363E"/>
    <w:rsid w:val="00B27835"/>
    <w:rsid w:val="00B31623"/>
    <w:rsid w:val="00B32896"/>
    <w:rsid w:val="00B365D9"/>
    <w:rsid w:val="00B37104"/>
    <w:rsid w:val="00B378D6"/>
    <w:rsid w:val="00B40607"/>
    <w:rsid w:val="00B40726"/>
    <w:rsid w:val="00B40771"/>
    <w:rsid w:val="00B43422"/>
    <w:rsid w:val="00B468AD"/>
    <w:rsid w:val="00B546CE"/>
    <w:rsid w:val="00B55005"/>
    <w:rsid w:val="00B633C3"/>
    <w:rsid w:val="00B636FB"/>
    <w:rsid w:val="00B6695C"/>
    <w:rsid w:val="00B7052D"/>
    <w:rsid w:val="00B72F95"/>
    <w:rsid w:val="00B74DC1"/>
    <w:rsid w:val="00B76ACB"/>
    <w:rsid w:val="00B80669"/>
    <w:rsid w:val="00B8080B"/>
    <w:rsid w:val="00B84265"/>
    <w:rsid w:val="00B86848"/>
    <w:rsid w:val="00B87371"/>
    <w:rsid w:val="00B90A2B"/>
    <w:rsid w:val="00B90E6C"/>
    <w:rsid w:val="00B92E1B"/>
    <w:rsid w:val="00B93321"/>
    <w:rsid w:val="00B9504E"/>
    <w:rsid w:val="00B95AE6"/>
    <w:rsid w:val="00BA014A"/>
    <w:rsid w:val="00BA0B55"/>
    <w:rsid w:val="00BA259E"/>
    <w:rsid w:val="00BA666D"/>
    <w:rsid w:val="00BB06ED"/>
    <w:rsid w:val="00BC1E6B"/>
    <w:rsid w:val="00BC56B6"/>
    <w:rsid w:val="00BC5C16"/>
    <w:rsid w:val="00BD01CC"/>
    <w:rsid w:val="00BD5E2B"/>
    <w:rsid w:val="00BD6242"/>
    <w:rsid w:val="00BE31AE"/>
    <w:rsid w:val="00BE4231"/>
    <w:rsid w:val="00BF115D"/>
    <w:rsid w:val="00BF42D0"/>
    <w:rsid w:val="00BF5253"/>
    <w:rsid w:val="00BF6206"/>
    <w:rsid w:val="00BF6626"/>
    <w:rsid w:val="00BF6670"/>
    <w:rsid w:val="00BF6AC6"/>
    <w:rsid w:val="00BF7709"/>
    <w:rsid w:val="00C01CEF"/>
    <w:rsid w:val="00C0237A"/>
    <w:rsid w:val="00C041F2"/>
    <w:rsid w:val="00C05A34"/>
    <w:rsid w:val="00C068C5"/>
    <w:rsid w:val="00C110D4"/>
    <w:rsid w:val="00C116AE"/>
    <w:rsid w:val="00C14576"/>
    <w:rsid w:val="00C16091"/>
    <w:rsid w:val="00C21235"/>
    <w:rsid w:val="00C2150C"/>
    <w:rsid w:val="00C21CE3"/>
    <w:rsid w:val="00C23C98"/>
    <w:rsid w:val="00C24654"/>
    <w:rsid w:val="00C25F02"/>
    <w:rsid w:val="00C3034E"/>
    <w:rsid w:val="00C3758F"/>
    <w:rsid w:val="00C430AE"/>
    <w:rsid w:val="00C44B01"/>
    <w:rsid w:val="00C46FBB"/>
    <w:rsid w:val="00C57073"/>
    <w:rsid w:val="00C6159C"/>
    <w:rsid w:val="00C6677D"/>
    <w:rsid w:val="00C70484"/>
    <w:rsid w:val="00C71B0D"/>
    <w:rsid w:val="00C7240F"/>
    <w:rsid w:val="00C7263C"/>
    <w:rsid w:val="00C81F96"/>
    <w:rsid w:val="00C8221A"/>
    <w:rsid w:val="00C837B1"/>
    <w:rsid w:val="00C83AD9"/>
    <w:rsid w:val="00C859E9"/>
    <w:rsid w:val="00C9177D"/>
    <w:rsid w:val="00C91BE6"/>
    <w:rsid w:val="00C927A8"/>
    <w:rsid w:val="00C954BD"/>
    <w:rsid w:val="00C96BA8"/>
    <w:rsid w:val="00C96D6B"/>
    <w:rsid w:val="00C97643"/>
    <w:rsid w:val="00CA07CA"/>
    <w:rsid w:val="00CA3903"/>
    <w:rsid w:val="00CA5136"/>
    <w:rsid w:val="00CB0020"/>
    <w:rsid w:val="00CB0D3B"/>
    <w:rsid w:val="00CB38BA"/>
    <w:rsid w:val="00CB3D5F"/>
    <w:rsid w:val="00CB4422"/>
    <w:rsid w:val="00CB4F04"/>
    <w:rsid w:val="00CC30F4"/>
    <w:rsid w:val="00CC3BA2"/>
    <w:rsid w:val="00CC57B7"/>
    <w:rsid w:val="00CC5CFB"/>
    <w:rsid w:val="00CC6715"/>
    <w:rsid w:val="00CD0AE3"/>
    <w:rsid w:val="00CD3201"/>
    <w:rsid w:val="00CD3703"/>
    <w:rsid w:val="00CD45FE"/>
    <w:rsid w:val="00CE087D"/>
    <w:rsid w:val="00CF38C3"/>
    <w:rsid w:val="00CF6629"/>
    <w:rsid w:val="00D02310"/>
    <w:rsid w:val="00D0754B"/>
    <w:rsid w:val="00D07733"/>
    <w:rsid w:val="00D10F47"/>
    <w:rsid w:val="00D1199D"/>
    <w:rsid w:val="00D11F34"/>
    <w:rsid w:val="00D12C60"/>
    <w:rsid w:val="00D13F29"/>
    <w:rsid w:val="00D159E5"/>
    <w:rsid w:val="00D172A7"/>
    <w:rsid w:val="00D20FB0"/>
    <w:rsid w:val="00D21636"/>
    <w:rsid w:val="00D235BA"/>
    <w:rsid w:val="00D30D85"/>
    <w:rsid w:val="00D32DFC"/>
    <w:rsid w:val="00D34AF2"/>
    <w:rsid w:val="00D34EF4"/>
    <w:rsid w:val="00D427F8"/>
    <w:rsid w:val="00D47861"/>
    <w:rsid w:val="00D514F3"/>
    <w:rsid w:val="00D537A0"/>
    <w:rsid w:val="00D56664"/>
    <w:rsid w:val="00D56770"/>
    <w:rsid w:val="00D5762D"/>
    <w:rsid w:val="00D57E98"/>
    <w:rsid w:val="00D60A93"/>
    <w:rsid w:val="00D646CE"/>
    <w:rsid w:val="00D654D3"/>
    <w:rsid w:val="00D6565C"/>
    <w:rsid w:val="00D67D1B"/>
    <w:rsid w:val="00D76672"/>
    <w:rsid w:val="00D810B2"/>
    <w:rsid w:val="00D81E2E"/>
    <w:rsid w:val="00D84334"/>
    <w:rsid w:val="00D848C8"/>
    <w:rsid w:val="00D8515A"/>
    <w:rsid w:val="00D87224"/>
    <w:rsid w:val="00D90233"/>
    <w:rsid w:val="00D94CC8"/>
    <w:rsid w:val="00D94CF3"/>
    <w:rsid w:val="00DA17A5"/>
    <w:rsid w:val="00DA3A4B"/>
    <w:rsid w:val="00DA6AE4"/>
    <w:rsid w:val="00DB02F8"/>
    <w:rsid w:val="00DB2BC4"/>
    <w:rsid w:val="00DC09A7"/>
    <w:rsid w:val="00DC16AE"/>
    <w:rsid w:val="00DC2A25"/>
    <w:rsid w:val="00DC36A3"/>
    <w:rsid w:val="00DC3E67"/>
    <w:rsid w:val="00DC7DA0"/>
    <w:rsid w:val="00DD1752"/>
    <w:rsid w:val="00DD2C20"/>
    <w:rsid w:val="00DD5DAB"/>
    <w:rsid w:val="00DD5EC3"/>
    <w:rsid w:val="00DE01EF"/>
    <w:rsid w:val="00DE1D70"/>
    <w:rsid w:val="00DE28A0"/>
    <w:rsid w:val="00DE33FC"/>
    <w:rsid w:val="00DE7536"/>
    <w:rsid w:val="00DF2B9A"/>
    <w:rsid w:val="00DF7943"/>
    <w:rsid w:val="00DF7E6E"/>
    <w:rsid w:val="00E02377"/>
    <w:rsid w:val="00E037B8"/>
    <w:rsid w:val="00E037F8"/>
    <w:rsid w:val="00E06D69"/>
    <w:rsid w:val="00E0751D"/>
    <w:rsid w:val="00E07903"/>
    <w:rsid w:val="00E07D96"/>
    <w:rsid w:val="00E10C97"/>
    <w:rsid w:val="00E1156C"/>
    <w:rsid w:val="00E119B3"/>
    <w:rsid w:val="00E13043"/>
    <w:rsid w:val="00E13EDC"/>
    <w:rsid w:val="00E14075"/>
    <w:rsid w:val="00E141CE"/>
    <w:rsid w:val="00E175AF"/>
    <w:rsid w:val="00E2188D"/>
    <w:rsid w:val="00E23E4E"/>
    <w:rsid w:val="00E23F82"/>
    <w:rsid w:val="00E30CA2"/>
    <w:rsid w:val="00E32F00"/>
    <w:rsid w:val="00E3463D"/>
    <w:rsid w:val="00E34C58"/>
    <w:rsid w:val="00E34F67"/>
    <w:rsid w:val="00E363B3"/>
    <w:rsid w:val="00E3704F"/>
    <w:rsid w:val="00E42545"/>
    <w:rsid w:val="00E44399"/>
    <w:rsid w:val="00E46D37"/>
    <w:rsid w:val="00E47761"/>
    <w:rsid w:val="00E51F06"/>
    <w:rsid w:val="00E5260B"/>
    <w:rsid w:val="00E54053"/>
    <w:rsid w:val="00E574B1"/>
    <w:rsid w:val="00E66AEE"/>
    <w:rsid w:val="00E67AA1"/>
    <w:rsid w:val="00E70F65"/>
    <w:rsid w:val="00E71A26"/>
    <w:rsid w:val="00E73077"/>
    <w:rsid w:val="00E73192"/>
    <w:rsid w:val="00E75CD3"/>
    <w:rsid w:val="00E77F76"/>
    <w:rsid w:val="00E81F68"/>
    <w:rsid w:val="00E830A1"/>
    <w:rsid w:val="00E83D12"/>
    <w:rsid w:val="00E83E61"/>
    <w:rsid w:val="00E84135"/>
    <w:rsid w:val="00E9085D"/>
    <w:rsid w:val="00E967A7"/>
    <w:rsid w:val="00E971DE"/>
    <w:rsid w:val="00EA0838"/>
    <w:rsid w:val="00EA422A"/>
    <w:rsid w:val="00EA6385"/>
    <w:rsid w:val="00EB080A"/>
    <w:rsid w:val="00EB351C"/>
    <w:rsid w:val="00EB740B"/>
    <w:rsid w:val="00EC4FA5"/>
    <w:rsid w:val="00EC5B04"/>
    <w:rsid w:val="00EC6A9A"/>
    <w:rsid w:val="00EC718A"/>
    <w:rsid w:val="00ED0C7C"/>
    <w:rsid w:val="00ED57E2"/>
    <w:rsid w:val="00EE07BA"/>
    <w:rsid w:val="00EE3321"/>
    <w:rsid w:val="00EF769C"/>
    <w:rsid w:val="00F05F85"/>
    <w:rsid w:val="00F0692A"/>
    <w:rsid w:val="00F06E62"/>
    <w:rsid w:val="00F12664"/>
    <w:rsid w:val="00F14DD3"/>
    <w:rsid w:val="00F2004F"/>
    <w:rsid w:val="00F20CC0"/>
    <w:rsid w:val="00F218B5"/>
    <w:rsid w:val="00F219E0"/>
    <w:rsid w:val="00F219EA"/>
    <w:rsid w:val="00F25DEB"/>
    <w:rsid w:val="00F30ED1"/>
    <w:rsid w:val="00F31301"/>
    <w:rsid w:val="00F31920"/>
    <w:rsid w:val="00F338E1"/>
    <w:rsid w:val="00F3525B"/>
    <w:rsid w:val="00F3653A"/>
    <w:rsid w:val="00F4160B"/>
    <w:rsid w:val="00F41928"/>
    <w:rsid w:val="00F467C6"/>
    <w:rsid w:val="00F47CE5"/>
    <w:rsid w:val="00F510EC"/>
    <w:rsid w:val="00F5301A"/>
    <w:rsid w:val="00F5376C"/>
    <w:rsid w:val="00F549D1"/>
    <w:rsid w:val="00F557C3"/>
    <w:rsid w:val="00F56924"/>
    <w:rsid w:val="00F603A9"/>
    <w:rsid w:val="00F62A62"/>
    <w:rsid w:val="00F634E8"/>
    <w:rsid w:val="00F655AE"/>
    <w:rsid w:val="00F75FD4"/>
    <w:rsid w:val="00F76162"/>
    <w:rsid w:val="00F83000"/>
    <w:rsid w:val="00F8371C"/>
    <w:rsid w:val="00F842AD"/>
    <w:rsid w:val="00F876F9"/>
    <w:rsid w:val="00F90132"/>
    <w:rsid w:val="00F92B17"/>
    <w:rsid w:val="00F93A47"/>
    <w:rsid w:val="00F955C6"/>
    <w:rsid w:val="00F9602D"/>
    <w:rsid w:val="00F9726C"/>
    <w:rsid w:val="00F977ED"/>
    <w:rsid w:val="00FA2D12"/>
    <w:rsid w:val="00FA373A"/>
    <w:rsid w:val="00FA583F"/>
    <w:rsid w:val="00FA6B26"/>
    <w:rsid w:val="00FB7306"/>
    <w:rsid w:val="00FC0681"/>
    <w:rsid w:val="00FC2580"/>
    <w:rsid w:val="00FC34DB"/>
    <w:rsid w:val="00FC4CA0"/>
    <w:rsid w:val="00FD12DE"/>
    <w:rsid w:val="00FD1D4E"/>
    <w:rsid w:val="00FD36F1"/>
    <w:rsid w:val="00FE0F4C"/>
    <w:rsid w:val="00FE2436"/>
    <w:rsid w:val="00FE2B5D"/>
    <w:rsid w:val="00FF03B7"/>
    <w:rsid w:val="00FF6E56"/>
    <w:rsid w:val="00FF7B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412C0"/>
  <w15:docId w15:val="{B37CEE31-2ED2-41F1-8FAD-5E1AAADDE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lsdException w:name="List Number 3" w:semiHidden="1" w:uiPriority="1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838"/>
  </w:style>
  <w:style w:type="paragraph" w:styleId="Heading1">
    <w:name w:val="heading 1"/>
    <w:basedOn w:val="Normal"/>
    <w:next w:val="Normal"/>
    <w:link w:val="Heading1Char"/>
    <w:uiPriority w:val="9"/>
    <w:qFormat/>
    <w:pPr>
      <w:keepNext/>
      <w:keepLines/>
      <w:spacing w:after="0" w:line="240" w:lineRule="auto"/>
      <w:ind w:left="720" w:hanging="360"/>
      <w:outlineLvl w:val="0"/>
    </w:pPr>
    <w:rPr>
      <w:b/>
      <w:sz w:val="28"/>
      <w:szCs w:val="28"/>
    </w:rPr>
  </w:style>
  <w:style w:type="paragraph" w:styleId="Heading2">
    <w:name w:val="heading 2"/>
    <w:basedOn w:val="Normal"/>
    <w:next w:val="Normal"/>
    <w:link w:val="Heading2Char"/>
    <w:uiPriority w:val="9"/>
    <w:unhideWhenUsed/>
    <w:qFormat/>
    <w:pPr>
      <w:keepNext/>
      <w:keepLines/>
      <w:tabs>
        <w:tab w:val="left" w:pos="709"/>
      </w:tabs>
      <w:spacing w:after="0" w:line="240" w:lineRule="auto"/>
      <w:ind w:left="570" w:hanging="570"/>
      <w:outlineLvl w:val="1"/>
    </w:pPr>
    <w:rPr>
      <w:b/>
      <w:sz w:val="24"/>
      <w:szCs w:val="24"/>
    </w:rPr>
  </w:style>
  <w:style w:type="paragraph" w:styleId="Heading3">
    <w:name w:val="heading 3"/>
    <w:basedOn w:val="Normal"/>
    <w:next w:val="Normal"/>
    <w:link w:val="Heading3Char"/>
    <w:uiPriority w:val="9"/>
    <w:unhideWhenUsed/>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link w:val="Heading4Char"/>
    <w:uiPriority w:val="9"/>
    <w:unhideWhenUsed/>
    <w:qFormat/>
    <w:pPr>
      <w:keepNext/>
      <w:keepLines/>
      <w:spacing w:before="40" w:after="0"/>
      <w:outlineLvl w:val="3"/>
    </w:pPr>
    <w:rPr>
      <w:rFonts w:ascii="Cambria" w:eastAsia="Cambria" w:hAnsi="Cambria" w:cs="Cambria"/>
      <w:i/>
      <w:color w:val="366091"/>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7DF1"/>
    <w:rPr>
      <w:b/>
      <w:sz w:val="28"/>
      <w:szCs w:val="28"/>
    </w:rPr>
  </w:style>
  <w:style w:type="character" w:customStyle="1" w:styleId="Heading2Char">
    <w:name w:val="Heading 2 Char"/>
    <w:basedOn w:val="DefaultParagraphFont"/>
    <w:link w:val="Heading2"/>
    <w:uiPriority w:val="9"/>
    <w:rsid w:val="0032277A"/>
    <w:rPr>
      <w:b/>
      <w:sz w:val="24"/>
      <w:szCs w:val="24"/>
    </w:rPr>
  </w:style>
  <w:style w:type="character" w:customStyle="1" w:styleId="Heading3Char">
    <w:name w:val="Heading 3 Char"/>
    <w:basedOn w:val="DefaultParagraphFont"/>
    <w:link w:val="Heading3"/>
    <w:uiPriority w:val="9"/>
    <w:rsid w:val="000D05E5"/>
    <w:rPr>
      <w:rFonts w:ascii="Cambria" w:eastAsia="Cambria" w:hAnsi="Cambria" w:cs="Cambria"/>
      <w:b/>
      <w:color w:val="4F81BD"/>
    </w:rPr>
  </w:style>
  <w:style w:type="character" w:customStyle="1" w:styleId="Heading4Char">
    <w:name w:val="Heading 4 Char"/>
    <w:basedOn w:val="DefaultParagraphFont"/>
    <w:link w:val="Heading4"/>
    <w:uiPriority w:val="9"/>
    <w:rsid w:val="000D05E5"/>
    <w:rPr>
      <w:rFonts w:ascii="Cambria" w:eastAsia="Cambria" w:hAnsi="Cambria" w:cs="Cambria"/>
      <w:i/>
      <w:color w:val="366091"/>
    </w:rPr>
  </w:style>
  <w:style w:type="character" w:customStyle="1" w:styleId="Heading5Char">
    <w:name w:val="Heading 5 Char"/>
    <w:basedOn w:val="DefaultParagraphFont"/>
    <w:link w:val="Heading5"/>
    <w:uiPriority w:val="9"/>
    <w:semiHidden/>
    <w:rsid w:val="000D05E5"/>
    <w:rPr>
      <w:b/>
    </w:rPr>
  </w:style>
  <w:style w:type="character" w:customStyle="1" w:styleId="Heading6Char">
    <w:name w:val="Heading 6 Char"/>
    <w:basedOn w:val="DefaultParagraphFont"/>
    <w:link w:val="Heading6"/>
    <w:uiPriority w:val="9"/>
    <w:semiHidden/>
    <w:rsid w:val="000D05E5"/>
    <w:rPr>
      <w:b/>
      <w:sz w:val="20"/>
      <w:szCs w:val="20"/>
    </w:rPr>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TitleChar">
    <w:name w:val="Title Char"/>
    <w:basedOn w:val="DefaultParagraphFont"/>
    <w:link w:val="Title"/>
    <w:uiPriority w:val="10"/>
    <w:rsid w:val="000D05E5"/>
    <w:rPr>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0D05E5"/>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Times New Roman" w:eastAsia="Times New Roman" w:hAnsi="Times New Roman" w:cs="Times New Roman"/>
    </w:r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BalloonText">
    <w:name w:val="Balloon Text"/>
    <w:basedOn w:val="Normal"/>
    <w:link w:val="BalloonTextChar"/>
    <w:uiPriority w:val="99"/>
    <w:semiHidden/>
    <w:unhideWhenUsed/>
    <w:rsid w:val="00424F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4F4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1199D"/>
    <w:rPr>
      <w:b/>
      <w:bCs/>
    </w:rPr>
  </w:style>
  <w:style w:type="character" w:customStyle="1" w:styleId="CommentSubjectChar">
    <w:name w:val="Comment Subject Char"/>
    <w:basedOn w:val="CommentTextChar"/>
    <w:link w:val="CommentSubject"/>
    <w:uiPriority w:val="99"/>
    <w:semiHidden/>
    <w:rsid w:val="00D1199D"/>
    <w:rPr>
      <w:b/>
      <w:bCs/>
      <w:sz w:val="20"/>
      <w:szCs w:val="20"/>
    </w:rPr>
  </w:style>
  <w:style w:type="paragraph" w:styleId="ListParagraph">
    <w:name w:val="List Paragraph"/>
    <w:aliases w:val="Normal + indent,F5 List Paragraph,List Paragraph1,List Paragraph11,Dot pt,No Spacing1,List Paragraph Char Char Char,Indicator Text,Numbered Para 1,Bullet 1,Bullet Points,MAIN CONTENT,List Paragraph12,List Paragraph2,OBC Bullet,L"/>
    <w:basedOn w:val="Normal"/>
    <w:link w:val="ListParagraphChar"/>
    <w:uiPriority w:val="34"/>
    <w:qFormat/>
    <w:rsid w:val="00737284"/>
    <w:pPr>
      <w:ind w:left="720"/>
      <w:contextualSpacing/>
    </w:pPr>
  </w:style>
  <w:style w:type="character" w:customStyle="1" w:styleId="ListParagraphChar">
    <w:name w:val="List Paragraph Char"/>
    <w:aliases w:val="Normal + indent Char,F5 List Paragraph Char,List Paragraph1 Char,List Paragraph11 Char,Dot pt Char,No Spacing1 Char,List Paragraph Char Char Char Char,Indicator Text Char,Numbered Para 1 Char,Bullet 1 Char,Bullet Points Char,L Char"/>
    <w:basedOn w:val="DefaultParagraphFont"/>
    <w:link w:val="ListParagraph"/>
    <w:uiPriority w:val="34"/>
    <w:qFormat/>
    <w:rsid w:val="00BF6206"/>
  </w:style>
  <w:style w:type="table" w:styleId="TableGrid">
    <w:name w:val="Table Grid"/>
    <w:basedOn w:val="TableNormal"/>
    <w:uiPriority w:val="39"/>
    <w:rsid w:val="00890CA7"/>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4E29"/>
    <w:rPr>
      <w:color w:val="0000FF" w:themeColor="hyperlink"/>
      <w:u w:val="single"/>
    </w:rPr>
  </w:style>
  <w:style w:type="paragraph" w:customStyle="1" w:styleId="Default">
    <w:name w:val="Default"/>
    <w:link w:val="DefaultChar"/>
    <w:rsid w:val="003A4E29"/>
    <w:pPr>
      <w:autoSpaceDE w:val="0"/>
      <w:autoSpaceDN w:val="0"/>
      <w:adjustRightInd w:val="0"/>
      <w:spacing w:after="0" w:line="240" w:lineRule="auto"/>
    </w:pPr>
    <w:rPr>
      <w:rFonts w:eastAsiaTheme="minorHAnsi"/>
      <w:color w:val="000000"/>
      <w:sz w:val="24"/>
      <w:szCs w:val="24"/>
      <w:lang w:eastAsia="en-US"/>
    </w:rPr>
  </w:style>
  <w:style w:type="character" w:customStyle="1" w:styleId="DefaultChar">
    <w:name w:val="Default Char"/>
    <w:link w:val="Default"/>
    <w:rsid w:val="00B80669"/>
    <w:rPr>
      <w:rFonts w:eastAsiaTheme="minorHAnsi"/>
      <w:color w:val="000000"/>
      <w:sz w:val="24"/>
      <w:szCs w:val="24"/>
      <w:lang w:eastAsia="en-US"/>
    </w:rPr>
  </w:style>
  <w:style w:type="paragraph" w:customStyle="1" w:styleId="111">
    <w:name w:val="1.1.1"/>
    <w:basedOn w:val="ListParagraph"/>
    <w:qFormat/>
    <w:rsid w:val="003A4E29"/>
    <w:pPr>
      <w:spacing w:after="0" w:line="240" w:lineRule="auto"/>
      <w:ind w:hanging="720"/>
      <w:jc w:val="both"/>
    </w:pPr>
    <w:rPr>
      <w:rFonts w:ascii="Arial" w:eastAsia="Times New Roman" w:hAnsi="Arial" w:cs="Arial"/>
      <w:b/>
      <w:lang w:val="en-US" w:bidi="en-GB"/>
    </w:rPr>
  </w:style>
  <w:style w:type="paragraph" w:styleId="TOC1">
    <w:name w:val="toc 1"/>
    <w:basedOn w:val="Normal"/>
    <w:next w:val="Normal"/>
    <w:autoRedefine/>
    <w:uiPriority w:val="39"/>
    <w:unhideWhenUsed/>
    <w:rsid w:val="0027303E"/>
    <w:pPr>
      <w:spacing w:after="100"/>
    </w:pPr>
  </w:style>
  <w:style w:type="paragraph" w:styleId="TOC2">
    <w:name w:val="toc 2"/>
    <w:basedOn w:val="Normal"/>
    <w:next w:val="Normal"/>
    <w:autoRedefine/>
    <w:uiPriority w:val="39"/>
    <w:unhideWhenUsed/>
    <w:rsid w:val="009148B5"/>
    <w:pPr>
      <w:tabs>
        <w:tab w:val="left" w:pos="880"/>
        <w:tab w:val="right" w:pos="9016"/>
      </w:tabs>
      <w:spacing w:after="100"/>
      <w:ind w:left="220"/>
    </w:pPr>
  </w:style>
  <w:style w:type="paragraph" w:styleId="TOC6">
    <w:name w:val="toc 6"/>
    <w:basedOn w:val="Normal"/>
    <w:next w:val="Normal"/>
    <w:autoRedefine/>
    <w:uiPriority w:val="39"/>
    <w:unhideWhenUsed/>
    <w:rsid w:val="0027303E"/>
    <w:pPr>
      <w:spacing w:after="100"/>
      <w:ind w:left="1100"/>
    </w:pPr>
  </w:style>
  <w:style w:type="paragraph" w:styleId="TOC3">
    <w:name w:val="toc 3"/>
    <w:basedOn w:val="Normal"/>
    <w:next w:val="Normal"/>
    <w:autoRedefine/>
    <w:uiPriority w:val="39"/>
    <w:unhideWhenUsed/>
    <w:rsid w:val="0027303E"/>
    <w:pPr>
      <w:spacing w:after="100"/>
      <w:ind w:left="440"/>
    </w:pPr>
  </w:style>
  <w:style w:type="paragraph" w:styleId="TOC4">
    <w:name w:val="toc 4"/>
    <w:basedOn w:val="Normal"/>
    <w:next w:val="Normal"/>
    <w:autoRedefine/>
    <w:uiPriority w:val="39"/>
    <w:unhideWhenUsed/>
    <w:rsid w:val="0027303E"/>
    <w:pPr>
      <w:spacing w:after="100"/>
      <w:ind w:left="660"/>
    </w:pPr>
  </w:style>
  <w:style w:type="paragraph" w:styleId="FootnoteText">
    <w:name w:val="footnote text"/>
    <w:basedOn w:val="Normal"/>
    <w:link w:val="FootnoteTextChar"/>
    <w:unhideWhenUsed/>
    <w:qFormat/>
    <w:rsid w:val="00CA5136"/>
    <w:pPr>
      <w:spacing w:after="0" w:line="240" w:lineRule="auto"/>
    </w:pPr>
    <w:rPr>
      <w:sz w:val="20"/>
      <w:szCs w:val="20"/>
    </w:rPr>
  </w:style>
  <w:style w:type="character" w:customStyle="1" w:styleId="FootnoteTextChar">
    <w:name w:val="Footnote Text Char"/>
    <w:basedOn w:val="DefaultParagraphFont"/>
    <w:link w:val="FootnoteText"/>
    <w:rsid w:val="00CA5136"/>
    <w:rPr>
      <w:sz w:val="20"/>
      <w:szCs w:val="20"/>
    </w:rPr>
  </w:style>
  <w:style w:type="character" w:styleId="FootnoteReference">
    <w:name w:val="footnote reference"/>
    <w:basedOn w:val="DefaultParagraphFont"/>
    <w:unhideWhenUsed/>
    <w:rsid w:val="00CA5136"/>
    <w:rPr>
      <w:vertAlign w:val="superscript"/>
    </w:rPr>
  </w:style>
  <w:style w:type="paragraph" w:customStyle="1" w:styleId="01squarebullet">
    <w:name w:val="01 square bullet"/>
    <w:basedOn w:val="Normal"/>
    <w:uiPriority w:val="4"/>
    <w:qFormat/>
    <w:rsid w:val="00D5762D"/>
    <w:pPr>
      <w:numPr>
        <w:numId w:val="17"/>
      </w:numPr>
      <w:spacing w:before="120" w:after="60" w:line="264" w:lineRule="auto"/>
      <w:ind w:left="357" w:right="142" w:hanging="357"/>
    </w:pPr>
    <w:rPr>
      <w:rFonts w:ascii="Georgia" w:eastAsia="Times New Roman" w:hAnsi="Georgia" w:cs="Times New Roman"/>
      <w:sz w:val="24"/>
      <w:szCs w:val="20"/>
      <w:lang w:val="en-US" w:eastAsia="en-US"/>
    </w:rPr>
  </w:style>
  <w:style w:type="paragraph" w:customStyle="1" w:styleId="02dash">
    <w:name w:val="02 dash"/>
    <w:basedOn w:val="01squarebullet"/>
    <w:uiPriority w:val="5"/>
    <w:qFormat/>
    <w:rsid w:val="00D5762D"/>
    <w:pPr>
      <w:numPr>
        <w:ilvl w:val="1"/>
      </w:numPr>
      <w:ind w:left="641"/>
    </w:pPr>
  </w:style>
  <w:style w:type="paragraph" w:customStyle="1" w:styleId="03opensquarebullet">
    <w:name w:val="03 open square bullet"/>
    <w:basedOn w:val="02dash"/>
    <w:uiPriority w:val="6"/>
    <w:qFormat/>
    <w:rsid w:val="00D5762D"/>
    <w:pPr>
      <w:numPr>
        <w:ilvl w:val="2"/>
      </w:numPr>
    </w:pPr>
  </w:style>
  <w:style w:type="paragraph" w:customStyle="1" w:styleId="04shortdash">
    <w:name w:val="04 short dash"/>
    <w:basedOn w:val="03opensquarebullet"/>
    <w:uiPriority w:val="7"/>
    <w:qFormat/>
    <w:rsid w:val="00D5762D"/>
    <w:pPr>
      <w:numPr>
        <w:ilvl w:val="3"/>
      </w:numPr>
    </w:pPr>
  </w:style>
  <w:style w:type="paragraph" w:customStyle="1" w:styleId="Reportsubtitle">
    <w:name w:val="Report subtitle"/>
    <w:qFormat/>
    <w:rsid w:val="00E47761"/>
    <w:pPr>
      <w:spacing w:before="240" w:after="0" w:line="240" w:lineRule="auto"/>
      <w:ind w:right="2552"/>
      <w:contextualSpacing/>
    </w:pPr>
    <w:rPr>
      <w:rFonts w:asciiTheme="minorHAnsi" w:eastAsiaTheme="minorEastAsia" w:hAnsiTheme="minorHAnsi" w:cstheme="minorBidi"/>
      <w:color w:val="003B5C"/>
      <w:sz w:val="44"/>
      <w:szCs w:val="48"/>
      <w:lang w:eastAsia="ko-KR"/>
    </w:rPr>
  </w:style>
  <w:style w:type="paragraph" w:customStyle="1" w:styleId="Textanchor">
    <w:name w:val="Text anchor"/>
    <w:basedOn w:val="Reportsubtitle"/>
    <w:qFormat/>
    <w:rsid w:val="00E47761"/>
    <w:pPr>
      <w:spacing w:before="0"/>
    </w:pPr>
    <w:rPr>
      <w:sz w:val="2"/>
    </w:rPr>
  </w:style>
  <w:style w:type="paragraph" w:customStyle="1" w:styleId="ReportTitle">
    <w:name w:val="Report Title"/>
    <w:qFormat/>
    <w:rsid w:val="00E47761"/>
    <w:pPr>
      <w:spacing w:after="0" w:line="240" w:lineRule="auto"/>
      <w:ind w:right="2552"/>
      <w:contextualSpacing/>
    </w:pPr>
    <w:rPr>
      <w:rFonts w:asciiTheme="minorHAnsi" w:eastAsiaTheme="minorEastAsia" w:hAnsiTheme="minorHAnsi" w:cstheme="minorBidi"/>
      <w:sz w:val="88"/>
      <w:szCs w:val="88"/>
      <w:lang w:eastAsia="ko-KR"/>
    </w:rPr>
  </w:style>
  <w:style w:type="paragraph" w:customStyle="1" w:styleId="Reportdetails">
    <w:name w:val="Report details"/>
    <w:basedOn w:val="Normal"/>
    <w:qFormat/>
    <w:rsid w:val="00E47761"/>
    <w:pPr>
      <w:snapToGrid w:val="0"/>
      <w:spacing w:after="0" w:line="240" w:lineRule="auto"/>
      <w:contextualSpacing/>
    </w:pPr>
    <w:rPr>
      <w:rFonts w:asciiTheme="minorHAnsi" w:eastAsiaTheme="minorEastAsia" w:hAnsiTheme="minorHAnsi" w:cstheme="minorBidi"/>
      <w:b/>
      <w:sz w:val="24"/>
      <w:szCs w:val="24"/>
      <w:lang w:eastAsia="ko-KR"/>
    </w:rPr>
  </w:style>
  <w:style w:type="paragraph" w:styleId="Header">
    <w:name w:val="header"/>
    <w:basedOn w:val="Normal"/>
    <w:link w:val="HeaderChar"/>
    <w:uiPriority w:val="99"/>
    <w:unhideWhenUsed/>
    <w:rsid w:val="00E477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7761"/>
  </w:style>
  <w:style w:type="paragraph" w:styleId="NormalWeb">
    <w:name w:val="Normal (Web)"/>
    <w:basedOn w:val="Normal"/>
    <w:uiPriority w:val="99"/>
    <w:unhideWhenUsed/>
    <w:rsid w:val="00AC72AF"/>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9A276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A276F"/>
    <w:rPr>
      <w:sz w:val="20"/>
      <w:szCs w:val="20"/>
    </w:rPr>
  </w:style>
  <w:style w:type="character" w:styleId="EndnoteReference">
    <w:name w:val="endnote reference"/>
    <w:basedOn w:val="DefaultParagraphFont"/>
    <w:uiPriority w:val="99"/>
    <w:semiHidden/>
    <w:unhideWhenUsed/>
    <w:rsid w:val="009A276F"/>
    <w:rPr>
      <w:vertAlign w:val="superscript"/>
    </w:rPr>
  </w:style>
  <w:style w:type="paragraph" w:customStyle="1" w:styleId="Pa5">
    <w:name w:val="Pa5"/>
    <w:basedOn w:val="Default"/>
    <w:next w:val="Default"/>
    <w:uiPriority w:val="99"/>
    <w:rsid w:val="00004A66"/>
    <w:pPr>
      <w:spacing w:line="221" w:lineRule="atLeast"/>
    </w:pPr>
    <w:rPr>
      <w:rFonts w:ascii="Adobe Garamond Pro" w:eastAsia="Calibri" w:hAnsi="Adobe Garamond Pro"/>
      <w:color w:val="auto"/>
      <w:lang w:eastAsia="en-GB"/>
    </w:rPr>
  </w:style>
  <w:style w:type="paragraph" w:customStyle="1" w:styleId="Body">
    <w:name w:val="Body"/>
    <w:rsid w:val="00A63382"/>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val="en-US" w:eastAsia="en-US"/>
    </w:rPr>
  </w:style>
  <w:style w:type="paragraph" w:styleId="Footer">
    <w:name w:val="footer"/>
    <w:basedOn w:val="Normal"/>
    <w:link w:val="FooterChar"/>
    <w:uiPriority w:val="99"/>
    <w:unhideWhenUsed/>
    <w:rsid w:val="00C95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54BD"/>
  </w:style>
  <w:style w:type="paragraph" w:styleId="Revision">
    <w:name w:val="Revision"/>
    <w:hidden/>
    <w:uiPriority w:val="99"/>
    <w:semiHidden/>
    <w:rsid w:val="00AE0FD0"/>
    <w:pPr>
      <w:spacing w:after="0" w:line="240" w:lineRule="auto"/>
    </w:pPr>
  </w:style>
  <w:style w:type="table" w:customStyle="1" w:styleId="PAConsulting">
    <w:name w:val="PA Consulting"/>
    <w:basedOn w:val="TableNormal"/>
    <w:uiPriority w:val="99"/>
    <w:rsid w:val="005A0305"/>
    <w:pPr>
      <w:spacing w:after="0" w:line="240" w:lineRule="auto"/>
    </w:pPr>
    <w:rPr>
      <w:rFonts w:ascii="Arial" w:eastAsia="Arial" w:hAnsi="Arial" w:cs="Times New Roman"/>
      <w:lang w:eastAsia="en-US"/>
    </w:rPr>
    <w:tblPr>
      <w:tblBorders>
        <w:top w:val="single" w:sz="4" w:space="0" w:color="9AB1C5"/>
        <w:bottom w:val="single" w:sz="4" w:space="0" w:color="9AB1C5"/>
        <w:insideH w:val="single" w:sz="4" w:space="0" w:color="9AB1C5"/>
      </w:tblBorders>
    </w:tblPr>
    <w:tcPr>
      <w:shd w:val="clear" w:color="auto" w:fill="F5F8FA"/>
    </w:tcPr>
    <w:tblStylePr w:type="firstRow">
      <w:tblPr/>
      <w:tcPr>
        <w:tcBorders>
          <w:top w:val="single" w:sz="4" w:space="0" w:color="3876BE"/>
          <w:left w:val="nil"/>
          <w:bottom w:val="single" w:sz="4" w:space="0" w:color="3876BE"/>
          <w:right w:val="nil"/>
          <w:insideH w:val="nil"/>
          <w:insideV w:val="nil"/>
          <w:tl2br w:val="nil"/>
          <w:tr2bl w:val="nil"/>
        </w:tcBorders>
        <w:shd w:val="clear" w:color="auto" w:fill="3876BE"/>
      </w:tcPr>
    </w:tblStylePr>
  </w:style>
  <w:style w:type="paragraph" w:styleId="ListBullet">
    <w:name w:val="List Bullet"/>
    <w:basedOn w:val="Normal"/>
    <w:uiPriority w:val="9"/>
    <w:qFormat/>
    <w:rsid w:val="007F7BE8"/>
    <w:pPr>
      <w:numPr>
        <w:numId w:val="32"/>
      </w:numPr>
      <w:spacing w:before="100" w:after="100" w:line="240" w:lineRule="auto"/>
      <w:ind w:left="360" w:hanging="360"/>
      <w:contextualSpacing/>
    </w:pPr>
    <w:rPr>
      <w:rFonts w:ascii="Arial" w:eastAsia="Arial" w:hAnsi="Arial" w:cs="Times New Roman"/>
      <w:color w:val="293947"/>
      <w:sz w:val="20"/>
      <w:lang w:eastAsia="en-US"/>
    </w:rPr>
  </w:style>
  <w:style w:type="paragraph" w:styleId="ListBullet2">
    <w:name w:val="List Bullet 2"/>
    <w:basedOn w:val="Normal"/>
    <w:uiPriority w:val="9"/>
    <w:qFormat/>
    <w:rsid w:val="007F7BE8"/>
    <w:pPr>
      <w:numPr>
        <w:ilvl w:val="1"/>
        <w:numId w:val="32"/>
      </w:numPr>
      <w:spacing w:before="100" w:after="100" w:line="240" w:lineRule="auto"/>
      <w:ind w:left="1080" w:hanging="360"/>
      <w:contextualSpacing/>
    </w:pPr>
    <w:rPr>
      <w:rFonts w:ascii="Arial" w:eastAsia="Arial" w:hAnsi="Arial" w:cs="Times New Roman"/>
      <w:color w:val="293947"/>
      <w:sz w:val="20"/>
      <w:lang w:eastAsia="en-US"/>
    </w:rPr>
  </w:style>
  <w:style w:type="paragraph" w:styleId="ListNumber2">
    <w:name w:val="List Number 2"/>
    <w:basedOn w:val="Normal"/>
    <w:uiPriority w:val="10"/>
    <w:rsid w:val="007F7BE8"/>
    <w:pPr>
      <w:numPr>
        <w:ilvl w:val="1"/>
        <w:numId w:val="31"/>
      </w:numPr>
      <w:spacing w:before="100" w:after="100" w:line="240" w:lineRule="auto"/>
      <w:ind w:left="1440" w:hanging="360"/>
      <w:contextualSpacing/>
    </w:pPr>
    <w:rPr>
      <w:rFonts w:ascii="Arial" w:eastAsia="Arial" w:hAnsi="Arial" w:cs="Times New Roman"/>
      <w:color w:val="293947"/>
      <w:sz w:val="20"/>
      <w:lang w:eastAsia="en-US"/>
    </w:rPr>
  </w:style>
  <w:style w:type="paragraph" w:styleId="ListNumber3">
    <w:name w:val="List Number 3"/>
    <w:basedOn w:val="Normal"/>
    <w:uiPriority w:val="10"/>
    <w:rsid w:val="007F7BE8"/>
    <w:pPr>
      <w:numPr>
        <w:ilvl w:val="2"/>
        <w:numId w:val="31"/>
      </w:numPr>
      <w:spacing w:before="100" w:after="100" w:line="240" w:lineRule="auto"/>
      <w:ind w:left="2160" w:hanging="360"/>
      <w:contextualSpacing/>
    </w:pPr>
    <w:rPr>
      <w:rFonts w:ascii="Arial" w:eastAsia="Arial" w:hAnsi="Arial" w:cs="Times New Roman"/>
      <w:color w:val="293947"/>
      <w:sz w:val="20"/>
      <w:lang w:eastAsia="en-US"/>
    </w:rPr>
  </w:style>
  <w:style w:type="table" w:customStyle="1" w:styleId="PAConsulting1">
    <w:name w:val="PA Consulting1"/>
    <w:basedOn w:val="TableNormal"/>
    <w:uiPriority w:val="99"/>
    <w:rsid w:val="007F7BE8"/>
    <w:pPr>
      <w:spacing w:after="0" w:line="240" w:lineRule="auto"/>
    </w:pPr>
    <w:rPr>
      <w:rFonts w:ascii="Arial" w:eastAsia="Arial" w:hAnsi="Arial" w:cs="Times New Roman"/>
      <w:lang w:eastAsia="en-US"/>
    </w:rPr>
    <w:tblPr>
      <w:tblBorders>
        <w:top w:val="single" w:sz="4" w:space="0" w:color="9AB1C5"/>
        <w:bottom w:val="single" w:sz="4" w:space="0" w:color="9AB1C5"/>
        <w:insideH w:val="single" w:sz="4" w:space="0" w:color="9AB1C5"/>
      </w:tblBorders>
    </w:tblPr>
    <w:tcPr>
      <w:shd w:val="clear" w:color="auto" w:fill="F5F8FA"/>
    </w:tcPr>
    <w:tblStylePr w:type="firstRow">
      <w:tblPr/>
      <w:tcPr>
        <w:tcBorders>
          <w:top w:val="single" w:sz="4" w:space="0" w:color="3876BE"/>
          <w:left w:val="nil"/>
          <w:bottom w:val="single" w:sz="4" w:space="0" w:color="3876BE"/>
          <w:right w:val="nil"/>
          <w:insideH w:val="nil"/>
          <w:insideV w:val="nil"/>
          <w:tl2br w:val="nil"/>
          <w:tr2bl w:val="nil"/>
        </w:tcBorders>
        <w:shd w:val="clear" w:color="auto" w:fill="3876BE"/>
      </w:tcPr>
    </w:tblStylePr>
  </w:style>
  <w:style w:type="table" w:customStyle="1" w:styleId="PAConsulting2">
    <w:name w:val="PA Consulting2"/>
    <w:basedOn w:val="TableNormal"/>
    <w:uiPriority w:val="99"/>
    <w:rsid w:val="007F7BE8"/>
    <w:pPr>
      <w:spacing w:after="0" w:line="240" w:lineRule="auto"/>
    </w:pPr>
    <w:rPr>
      <w:rFonts w:ascii="Arial" w:eastAsia="Arial" w:hAnsi="Arial" w:cs="Times New Roman"/>
      <w:lang w:eastAsia="en-US"/>
    </w:rPr>
    <w:tblPr>
      <w:tblBorders>
        <w:top w:val="single" w:sz="4" w:space="0" w:color="9AB1C5"/>
        <w:bottom w:val="single" w:sz="4" w:space="0" w:color="9AB1C5"/>
        <w:insideH w:val="single" w:sz="4" w:space="0" w:color="9AB1C5"/>
      </w:tblBorders>
    </w:tblPr>
    <w:tcPr>
      <w:shd w:val="clear" w:color="auto" w:fill="F5F8FA"/>
    </w:tcPr>
    <w:tblStylePr w:type="firstRow">
      <w:tblPr/>
      <w:tcPr>
        <w:tcBorders>
          <w:top w:val="single" w:sz="4" w:space="0" w:color="3876BE"/>
          <w:left w:val="nil"/>
          <w:bottom w:val="single" w:sz="4" w:space="0" w:color="3876BE"/>
          <w:right w:val="nil"/>
          <w:insideH w:val="nil"/>
          <w:insideV w:val="nil"/>
          <w:tl2br w:val="nil"/>
          <w:tr2bl w:val="nil"/>
        </w:tcBorders>
        <w:shd w:val="clear" w:color="auto" w:fill="3876BE"/>
      </w:tcPr>
    </w:tblStylePr>
  </w:style>
  <w:style w:type="table" w:customStyle="1" w:styleId="PAConsulting3">
    <w:name w:val="PA Consulting3"/>
    <w:basedOn w:val="TableNormal"/>
    <w:uiPriority w:val="99"/>
    <w:rsid w:val="007F7BE8"/>
    <w:pPr>
      <w:spacing w:after="0" w:line="240" w:lineRule="auto"/>
    </w:pPr>
    <w:rPr>
      <w:rFonts w:ascii="Arial" w:eastAsia="Arial" w:hAnsi="Arial" w:cs="Times New Roman"/>
      <w:lang w:eastAsia="en-US"/>
    </w:rPr>
    <w:tblPr>
      <w:tblBorders>
        <w:top w:val="single" w:sz="4" w:space="0" w:color="9AB1C5"/>
        <w:bottom w:val="single" w:sz="4" w:space="0" w:color="9AB1C5"/>
        <w:insideH w:val="single" w:sz="4" w:space="0" w:color="9AB1C5"/>
      </w:tblBorders>
    </w:tblPr>
    <w:tcPr>
      <w:shd w:val="clear" w:color="auto" w:fill="F5F8FA"/>
    </w:tcPr>
    <w:tblStylePr w:type="firstRow">
      <w:tblPr/>
      <w:tcPr>
        <w:tcBorders>
          <w:top w:val="single" w:sz="4" w:space="0" w:color="3876BE"/>
          <w:left w:val="nil"/>
          <w:bottom w:val="single" w:sz="4" w:space="0" w:color="3876BE"/>
          <w:right w:val="nil"/>
          <w:insideH w:val="nil"/>
          <w:insideV w:val="nil"/>
          <w:tl2br w:val="nil"/>
          <w:tr2bl w:val="nil"/>
        </w:tcBorders>
        <w:shd w:val="clear" w:color="auto" w:fill="3876BE"/>
      </w:tcPr>
    </w:tblStylePr>
  </w:style>
  <w:style w:type="character" w:customStyle="1" w:styleId="UnresolvedMention1">
    <w:name w:val="Unresolved Mention1"/>
    <w:basedOn w:val="DefaultParagraphFont"/>
    <w:uiPriority w:val="99"/>
    <w:semiHidden/>
    <w:unhideWhenUsed/>
    <w:rsid w:val="00D56770"/>
    <w:rPr>
      <w:color w:val="605E5C"/>
      <w:shd w:val="clear" w:color="auto" w:fill="E1DFDD"/>
    </w:rPr>
  </w:style>
  <w:style w:type="paragraph" w:customStyle="1" w:styleId="Normal1">
    <w:name w:val="Normal1"/>
    <w:rsid w:val="00687908"/>
    <w:pPr>
      <w:spacing w:after="0"/>
    </w:pPr>
    <w:rPr>
      <w:rFonts w:ascii="Arial" w:eastAsia="Arial" w:hAnsi="Arial" w:cs="Arial"/>
      <w:color w:val="000000"/>
      <w:lang w:val="en" w:eastAsia="en-US"/>
    </w:rPr>
  </w:style>
  <w:style w:type="character" w:styleId="Strong">
    <w:name w:val="Strong"/>
    <w:basedOn w:val="DefaultParagraphFont"/>
    <w:uiPriority w:val="22"/>
    <w:qFormat/>
    <w:rsid w:val="00E67AA1"/>
    <w:rPr>
      <w:b/>
      <w:bCs/>
    </w:rPr>
  </w:style>
  <w:style w:type="paragraph" w:customStyle="1" w:styleId="NormalBold">
    <w:name w:val="Normal Bold"/>
    <w:basedOn w:val="Normal"/>
    <w:link w:val="NormalBoldChar"/>
    <w:qFormat/>
    <w:rsid w:val="00DE01EF"/>
    <w:pPr>
      <w:keepNext/>
      <w:spacing w:before="60" w:after="60" w:line="240" w:lineRule="auto"/>
    </w:pPr>
    <w:rPr>
      <w:rFonts w:ascii="Verdana" w:eastAsia="Times New Roman" w:hAnsi="Verdana" w:cs="Times New Roman"/>
      <w:b/>
      <w:sz w:val="18"/>
      <w:szCs w:val="20"/>
      <w:lang w:val="en-US" w:eastAsia="en-US"/>
    </w:rPr>
  </w:style>
  <w:style w:type="character" w:customStyle="1" w:styleId="NormalBoldChar">
    <w:name w:val="Normal Bold Char"/>
    <w:basedOn w:val="DefaultParagraphFont"/>
    <w:link w:val="NormalBold"/>
    <w:rsid w:val="00DE01EF"/>
    <w:rPr>
      <w:rFonts w:ascii="Verdana" w:eastAsia="Times New Roman" w:hAnsi="Verdana" w:cs="Times New Roman"/>
      <w:b/>
      <w:sz w:val="18"/>
      <w:szCs w:val="20"/>
      <w:lang w:val="en-US" w:eastAsia="en-US"/>
    </w:rPr>
  </w:style>
  <w:style w:type="table" w:customStyle="1" w:styleId="GridTable4-Accent11">
    <w:name w:val="Grid Table 4 - Accent 11"/>
    <w:basedOn w:val="TableNormal"/>
    <w:uiPriority w:val="49"/>
    <w:rsid w:val="001A0266"/>
    <w:pPr>
      <w:spacing w:after="0" w:line="240" w:lineRule="auto"/>
    </w:pPr>
    <w:rPr>
      <w:rFonts w:ascii="Times New Roman" w:eastAsia="Times New Roman" w:hAnsi="Times New Roman" w:cs="Times New Roman"/>
      <w:sz w:val="20"/>
      <w:szCs w:val="20"/>
      <w:lang w:val="nl-NL" w:eastAsia="nl-N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nhideWhenUsed/>
    <w:qFormat/>
    <w:rsid w:val="00C97643"/>
    <w:pPr>
      <w:keepNext/>
      <w:spacing w:before="120" w:after="0" w:line="240" w:lineRule="auto"/>
    </w:pPr>
    <w:rPr>
      <w:rFonts w:ascii="Arial" w:eastAsia="Times New Roman" w:hAnsi="Arial" w:cs="Arial"/>
      <w:b/>
      <w:bCs/>
      <w:i/>
      <w:iCs/>
      <w:sz w:val="20"/>
      <w:szCs w:val="20"/>
      <w:lang w:val="en-US" w:eastAsia="en-US"/>
    </w:rPr>
  </w:style>
  <w:style w:type="table" w:customStyle="1" w:styleId="GridTable1Light1">
    <w:name w:val="Grid Table 1 Light1"/>
    <w:basedOn w:val="TableNormal"/>
    <w:uiPriority w:val="46"/>
    <w:rsid w:val="002D03A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AConsulting4">
    <w:name w:val="PA Consulting4"/>
    <w:basedOn w:val="TableNormal"/>
    <w:uiPriority w:val="99"/>
    <w:rsid w:val="00F467C6"/>
    <w:pPr>
      <w:spacing w:after="0" w:line="240" w:lineRule="auto"/>
    </w:pPr>
    <w:rPr>
      <w:rFonts w:ascii="Arial" w:eastAsia="Arial" w:hAnsi="Arial" w:cs="Times New Roman"/>
      <w:lang w:eastAsia="en-US"/>
    </w:rPr>
    <w:tblPr>
      <w:tblBorders>
        <w:top w:val="single" w:sz="4" w:space="0" w:color="9AB1C5"/>
        <w:bottom w:val="single" w:sz="4" w:space="0" w:color="9AB1C5"/>
        <w:insideH w:val="single" w:sz="4" w:space="0" w:color="9AB1C5"/>
      </w:tblBorders>
    </w:tblPr>
    <w:tcPr>
      <w:shd w:val="clear" w:color="auto" w:fill="F5F8FA"/>
    </w:tcPr>
    <w:tblStylePr w:type="firstRow">
      <w:tblPr/>
      <w:tcPr>
        <w:tcBorders>
          <w:top w:val="single" w:sz="4" w:space="0" w:color="3876BE"/>
          <w:left w:val="nil"/>
          <w:bottom w:val="single" w:sz="4" w:space="0" w:color="3876BE"/>
          <w:right w:val="nil"/>
          <w:insideH w:val="nil"/>
          <w:insideV w:val="nil"/>
          <w:tl2br w:val="nil"/>
          <w:tr2bl w:val="nil"/>
        </w:tcBorders>
        <w:shd w:val="clear" w:color="auto" w:fill="3876BE"/>
      </w:tcPr>
    </w:tblStylePr>
  </w:style>
  <w:style w:type="table" w:customStyle="1" w:styleId="PAConsulting5">
    <w:name w:val="PA Consulting5"/>
    <w:basedOn w:val="TableNormal"/>
    <w:uiPriority w:val="99"/>
    <w:rsid w:val="00176D42"/>
    <w:pPr>
      <w:spacing w:after="0" w:line="240" w:lineRule="auto"/>
    </w:pPr>
    <w:rPr>
      <w:rFonts w:ascii="Arial" w:eastAsia="Arial" w:hAnsi="Arial" w:cs="Times New Roman"/>
      <w:lang w:eastAsia="en-US"/>
    </w:rPr>
    <w:tblPr>
      <w:tblBorders>
        <w:top w:val="single" w:sz="4" w:space="0" w:color="9AB1C5"/>
        <w:bottom w:val="single" w:sz="4" w:space="0" w:color="9AB1C5"/>
        <w:insideH w:val="single" w:sz="4" w:space="0" w:color="9AB1C5"/>
      </w:tblBorders>
    </w:tblPr>
    <w:tcPr>
      <w:shd w:val="clear" w:color="auto" w:fill="F5F8FA"/>
    </w:tcPr>
    <w:tblStylePr w:type="firstRow">
      <w:tblPr/>
      <w:tcPr>
        <w:tcBorders>
          <w:top w:val="single" w:sz="4" w:space="0" w:color="3876BE"/>
          <w:left w:val="nil"/>
          <w:bottom w:val="single" w:sz="4" w:space="0" w:color="3876BE"/>
          <w:right w:val="nil"/>
          <w:insideH w:val="nil"/>
          <w:insideV w:val="nil"/>
          <w:tl2br w:val="nil"/>
          <w:tr2bl w:val="nil"/>
        </w:tcBorders>
        <w:shd w:val="clear" w:color="auto" w:fill="3876BE"/>
      </w:tcPr>
    </w:tblStylePr>
  </w:style>
  <w:style w:type="table" w:styleId="MediumGrid2-Accent5">
    <w:name w:val="Medium Grid 2 Accent 5"/>
    <w:basedOn w:val="TableNormal"/>
    <w:uiPriority w:val="68"/>
    <w:semiHidden/>
    <w:unhideWhenUsed/>
    <w:rsid w:val="00B546CE"/>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A6">
    <w:name w:val="A6"/>
    <w:uiPriority w:val="99"/>
    <w:rsid w:val="00786989"/>
    <w:rPr>
      <w:rFonts w:cs="LVNRI K+ Humanist 777 BT"/>
      <w:color w:val="000000"/>
    </w:rPr>
  </w:style>
  <w:style w:type="paragraph" w:customStyle="1" w:styleId="BodyText">
    <w:name w:val="_Body Text"/>
    <w:basedOn w:val="Normal"/>
    <w:qFormat/>
    <w:rsid w:val="00FF03B7"/>
    <w:pPr>
      <w:spacing w:before="140" w:after="140" w:line="300" w:lineRule="exact"/>
      <w:jc w:val="both"/>
    </w:pPr>
    <w:rPr>
      <w:rFonts w:ascii="Arial" w:eastAsiaTheme="minorHAnsi" w:hAnsi="Arial" w:cs="Arial"/>
      <w:color w:val="000000" w:themeColor="text1"/>
      <w:szCs w:val="24"/>
      <w:lang w:eastAsia="en-US"/>
    </w:rPr>
  </w:style>
  <w:style w:type="paragraph" w:styleId="BodyText0">
    <w:name w:val="Body Text"/>
    <w:basedOn w:val="Normal"/>
    <w:link w:val="BodyTextChar"/>
    <w:rsid w:val="00B80669"/>
    <w:pPr>
      <w:spacing w:after="120" w:line="240" w:lineRule="auto"/>
    </w:pPr>
    <w:rPr>
      <w:rFonts w:ascii="Arial" w:eastAsia="PMingLiU" w:hAnsi="Arial" w:cs="Times New Roman"/>
      <w:szCs w:val="20"/>
      <w:lang w:eastAsia="en-US"/>
    </w:rPr>
  </w:style>
  <w:style w:type="character" w:customStyle="1" w:styleId="BodyTextChar">
    <w:name w:val="Body Text Char"/>
    <w:basedOn w:val="DefaultParagraphFont"/>
    <w:link w:val="BodyText0"/>
    <w:rsid w:val="00B80669"/>
    <w:rPr>
      <w:rFonts w:ascii="Arial" w:eastAsia="PMingLiU" w:hAnsi="Arial" w:cs="Times New Roman"/>
      <w:szCs w:val="20"/>
      <w:lang w:eastAsia="en-US"/>
    </w:rPr>
  </w:style>
  <w:style w:type="paragraph" w:styleId="TOC5">
    <w:name w:val="toc 5"/>
    <w:basedOn w:val="Normal"/>
    <w:next w:val="Normal"/>
    <w:autoRedefine/>
    <w:uiPriority w:val="39"/>
    <w:unhideWhenUsed/>
    <w:rsid w:val="00C8221A"/>
    <w:pPr>
      <w:spacing w:after="100" w:line="259" w:lineRule="auto"/>
      <w:ind w:left="880"/>
    </w:pPr>
    <w:rPr>
      <w:rFonts w:asciiTheme="minorHAnsi" w:eastAsiaTheme="minorEastAsia" w:hAnsiTheme="minorHAnsi" w:cstheme="minorBidi"/>
    </w:rPr>
  </w:style>
  <w:style w:type="paragraph" w:styleId="TOC7">
    <w:name w:val="toc 7"/>
    <w:basedOn w:val="Normal"/>
    <w:next w:val="Normal"/>
    <w:autoRedefine/>
    <w:uiPriority w:val="39"/>
    <w:unhideWhenUsed/>
    <w:rsid w:val="00C8221A"/>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C8221A"/>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C8221A"/>
    <w:pPr>
      <w:spacing w:after="100" w:line="259" w:lineRule="auto"/>
      <w:ind w:left="1760"/>
    </w:pPr>
    <w:rPr>
      <w:rFonts w:asciiTheme="minorHAnsi" w:eastAsiaTheme="minorEastAsia" w:hAnsiTheme="minorHAnsi" w:cstheme="minorBidi"/>
    </w:rPr>
  </w:style>
  <w:style w:type="character" w:customStyle="1" w:styleId="UnresolvedMention2">
    <w:name w:val="Unresolved Mention2"/>
    <w:basedOn w:val="DefaultParagraphFont"/>
    <w:uiPriority w:val="99"/>
    <w:semiHidden/>
    <w:unhideWhenUsed/>
    <w:rsid w:val="00C8221A"/>
    <w:rPr>
      <w:color w:val="605E5C"/>
      <w:shd w:val="clear" w:color="auto" w:fill="E1DFDD"/>
    </w:rPr>
  </w:style>
  <w:style w:type="table" w:customStyle="1" w:styleId="PAtableformatstandard">
    <w:name w:val="PA table format_standard"/>
    <w:basedOn w:val="TableNormal"/>
    <w:rsid w:val="00DE7536"/>
    <w:pPr>
      <w:spacing w:before="60" w:after="60" w:line="240" w:lineRule="atLeast"/>
    </w:pPr>
    <w:rPr>
      <w:rFonts w:ascii="Arial" w:eastAsia="Times New Roman" w:hAnsi="Arial" w:cs="Times New Roman"/>
      <w:color w:val="000000"/>
      <w:sz w:val="18"/>
      <w:szCs w:val="18"/>
      <w:lang w:eastAsia="en-US"/>
    </w:rPr>
    <w:tblPr>
      <w:tblStyleRowBandSize w:val="1"/>
      <w:tblStyleColBandSize w:val="1"/>
      <w:tblInd w:w="0" w:type="nil"/>
      <w:tblBorders>
        <w:top w:val="single" w:sz="4" w:space="0" w:color="4F81BD" w:themeColor="accent1"/>
        <w:bottom w:val="single" w:sz="4" w:space="0" w:color="D6E3F3"/>
        <w:insideH w:val="single" w:sz="4" w:space="0" w:color="D6E3F3"/>
        <w:insideV w:val="single" w:sz="4" w:space="0" w:color="DDDDDD"/>
      </w:tblBorders>
    </w:tblPr>
    <w:tcPr>
      <w:noWrap/>
    </w:tcPr>
    <w:tblStylePr w:type="firstRow">
      <w:pPr>
        <w:wordWrap/>
        <w:spacing w:beforeLines="0" w:before="100" w:beforeAutospacing="1" w:afterLines="0" w:after="100" w:afterAutospacing="1" w:line="280" w:lineRule="exact"/>
      </w:pPr>
      <w:rPr>
        <w:rFonts w:ascii="Arial" w:hAnsi="Arial" w:cs="Arial" w:hint="default"/>
        <w:b/>
        <w:i w:val="0"/>
        <w:color w:val="000000"/>
        <w:sz w:val="18"/>
        <w:szCs w:val="18"/>
      </w:rPr>
      <w:tblPr/>
      <w:tcPr>
        <w:tcBorders>
          <w:top w:val="nil"/>
          <w:left w:val="nil"/>
          <w:bottom w:val="nil"/>
          <w:right w:val="nil"/>
          <w:insideH w:val="nil"/>
          <w:insideV w:val="single" w:sz="4" w:space="0" w:color="FFFFFF"/>
          <w:tl2br w:val="nil"/>
          <w:tr2bl w:val="nil"/>
        </w:tcBorders>
        <w:shd w:val="clear" w:color="auto" w:fill="D6E3F3"/>
      </w:tcPr>
    </w:tblStylePr>
    <w:tblStylePr w:type="lastRow">
      <w:tblPr/>
      <w:tcPr>
        <w:tcBorders>
          <w:bottom w:val="single" w:sz="8" w:space="0" w:color="3876BE"/>
        </w:tcBorders>
      </w:tcPr>
    </w:tblStylePr>
    <w:tblStylePr w:type="band1Horz">
      <w:rPr>
        <w:sz w:val="18"/>
        <w:szCs w:val="18"/>
      </w:rPr>
      <w:tblPr/>
      <w:tcPr>
        <w:tcBorders>
          <w:top w:val="nil"/>
          <w:left w:val="nil"/>
          <w:bottom w:val="single" w:sz="4" w:space="0" w:color="3876BE"/>
          <w:right w:val="nil"/>
          <w:insideH w:val="single" w:sz="4" w:space="0" w:color="4F81BD" w:themeColor="accent1"/>
          <w:insideV w:val="single" w:sz="4" w:space="0" w:color="DDDDDD"/>
          <w:tl2br w:val="nil"/>
          <w:tr2bl w:val="nil"/>
        </w:tcBorders>
      </w:tcPr>
    </w:tblStylePr>
    <w:tblStylePr w:type="band2Horz">
      <w:pPr>
        <w:jc w:val="left"/>
      </w:pPr>
      <w:rPr>
        <w:rFonts w:ascii="Arial" w:hAnsi="Arial" w:cs="Arial" w:hint="default"/>
        <w:color w:val="000000"/>
        <w:sz w:val="18"/>
        <w:szCs w:val="18"/>
      </w:rPr>
      <w:tblPr/>
      <w:tcPr>
        <w:tcBorders>
          <w:top w:val="single" w:sz="4" w:space="0" w:color="4F81BD" w:themeColor="accent1"/>
          <w:left w:val="nil"/>
          <w:bottom w:val="single" w:sz="4" w:space="0" w:color="4F81BD" w:themeColor="accent1"/>
          <w:right w:val="nil"/>
          <w:insideH w:val="single" w:sz="4" w:space="0" w:color="4F81BD" w:themeColor="accent1"/>
          <w:insideV w:val="single" w:sz="4" w:space="0" w:color="D9D9D9" w:themeColor="background1" w:themeShade="D9"/>
          <w:tl2br w:val="nil"/>
          <w:tr2bl w:val="nil"/>
        </w:tcBorders>
      </w:tcPr>
    </w:tblStylePr>
    <w:tblStylePr w:type="nwCell">
      <w:rPr>
        <w:rFonts w:ascii="Arial" w:hAnsi="Arial" w:cs="Arial" w:hint="default"/>
        <w:b/>
        <w:color w:val="000000"/>
        <w:sz w:val="18"/>
        <w:szCs w:val="18"/>
      </w:rPr>
    </w:tblStylePr>
  </w:style>
  <w:style w:type="character" w:customStyle="1" w:styleId="UnresolvedMention3">
    <w:name w:val="Unresolved Mention3"/>
    <w:basedOn w:val="DefaultParagraphFont"/>
    <w:uiPriority w:val="99"/>
    <w:semiHidden/>
    <w:unhideWhenUsed/>
    <w:rsid w:val="005E30EF"/>
    <w:rPr>
      <w:color w:val="605E5C"/>
      <w:shd w:val="clear" w:color="auto" w:fill="E1DFDD"/>
    </w:rPr>
  </w:style>
  <w:style w:type="table" w:customStyle="1" w:styleId="PlainTable11">
    <w:name w:val="Plain Table 11"/>
    <w:basedOn w:val="TableNormal"/>
    <w:next w:val="PlainTable12"/>
    <w:uiPriority w:val="41"/>
    <w:rsid w:val="005E30EF"/>
    <w:pPr>
      <w:spacing w:after="0" w:line="240" w:lineRule="auto"/>
    </w:pPr>
    <w:rPr>
      <w:rFonts w:cs="Times New Roman"/>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uiPriority w:val="41"/>
    <w:rsid w:val="005E30E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
    <w:name w:val="5"/>
    <w:basedOn w:val="TableNormal"/>
    <w:rsid w:val="002F4789"/>
    <w:tblPr>
      <w:tblStyleRowBandSize w:val="1"/>
      <w:tblStyleColBandSize w:val="1"/>
      <w:tblCellMar>
        <w:left w:w="115" w:type="dxa"/>
        <w:right w:w="115" w:type="dxa"/>
      </w:tblCellMar>
    </w:tblPr>
  </w:style>
  <w:style w:type="table" w:customStyle="1" w:styleId="4">
    <w:name w:val="4"/>
    <w:basedOn w:val="TableNormal"/>
    <w:rsid w:val="002F4789"/>
    <w:pPr>
      <w:spacing w:after="0" w:line="240" w:lineRule="auto"/>
    </w:pPr>
    <w:rPr>
      <w:rFonts w:ascii="Times New Roman" w:eastAsia="Times New Roman" w:hAnsi="Times New Roman" w:cs="Times New Roman"/>
    </w:rPr>
    <w:tblPr>
      <w:tblStyleRowBandSize w:val="1"/>
      <w:tblStyleColBandSize w:val="1"/>
    </w:tblPr>
  </w:style>
  <w:style w:type="table" w:customStyle="1" w:styleId="3">
    <w:name w:val="3"/>
    <w:basedOn w:val="TableNormal"/>
    <w:rsid w:val="002F4789"/>
    <w:tblPr>
      <w:tblStyleRowBandSize w:val="1"/>
      <w:tblStyleColBandSize w:val="1"/>
      <w:tblCellMar>
        <w:left w:w="115" w:type="dxa"/>
        <w:right w:w="115" w:type="dxa"/>
      </w:tblCellMar>
    </w:tblPr>
  </w:style>
  <w:style w:type="table" w:customStyle="1" w:styleId="2">
    <w:name w:val="2"/>
    <w:basedOn w:val="TableNormal"/>
    <w:rsid w:val="002F4789"/>
    <w:tblPr>
      <w:tblStyleRowBandSize w:val="1"/>
      <w:tblStyleColBandSize w:val="1"/>
      <w:tblCellMar>
        <w:left w:w="115" w:type="dxa"/>
        <w:right w:w="115" w:type="dxa"/>
      </w:tblCellMar>
    </w:tblPr>
  </w:style>
  <w:style w:type="table" w:customStyle="1" w:styleId="1">
    <w:name w:val="1"/>
    <w:basedOn w:val="TableNormal"/>
    <w:rsid w:val="002F4789"/>
    <w:pPr>
      <w:spacing w:after="0" w:line="240" w:lineRule="auto"/>
    </w:pPr>
    <w:rPr>
      <w:rFonts w:ascii="Times New Roman" w:eastAsia="Times New Roman" w:hAnsi="Times New Roman" w:cs="Times New Roman"/>
    </w:rPr>
    <w:tblPr>
      <w:tblStyleRowBandSize w:val="1"/>
      <w:tblStyleColBandSize w:val="1"/>
    </w:tblPr>
  </w:style>
  <w:style w:type="paragraph" w:customStyle="1" w:styleId="TableHeading">
    <w:name w:val="Table Heading"/>
    <w:basedOn w:val="BodyText0"/>
    <w:uiPriority w:val="16"/>
    <w:qFormat/>
    <w:rsid w:val="002F4789"/>
    <w:pPr>
      <w:spacing w:before="100" w:after="100"/>
    </w:pPr>
    <w:rPr>
      <w:rFonts w:eastAsiaTheme="minorHAnsi" w:cstheme="minorBidi"/>
      <w:b/>
      <w:color w:val="FFFFFF" w:themeColor="background1"/>
      <w:sz w:val="20"/>
      <w:szCs w:val="22"/>
    </w:rPr>
  </w:style>
  <w:style w:type="paragraph" w:customStyle="1" w:styleId="TableText">
    <w:name w:val="Table Text"/>
    <w:basedOn w:val="Normal"/>
    <w:uiPriority w:val="18"/>
    <w:qFormat/>
    <w:rsid w:val="002F4789"/>
    <w:pPr>
      <w:spacing w:before="100" w:after="100" w:line="240" w:lineRule="auto"/>
    </w:pPr>
    <w:rPr>
      <w:rFonts w:ascii="Arial" w:eastAsiaTheme="minorHAnsi" w:hAnsi="Arial" w:cstheme="minorBidi"/>
      <w:color w:val="000000" w:themeColor="text1"/>
      <w:sz w:val="20"/>
      <w:lang w:eastAsia="en-US"/>
    </w:rPr>
  </w:style>
  <w:style w:type="character" w:styleId="FollowedHyperlink">
    <w:name w:val="FollowedHyperlink"/>
    <w:basedOn w:val="DefaultParagraphFont"/>
    <w:uiPriority w:val="99"/>
    <w:semiHidden/>
    <w:unhideWhenUsed/>
    <w:rsid w:val="004040D3"/>
    <w:rPr>
      <w:color w:val="800080" w:themeColor="followedHyperlink"/>
      <w:u w:val="single"/>
    </w:rPr>
  </w:style>
  <w:style w:type="table" w:styleId="TableGridLight">
    <w:name w:val="Grid Table Light"/>
    <w:basedOn w:val="TableNormal"/>
    <w:uiPriority w:val="40"/>
    <w:rsid w:val="00DF2B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4">
    <w:name w:val="Unresolved Mention4"/>
    <w:basedOn w:val="DefaultParagraphFont"/>
    <w:uiPriority w:val="99"/>
    <w:semiHidden/>
    <w:unhideWhenUsed/>
    <w:rsid w:val="00FF6E56"/>
    <w:rPr>
      <w:color w:val="605E5C"/>
      <w:shd w:val="clear" w:color="auto" w:fill="E1DFDD"/>
    </w:rPr>
  </w:style>
  <w:style w:type="paragraph" w:styleId="TableofFigures">
    <w:name w:val="table of figures"/>
    <w:basedOn w:val="Normal"/>
    <w:next w:val="Normal"/>
    <w:uiPriority w:val="99"/>
    <w:unhideWhenUsed/>
    <w:rsid w:val="00655C0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050">
      <w:bodyDiv w:val="1"/>
      <w:marLeft w:val="0"/>
      <w:marRight w:val="0"/>
      <w:marTop w:val="0"/>
      <w:marBottom w:val="0"/>
      <w:divBdr>
        <w:top w:val="none" w:sz="0" w:space="0" w:color="auto"/>
        <w:left w:val="none" w:sz="0" w:space="0" w:color="auto"/>
        <w:bottom w:val="none" w:sz="0" w:space="0" w:color="auto"/>
        <w:right w:val="none" w:sz="0" w:space="0" w:color="auto"/>
      </w:divBdr>
      <w:divsChild>
        <w:div w:id="1021280077">
          <w:marLeft w:val="274"/>
          <w:marRight w:val="0"/>
          <w:marTop w:val="0"/>
          <w:marBottom w:val="0"/>
          <w:divBdr>
            <w:top w:val="none" w:sz="0" w:space="0" w:color="auto"/>
            <w:left w:val="none" w:sz="0" w:space="0" w:color="auto"/>
            <w:bottom w:val="none" w:sz="0" w:space="0" w:color="auto"/>
            <w:right w:val="none" w:sz="0" w:space="0" w:color="auto"/>
          </w:divBdr>
        </w:div>
        <w:div w:id="514880329">
          <w:marLeft w:val="274"/>
          <w:marRight w:val="0"/>
          <w:marTop w:val="0"/>
          <w:marBottom w:val="0"/>
          <w:divBdr>
            <w:top w:val="none" w:sz="0" w:space="0" w:color="auto"/>
            <w:left w:val="none" w:sz="0" w:space="0" w:color="auto"/>
            <w:bottom w:val="none" w:sz="0" w:space="0" w:color="auto"/>
            <w:right w:val="none" w:sz="0" w:space="0" w:color="auto"/>
          </w:divBdr>
        </w:div>
        <w:div w:id="1966425662">
          <w:marLeft w:val="274"/>
          <w:marRight w:val="0"/>
          <w:marTop w:val="0"/>
          <w:marBottom w:val="0"/>
          <w:divBdr>
            <w:top w:val="none" w:sz="0" w:space="0" w:color="auto"/>
            <w:left w:val="none" w:sz="0" w:space="0" w:color="auto"/>
            <w:bottom w:val="none" w:sz="0" w:space="0" w:color="auto"/>
            <w:right w:val="none" w:sz="0" w:space="0" w:color="auto"/>
          </w:divBdr>
        </w:div>
        <w:div w:id="253980701">
          <w:marLeft w:val="274"/>
          <w:marRight w:val="0"/>
          <w:marTop w:val="0"/>
          <w:marBottom w:val="0"/>
          <w:divBdr>
            <w:top w:val="none" w:sz="0" w:space="0" w:color="auto"/>
            <w:left w:val="none" w:sz="0" w:space="0" w:color="auto"/>
            <w:bottom w:val="none" w:sz="0" w:space="0" w:color="auto"/>
            <w:right w:val="none" w:sz="0" w:space="0" w:color="auto"/>
          </w:divBdr>
        </w:div>
        <w:div w:id="498467673">
          <w:marLeft w:val="274"/>
          <w:marRight w:val="0"/>
          <w:marTop w:val="0"/>
          <w:marBottom w:val="0"/>
          <w:divBdr>
            <w:top w:val="none" w:sz="0" w:space="0" w:color="auto"/>
            <w:left w:val="none" w:sz="0" w:space="0" w:color="auto"/>
            <w:bottom w:val="none" w:sz="0" w:space="0" w:color="auto"/>
            <w:right w:val="none" w:sz="0" w:space="0" w:color="auto"/>
          </w:divBdr>
        </w:div>
      </w:divsChild>
    </w:div>
    <w:div w:id="26876476">
      <w:bodyDiv w:val="1"/>
      <w:marLeft w:val="0"/>
      <w:marRight w:val="0"/>
      <w:marTop w:val="0"/>
      <w:marBottom w:val="0"/>
      <w:divBdr>
        <w:top w:val="none" w:sz="0" w:space="0" w:color="auto"/>
        <w:left w:val="none" w:sz="0" w:space="0" w:color="auto"/>
        <w:bottom w:val="none" w:sz="0" w:space="0" w:color="auto"/>
        <w:right w:val="none" w:sz="0" w:space="0" w:color="auto"/>
      </w:divBdr>
    </w:div>
    <w:div w:id="43599770">
      <w:bodyDiv w:val="1"/>
      <w:marLeft w:val="0"/>
      <w:marRight w:val="0"/>
      <w:marTop w:val="0"/>
      <w:marBottom w:val="0"/>
      <w:divBdr>
        <w:top w:val="none" w:sz="0" w:space="0" w:color="auto"/>
        <w:left w:val="none" w:sz="0" w:space="0" w:color="auto"/>
        <w:bottom w:val="none" w:sz="0" w:space="0" w:color="auto"/>
        <w:right w:val="none" w:sz="0" w:space="0" w:color="auto"/>
      </w:divBdr>
    </w:div>
    <w:div w:id="71852195">
      <w:bodyDiv w:val="1"/>
      <w:marLeft w:val="0"/>
      <w:marRight w:val="0"/>
      <w:marTop w:val="0"/>
      <w:marBottom w:val="0"/>
      <w:divBdr>
        <w:top w:val="none" w:sz="0" w:space="0" w:color="auto"/>
        <w:left w:val="none" w:sz="0" w:space="0" w:color="auto"/>
        <w:bottom w:val="none" w:sz="0" w:space="0" w:color="auto"/>
        <w:right w:val="none" w:sz="0" w:space="0" w:color="auto"/>
      </w:divBdr>
      <w:divsChild>
        <w:div w:id="644548666">
          <w:marLeft w:val="274"/>
          <w:marRight w:val="0"/>
          <w:marTop w:val="0"/>
          <w:marBottom w:val="0"/>
          <w:divBdr>
            <w:top w:val="none" w:sz="0" w:space="0" w:color="auto"/>
            <w:left w:val="none" w:sz="0" w:space="0" w:color="auto"/>
            <w:bottom w:val="none" w:sz="0" w:space="0" w:color="auto"/>
            <w:right w:val="none" w:sz="0" w:space="0" w:color="auto"/>
          </w:divBdr>
        </w:div>
        <w:div w:id="576671613">
          <w:marLeft w:val="274"/>
          <w:marRight w:val="0"/>
          <w:marTop w:val="0"/>
          <w:marBottom w:val="0"/>
          <w:divBdr>
            <w:top w:val="none" w:sz="0" w:space="0" w:color="auto"/>
            <w:left w:val="none" w:sz="0" w:space="0" w:color="auto"/>
            <w:bottom w:val="none" w:sz="0" w:space="0" w:color="auto"/>
            <w:right w:val="none" w:sz="0" w:space="0" w:color="auto"/>
          </w:divBdr>
        </w:div>
        <w:div w:id="113910357">
          <w:marLeft w:val="274"/>
          <w:marRight w:val="0"/>
          <w:marTop w:val="0"/>
          <w:marBottom w:val="0"/>
          <w:divBdr>
            <w:top w:val="none" w:sz="0" w:space="0" w:color="auto"/>
            <w:left w:val="none" w:sz="0" w:space="0" w:color="auto"/>
            <w:bottom w:val="none" w:sz="0" w:space="0" w:color="auto"/>
            <w:right w:val="none" w:sz="0" w:space="0" w:color="auto"/>
          </w:divBdr>
        </w:div>
        <w:div w:id="1680816497">
          <w:marLeft w:val="274"/>
          <w:marRight w:val="0"/>
          <w:marTop w:val="0"/>
          <w:marBottom w:val="0"/>
          <w:divBdr>
            <w:top w:val="none" w:sz="0" w:space="0" w:color="auto"/>
            <w:left w:val="none" w:sz="0" w:space="0" w:color="auto"/>
            <w:bottom w:val="none" w:sz="0" w:space="0" w:color="auto"/>
            <w:right w:val="none" w:sz="0" w:space="0" w:color="auto"/>
          </w:divBdr>
        </w:div>
        <w:div w:id="1241521585">
          <w:marLeft w:val="274"/>
          <w:marRight w:val="0"/>
          <w:marTop w:val="0"/>
          <w:marBottom w:val="0"/>
          <w:divBdr>
            <w:top w:val="none" w:sz="0" w:space="0" w:color="auto"/>
            <w:left w:val="none" w:sz="0" w:space="0" w:color="auto"/>
            <w:bottom w:val="none" w:sz="0" w:space="0" w:color="auto"/>
            <w:right w:val="none" w:sz="0" w:space="0" w:color="auto"/>
          </w:divBdr>
        </w:div>
        <w:div w:id="72244697">
          <w:marLeft w:val="274"/>
          <w:marRight w:val="0"/>
          <w:marTop w:val="0"/>
          <w:marBottom w:val="0"/>
          <w:divBdr>
            <w:top w:val="none" w:sz="0" w:space="0" w:color="auto"/>
            <w:left w:val="none" w:sz="0" w:space="0" w:color="auto"/>
            <w:bottom w:val="none" w:sz="0" w:space="0" w:color="auto"/>
            <w:right w:val="none" w:sz="0" w:space="0" w:color="auto"/>
          </w:divBdr>
        </w:div>
      </w:divsChild>
    </w:div>
    <w:div w:id="75976282">
      <w:bodyDiv w:val="1"/>
      <w:marLeft w:val="0"/>
      <w:marRight w:val="0"/>
      <w:marTop w:val="0"/>
      <w:marBottom w:val="0"/>
      <w:divBdr>
        <w:top w:val="none" w:sz="0" w:space="0" w:color="auto"/>
        <w:left w:val="none" w:sz="0" w:space="0" w:color="auto"/>
        <w:bottom w:val="none" w:sz="0" w:space="0" w:color="auto"/>
        <w:right w:val="none" w:sz="0" w:space="0" w:color="auto"/>
      </w:divBdr>
      <w:divsChild>
        <w:div w:id="1213079132">
          <w:marLeft w:val="274"/>
          <w:marRight w:val="0"/>
          <w:marTop w:val="0"/>
          <w:marBottom w:val="0"/>
          <w:divBdr>
            <w:top w:val="none" w:sz="0" w:space="0" w:color="auto"/>
            <w:left w:val="none" w:sz="0" w:space="0" w:color="auto"/>
            <w:bottom w:val="none" w:sz="0" w:space="0" w:color="auto"/>
            <w:right w:val="none" w:sz="0" w:space="0" w:color="auto"/>
          </w:divBdr>
        </w:div>
        <w:div w:id="1817645170">
          <w:marLeft w:val="274"/>
          <w:marRight w:val="0"/>
          <w:marTop w:val="0"/>
          <w:marBottom w:val="0"/>
          <w:divBdr>
            <w:top w:val="none" w:sz="0" w:space="0" w:color="auto"/>
            <w:left w:val="none" w:sz="0" w:space="0" w:color="auto"/>
            <w:bottom w:val="none" w:sz="0" w:space="0" w:color="auto"/>
            <w:right w:val="none" w:sz="0" w:space="0" w:color="auto"/>
          </w:divBdr>
        </w:div>
        <w:div w:id="1436319593">
          <w:marLeft w:val="274"/>
          <w:marRight w:val="0"/>
          <w:marTop w:val="0"/>
          <w:marBottom w:val="0"/>
          <w:divBdr>
            <w:top w:val="none" w:sz="0" w:space="0" w:color="auto"/>
            <w:left w:val="none" w:sz="0" w:space="0" w:color="auto"/>
            <w:bottom w:val="none" w:sz="0" w:space="0" w:color="auto"/>
            <w:right w:val="none" w:sz="0" w:space="0" w:color="auto"/>
          </w:divBdr>
        </w:div>
        <w:div w:id="2095322472">
          <w:marLeft w:val="274"/>
          <w:marRight w:val="0"/>
          <w:marTop w:val="0"/>
          <w:marBottom w:val="0"/>
          <w:divBdr>
            <w:top w:val="none" w:sz="0" w:space="0" w:color="auto"/>
            <w:left w:val="none" w:sz="0" w:space="0" w:color="auto"/>
            <w:bottom w:val="none" w:sz="0" w:space="0" w:color="auto"/>
            <w:right w:val="none" w:sz="0" w:space="0" w:color="auto"/>
          </w:divBdr>
        </w:div>
        <w:div w:id="1824350667">
          <w:marLeft w:val="274"/>
          <w:marRight w:val="0"/>
          <w:marTop w:val="0"/>
          <w:marBottom w:val="0"/>
          <w:divBdr>
            <w:top w:val="none" w:sz="0" w:space="0" w:color="auto"/>
            <w:left w:val="none" w:sz="0" w:space="0" w:color="auto"/>
            <w:bottom w:val="none" w:sz="0" w:space="0" w:color="auto"/>
            <w:right w:val="none" w:sz="0" w:space="0" w:color="auto"/>
          </w:divBdr>
        </w:div>
        <w:div w:id="1670449883">
          <w:marLeft w:val="274"/>
          <w:marRight w:val="0"/>
          <w:marTop w:val="0"/>
          <w:marBottom w:val="0"/>
          <w:divBdr>
            <w:top w:val="none" w:sz="0" w:space="0" w:color="auto"/>
            <w:left w:val="none" w:sz="0" w:space="0" w:color="auto"/>
            <w:bottom w:val="none" w:sz="0" w:space="0" w:color="auto"/>
            <w:right w:val="none" w:sz="0" w:space="0" w:color="auto"/>
          </w:divBdr>
        </w:div>
      </w:divsChild>
    </w:div>
    <w:div w:id="77798156">
      <w:bodyDiv w:val="1"/>
      <w:marLeft w:val="0"/>
      <w:marRight w:val="0"/>
      <w:marTop w:val="0"/>
      <w:marBottom w:val="0"/>
      <w:divBdr>
        <w:top w:val="none" w:sz="0" w:space="0" w:color="auto"/>
        <w:left w:val="none" w:sz="0" w:space="0" w:color="auto"/>
        <w:bottom w:val="none" w:sz="0" w:space="0" w:color="auto"/>
        <w:right w:val="none" w:sz="0" w:space="0" w:color="auto"/>
      </w:divBdr>
    </w:div>
    <w:div w:id="78988998">
      <w:bodyDiv w:val="1"/>
      <w:marLeft w:val="0"/>
      <w:marRight w:val="0"/>
      <w:marTop w:val="0"/>
      <w:marBottom w:val="0"/>
      <w:divBdr>
        <w:top w:val="none" w:sz="0" w:space="0" w:color="auto"/>
        <w:left w:val="none" w:sz="0" w:space="0" w:color="auto"/>
        <w:bottom w:val="none" w:sz="0" w:space="0" w:color="auto"/>
        <w:right w:val="none" w:sz="0" w:space="0" w:color="auto"/>
      </w:divBdr>
    </w:div>
    <w:div w:id="99840452">
      <w:bodyDiv w:val="1"/>
      <w:marLeft w:val="0"/>
      <w:marRight w:val="0"/>
      <w:marTop w:val="0"/>
      <w:marBottom w:val="0"/>
      <w:divBdr>
        <w:top w:val="none" w:sz="0" w:space="0" w:color="auto"/>
        <w:left w:val="none" w:sz="0" w:space="0" w:color="auto"/>
        <w:bottom w:val="none" w:sz="0" w:space="0" w:color="auto"/>
        <w:right w:val="none" w:sz="0" w:space="0" w:color="auto"/>
      </w:divBdr>
      <w:divsChild>
        <w:div w:id="218784210">
          <w:marLeft w:val="274"/>
          <w:marRight w:val="0"/>
          <w:marTop w:val="120"/>
          <w:marBottom w:val="0"/>
          <w:divBdr>
            <w:top w:val="none" w:sz="0" w:space="0" w:color="auto"/>
            <w:left w:val="none" w:sz="0" w:space="0" w:color="auto"/>
            <w:bottom w:val="none" w:sz="0" w:space="0" w:color="auto"/>
            <w:right w:val="none" w:sz="0" w:space="0" w:color="auto"/>
          </w:divBdr>
        </w:div>
        <w:div w:id="519200631">
          <w:marLeft w:val="274"/>
          <w:marRight w:val="0"/>
          <w:marTop w:val="120"/>
          <w:marBottom w:val="0"/>
          <w:divBdr>
            <w:top w:val="none" w:sz="0" w:space="0" w:color="auto"/>
            <w:left w:val="none" w:sz="0" w:space="0" w:color="auto"/>
            <w:bottom w:val="none" w:sz="0" w:space="0" w:color="auto"/>
            <w:right w:val="none" w:sz="0" w:space="0" w:color="auto"/>
          </w:divBdr>
        </w:div>
        <w:div w:id="323359649">
          <w:marLeft w:val="274"/>
          <w:marRight w:val="0"/>
          <w:marTop w:val="120"/>
          <w:marBottom w:val="0"/>
          <w:divBdr>
            <w:top w:val="none" w:sz="0" w:space="0" w:color="auto"/>
            <w:left w:val="none" w:sz="0" w:space="0" w:color="auto"/>
            <w:bottom w:val="none" w:sz="0" w:space="0" w:color="auto"/>
            <w:right w:val="none" w:sz="0" w:space="0" w:color="auto"/>
          </w:divBdr>
        </w:div>
      </w:divsChild>
    </w:div>
    <w:div w:id="107168211">
      <w:bodyDiv w:val="1"/>
      <w:marLeft w:val="0"/>
      <w:marRight w:val="0"/>
      <w:marTop w:val="0"/>
      <w:marBottom w:val="0"/>
      <w:divBdr>
        <w:top w:val="none" w:sz="0" w:space="0" w:color="auto"/>
        <w:left w:val="none" w:sz="0" w:space="0" w:color="auto"/>
        <w:bottom w:val="none" w:sz="0" w:space="0" w:color="auto"/>
        <w:right w:val="none" w:sz="0" w:space="0" w:color="auto"/>
      </w:divBdr>
    </w:div>
    <w:div w:id="113329816">
      <w:bodyDiv w:val="1"/>
      <w:marLeft w:val="0"/>
      <w:marRight w:val="0"/>
      <w:marTop w:val="0"/>
      <w:marBottom w:val="0"/>
      <w:divBdr>
        <w:top w:val="none" w:sz="0" w:space="0" w:color="auto"/>
        <w:left w:val="none" w:sz="0" w:space="0" w:color="auto"/>
        <w:bottom w:val="none" w:sz="0" w:space="0" w:color="auto"/>
        <w:right w:val="none" w:sz="0" w:space="0" w:color="auto"/>
      </w:divBdr>
      <w:divsChild>
        <w:div w:id="564216579">
          <w:marLeft w:val="274"/>
          <w:marRight w:val="0"/>
          <w:marTop w:val="0"/>
          <w:marBottom w:val="0"/>
          <w:divBdr>
            <w:top w:val="none" w:sz="0" w:space="0" w:color="auto"/>
            <w:left w:val="none" w:sz="0" w:space="0" w:color="auto"/>
            <w:bottom w:val="none" w:sz="0" w:space="0" w:color="auto"/>
            <w:right w:val="none" w:sz="0" w:space="0" w:color="auto"/>
          </w:divBdr>
        </w:div>
        <w:div w:id="1710183911">
          <w:marLeft w:val="274"/>
          <w:marRight w:val="0"/>
          <w:marTop w:val="0"/>
          <w:marBottom w:val="0"/>
          <w:divBdr>
            <w:top w:val="none" w:sz="0" w:space="0" w:color="auto"/>
            <w:left w:val="none" w:sz="0" w:space="0" w:color="auto"/>
            <w:bottom w:val="none" w:sz="0" w:space="0" w:color="auto"/>
            <w:right w:val="none" w:sz="0" w:space="0" w:color="auto"/>
          </w:divBdr>
        </w:div>
        <w:div w:id="1553157690">
          <w:marLeft w:val="274"/>
          <w:marRight w:val="0"/>
          <w:marTop w:val="0"/>
          <w:marBottom w:val="0"/>
          <w:divBdr>
            <w:top w:val="none" w:sz="0" w:space="0" w:color="auto"/>
            <w:left w:val="none" w:sz="0" w:space="0" w:color="auto"/>
            <w:bottom w:val="none" w:sz="0" w:space="0" w:color="auto"/>
            <w:right w:val="none" w:sz="0" w:space="0" w:color="auto"/>
          </w:divBdr>
        </w:div>
        <w:div w:id="1104764144">
          <w:marLeft w:val="274"/>
          <w:marRight w:val="0"/>
          <w:marTop w:val="0"/>
          <w:marBottom w:val="0"/>
          <w:divBdr>
            <w:top w:val="none" w:sz="0" w:space="0" w:color="auto"/>
            <w:left w:val="none" w:sz="0" w:space="0" w:color="auto"/>
            <w:bottom w:val="none" w:sz="0" w:space="0" w:color="auto"/>
            <w:right w:val="none" w:sz="0" w:space="0" w:color="auto"/>
          </w:divBdr>
        </w:div>
        <w:div w:id="741299416">
          <w:marLeft w:val="274"/>
          <w:marRight w:val="0"/>
          <w:marTop w:val="0"/>
          <w:marBottom w:val="0"/>
          <w:divBdr>
            <w:top w:val="none" w:sz="0" w:space="0" w:color="auto"/>
            <w:left w:val="none" w:sz="0" w:space="0" w:color="auto"/>
            <w:bottom w:val="none" w:sz="0" w:space="0" w:color="auto"/>
            <w:right w:val="none" w:sz="0" w:space="0" w:color="auto"/>
          </w:divBdr>
        </w:div>
        <w:div w:id="1977877672">
          <w:marLeft w:val="274"/>
          <w:marRight w:val="0"/>
          <w:marTop w:val="0"/>
          <w:marBottom w:val="0"/>
          <w:divBdr>
            <w:top w:val="none" w:sz="0" w:space="0" w:color="auto"/>
            <w:left w:val="none" w:sz="0" w:space="0" w:color="auto"/>
            <w:bottom w:val="none" w:sz="0" w:space="0" w:color="auto"/>
            <w:right w:val="none" w:sz="0" w:space="0" w:color="auto"/>
          </w:divBdr>
        </w:div>
        <w:div w:id="1687562671">
          <w:marLeft w:val="274"/>
          <w:marRight w:val="0"/>
          <w:marTop w:val="0"/>
          <w:marBottom w:val="0"/>
          <w:divBdr>
            <w:top w:val="none" w:sz="0" w:space="0" w:color="auto"/>
            <w:left w:val="none" w:sz="0" w:space="0" w:color="auto"/>
            <w:bottom w:val="none" w:sz="0" w:space="0" w:color="auto"/>
            <w:right w:val="none" w:sz="0" w:space="0" w:color="auto"/>
          </w:divBdr>
        </w:div>
        <w:div w:id="1577276192">
          <w:marLeft w:val="274"/>
          <w:marRight w:val="0"/>
          <w:marTop w:val="0"/>
          <w:marBottom w:val="0"/>
          <w:divBdr>
            <w:top w:val="none" w:sz="0" w:space="0" w:color="auto"/>
            <w:left w:val="none" w:sz="0" w:space="0" w:color="auto"/>
            <w:bottom w:val="none" w:sz="0" w:space="0" w:color="auto"/>
            <w:right w:val="none" w:sz="0" w:space="0" w:color="auto"/>
          </w:divBdr>
        </w:div>
      </w:divsChild>
    </w:div>
    <w:div w:id="128592750">
      <w:bodyDiv w:val="1"/>
      <w:marLeft w:val="0"/>
      <w:marRight w:val="0"/>
      <w:marTop w:val="0"/>
      <w:marBottom w:val="0"/>
      <w:divBdr>
        <w:top w:val="none" w:sz="0" w:space="0" w:color="auto"/>
        <w:left w:val="none" w:sz="0" w:space="0" w:color="auto"/>
        <w:bottom w:val="none" w:sz="0" w:space="0" w:color="auto"/>
        <w:right w:val="none" w:sz="0" w:space="0" w:color="auto"/>
      </w:divBdr>
    </w:div>
    <w:div w:id="142042592">
      <w:bodyDiv w:val="1"/>
      <w:marLeft w:val="0"/>
      <w:marRight w:val="0"/>
      <w:marTop w:val="0"/>
      <w:marBottom w:val="0"/>
      <w:divBdr>
        <w:top w:val="none" w:sz="0" w:space="0" w:color="auto"/>
        <w:left w:val="none" w:sz="0" w:space="0" w:color="auto"/>
        <w:bottom w:val="none" w:sz="0" w:space="0" w:color="auto"/>
        <w:right w:val="none" w:sz="0" w:space="0" w:color="auto"/>
      </w:divBdr>
    </w:div>
    <w:div w:id="147864541">
      <w:bodyDiv w:val="1"/>
      <w:marLeft w:val="0"/>
      <w:marRight w:val="0"/>
      <w:marTop w:val="0"/>
      <w:marBottom w:val="0"/>
      <w:divBdr>
        <w:top w:val="none" w:sz="0" w:space="0" w:color="auto"/>
        <w:left w:val="none" w:sz="0" w:space="0" w:color="auto"/>
        <w:bottom w:val="none" w:sz="0" w:space="0" w:color="auto"/>
        <w:right w:val="none" w:sz="0" w:space="0" w:color="auto"/>
      </w:divBdr>
    </w:div>
    <w:div w:id="154347739">
      <w:bodyDiv w:val="1"/>
      <w:marLeft w:val="0"/>
      <w:marRight w:val="0"/>
      <w:marTop w:val="0"/>
      <w:marBottom w:val="0"/>
      <w:divBdr>
        <w:top w:val="none" w:sz="0" w:space="0" w:color="auto"/>
        <w:left w:val="none" w:sz="0" w:space="0" w:color="auto"/>
        <w:bottom w:val="none" w:sz="0" w:space="0" w:color="auto"/>
        <w:right w:val="none" w:sz="0" w:space="0" w:color="auto"/>
      </w:divBdr>
      <w:divsChild>
        <w:div w:id="1893612229">
          <w:marLeft w:val="274"/>
          <w:marRight w:val="0"/>
          <w:marTop w:val="0"/>
          <w:marBottom w:val="0"/>
          <w:divBdr>
            <w:top w:val="none" w:sz="0" w:space="0" w:color="auto"/>
            <w:left w:val="none" w:sz="0" w:space="0" w:color="auto"/>
            <w:bottom w:val="none" w:sz="0" w:space="0" w:color="auto"/>
            <w:right w:val="none" w:sz="0" w:space="0" w:color="auto"/>
          </w:divBdr>
        </w:div>
        <w:div w:id="1199396821">
          <w:marLeft w:val="274"/>
          <w:marRight w:val="0"/>
          <w:marTop w:val="0"/>
          <w:marBottom w:val="0"/>
          <w:divBdr>
            <w:top w:val="none" w:sz="0" w:space="0" w:color="auto"/>
            <w:left w:val="none" w:sz="0" w:space="0" w:color="auto"/>
            <w:bottom w:val="none" w:sz="0" w:space="0" w:color="auto"/>
            <w:right w:val="none" w:sz="0" w:space="0" w:color="auto"/>
          </w:divBdr>
        </w:div>
        <w:div w:id="2013603549">
          <w:marLeft w:val="274"/>
          <w:marRight w:val="0"/>
          <w:marTop w:val="0"/>
          <w:marBottom w:val="0"/>
          <w:divBdr>
            <w:top w:val="none" w:sz="0" w:space="0" w:color="auto"/>
            <w:left w:val="none" w:sz="0" w:space="0" w:color="auto"/>
            <w:bottom w:val="none" w:sz="0" w:space="0" w:color="auto"/>
            <w:right w:val="none" w:sz="0" w:space="0" w:color="auto"/>
          </w:divBdr>
        </w:div>
        <w:div w:id="985475315">
          <w:marLeft w:val="274"/>
          <w:marRight w:val="0"/>
          <w:marTop w:val="0"/>
          <w:marBottom w:val="0"/>
          <w:divBdr>
            <w:top w:val="none" w:sz="0" w:space="0" w:color="auto"/>
            <w:left w:val="none" w:sz="0" w:space="0" w:color="auto"/>
            <w:bottom w:val="none" w:sz="0" w:space="0" w:color="auto"/>
            <w:right w:val="none" w:sz="0" w:space="0" w:color="auto"/>
          </w:divBdr>
        </w:div>
        <w:div w:id="1882741612">
          <w:marLeft w:val="274"/>
          <w:marRight w:val="0"/>
          <w:marTop w:val="0"/>
          <w:marBottom w:val="0"/>
          <w:divBdr>
            <w:top w:val="none" w:sz="0" w:space="0" w:color="auto"/>
            <w:left w:val="none" w:sz="0" w:space="0" w:color="auto"/>
            <w:bottom w:val="none" w:sz="0" w:space="0" w:color="auto"/>
            <w:right w:val="none" w:sz="0" w:space="0" w:color="auto"/>
          </w:divBdr>
        </w:div>
        <w:div w:id="1208032437">
          <w:marLeft w:val="274"/>
          <w:marRight w:val="0"/>
          <w:marTop w:val="0"/>
          <w:marBottom w:val="0"/>
          <w:divBdr>
            <w:top w:val="none" w:sz="0" w:space="0" w:color="auto"/>
            <w:left w:val="none" w:sz="0" w:space="0" w:color="auto"/>
            <w:bottom w:val="none" w:sz="0" w:space="0" w:color="auto"/>
            <w:right w:val="none" w:sz="0" w:space="0" w:color="auto"/>
          </w:divBdr>
        </w:div>
        <w:div w:id="589701536">
          <w:marLeft w:val="274"/>
          <w:marRight w:val="0"/>
          <w:marTop w:val="0"/>
          <w:marBottom w:val="0"/>
          <w:divBdr>
            <w:top w:val="none" w:sz="0" w:space="0" w:color="auto"/>
            <w:left w:val="none" w:sz="0" w:space="0" w:color="auto"/>
            <w:bottom w:val="none" w:sz="0" w:space="0" w:color="auto"/>
            <w:right w:val="none" w:sz="0" w:space="0" w:color="auto"/>
          </w:divBdr>
        </w:div>
        <w:div w:id="479612651">
          <w:marLeft w:val="274"/>
          <w:marRight w:val="0"/>
          <w:marTop w:val="0"/>
          <w:marBottom w:val="0"/>
          <w:divBdr>
            <w:top w:val="none" w:sz="0" w:space="0" w:color="auto"/>
            <w:left w:val="none" w:sz="0" w:space="0" w:color="auto"/>
            <w:bottom w:val="none" w:sz="0" w:space="0" w:color="auto"/>
            <w:right w:val="none" w:sz="0" w:space="0" w:color="auto"/>
          </w:divBdr>
        </w:div>
        <w:div w:id="1840075131">
          <w:marLeft w:val="274"/>
          <w:marRight w:val="0"/>
          <w:marTop w:val="0"/>
          <w:marBottom w:val="0"/>
          <w:divBdr>
            <w:top w:val="none" w:sz="0" w:space="0" w:color="auto"/>
            <w:left w:val="none" w:sz="0" w:space="0" w:color="auto"/>
            <w:bottom w:val="none" w:sz="0" w:space="0" w:color="auto"/>
            <w:right w:val="none" w:sz="0" w:space="0" w:color="auto"/>
          </w:divBdr>
        </w:div>
        <w:div w:id="65417322">
          <w:marLeft w:val="274"/>
          <w:marRight w:val="0"/>
          <w:marTop w:val="0"/>
          <w:marBottom w:val="0"/>
          <w:divBdr>
            <w:top w:val="none" w:sz="0" w:space="0" w:color="auto"/>
            <w:left w:val="none" w:sz="0" w:space="0" w:color="auto"/>
            <w:bottom w:val="none" w:sz="0" w:space="0" w:color="auto"/>
            <w:right w:val="none" w:sz="0" w:space="0" w:color="auto"/>
          </w:divBdr>
        </w:div>
        <w:div w:id="884097030">
          <w:marLeft w:val="274"/>
          <w:marRight w:val="0"/>
          <w:marTop w:val="0"/>
          <w:marBottom w:val="0"/>
          <w:divBdr>
            <w:top w:val="none" w:sz="0" w:space="0" w:color="auto"/>
            <w:left w:val="none" w:sz="0" w:space="0" w:color="auto"/>
            <w:bottom w:val="none" w:sz="0" w:space="0" w:color="auto"/>
            <w:right w:val="none" w:sz="0" w:space="0" w:color="auto"/>
          </w:divBdr>
        </w:div>
        <w:div w:id="84886651">
          <w:marLeft w:val="274"/>
          <w:marRight w:val="0"/>
          <w:marTop w:val="0"/>
          <w:marBottom w:val="0"/>
          <w:divBdr>
            <w:top w:val="none" w:sz="0" w:space="0" w:color="auto"/>
            <w:left w:val="none" w:sz="0" w:space="0" w:color="auto"/>
            <w:bottom w:val="none" w:sz="0" w:space="0" w:color="auto"/>
            <w:right w:val="none" w:sz="0" w:space="0" w:color="auto"/>
          </w:divBdr>
        </w:div>
        <w:div w:id="100102952">
          <w:marLeft w:val="274"/>
          <w:marRight w:val="0"/>
          <w:marTop w:val="0"/>
          <w:marBottom w:val="0"/>
          <w:divBdr>
            <w:top w:val="none" w:sz="0" w:space="0" w:color="auto"/>
            <w:left w:val="none" w:sz="0" w:space="0" w:color="auto"/>
            <w:bottom w:val="none" w:sz="0" w:space="0" w:color="auto"/>
            <w:right w:val="none" w:sz="0" w:space="0" w:color="auto"/>
          </w:divBdr>
        </w:div>
        <w:div w:id="2098482633">
          <w:marLeft w:val="274"/>
          <w:marRight w:val="0"/>
          <w:marTop w:val="0"/>
          <w:marBottom w:val="0"/>
          <w:divBdr>
            <w:top w:val="none" w:sz="0" w:space="0" w:color="auto"/>
            <w:left w:val="none" w:sz="0" w:space="0" w:color="auto"/>
            <w:bottom w:val="none" w:sz="0" w:space="0" w:color="auto"/>
            <w:right w:val="none" w:sz="0" w:space="0" w:color="auto"/>
          </w:divBdr>
        </w:div>
        <w:div w:id="1100226407">
          <w:marLeft w:val="274"/>
          <w:marRight w:val="0"/>
          <w:marTop w:val="0"/>
          <w:marBottom w:val="0"/>
          <w:divBdr>
            <w:top w:val="none" w:sz="0" w:space="0" w:color="auto"/>
            <w:left w:val="none" w:sz="0" w:space="0" w:color="auto"/>
            <w:bottom w:val="none" w:sz="0" w:space="0" w:color="auto"/>
            <w:right w:val="none" w:sz="0" w:space="0" w:color="auto"/>
          </w:divBdr>
        </w:div>
        <w:div w:id="1352143966">
          <w:marLeft w:val="274"/>
          <w:marRight w:val="0"/>
          <w:marTop w:val="0"/>
          <w:marBottom w:val="0"/>
          <w:divBdr>
            <w:top w:val="none" w:sz="0" w:space="0" w:color="auto"/>
            <w:left w:val="none" w:sz="0" w:space="0" w:color="auto"/>
            <w:bottom w:val="none" w:sz="0" w:space="0" w:color="auto"/>
            <w:right w:val="none" w:sz="0" w:space="0" w:color="auto"/>
          </w:divBdr>
        </w:div>
        <w:div w:id="133910338">
          <w:marLeft w:val="274"/>
          <w:marRight w:val="0"/>
          <w:marTop w:val="0"/>
          <w:marBottom w:val="0"/>
          <w:divBdr>
            <w:top w:val="none" w:sz="0" w:space="0" w:color="auto"/>
            <w:left w:val="none" w:sz="0" w:space="0" w:color="auto"/>
            <w:bottom w:val="none" w:sz="0" w:space="0" w:color="auto"/>
            <w:right w:val="none" w:sz="0" w:space="0" w:color="auto"/>
          </w:divBdr>
        </w:div>
        <w:div w:id="240527476">
          <w:marLeft w:val="274"/>
          <w:marRight w:val="0"/>
          <w:marTop w:val="0"/>
          <w:marBottom w:val="0"/>
          <w:divBdr>
            <w:top w:val="none" w:sz="0" w:space="0" w:color="auto"/>
            <w:left w:val="none" w:sz="0" w:space="0" w:color="auto"/>
            <w:bottom w:val="none" w:sz="0" w:space="0" w:color="auto"/>
            <w:right w:val="none" w:sz="0" w:space="0" w:color="auto"/>
          </w:divBdr>
        </w:div>
      </w:divsChild>
    </w:div>
    <w:div w:id="156309343">
      <w:bodyDiv w:val="1"/>
      <w:marLeft w:val="0"/>
      <w:marRight w:val="0"/>
      <w:marTop w:val="0"/>
      <w:marBottom w:val="0"/>
      <w:divBdr>
        <w:top w:val="none" w:sz="0" w:space="0" w:color="auto"/>
        <w:left w:val="none" w:sz="0" w:space="0" w:color="auto"/>
        <w:bottom w:val="none" w:sz="0" w:space="0" w:color="auto"/>
        <w:right w:val="none" w:sz="0" w:space="0" w:color="auto"/>
      </w:divBdr>
    </w:div>
    <w:div w:id="163669264">
      <w:bodyDiv w:val="1"/>
      <w:marLeft w:val="0"/>
      <w:marRight w:val="0"/>
      <w:marTop w:val="0"/>
      <w:marBottom w:val="0"/>
      <w:divBdr>
        <w:top w:val="none" w:sz="0" w:space="0" w:color="auto"/>
        <w:left w:val="none" w:sz="0" w:space="0" w:color="auto"/>
        <w:bottom w:val="none" w:sz="0" w:space="0" w:color="auto"/>
        <w:right w:val="none" w:sz="0" w:space="0" w:color="auto"/>
      </w:divBdr>
    </w:div>
    <w:div w:id="171916419">
      <w:bodyDiv w:val="1"/>
      <w:marLeft w:val="0"/>
      <w:marRight w:val="0"/>
      <w:marTop w:val="0"/>
      <w:marBottom w:val="0"/>
      <w:divBdr>
        <w:top w:val="none" w:sz="0" w:space="0" w:color="auto"/>
        <w:left w:val="none" w:sz="0" w:space="0" w:color="auto"/>
        <w:bottom w:val="none" w:sz="0" w:space="0" w:color="auto"/>
        <w:right w:val="none" w:sz="0" w:space="0" w:color="auto"/>
      </w:divBdr>
    </w:div>
    <w:div w:id="179783428">
      <w:bodyDiv w:val="1"/>
      <w:marLeft w:val="0"/>
      <w:marRight w:val="0"/>
      <w:marTop w:val="0"/>
      <w:marBottom w:val="0"/>
      <w:divBdr>
        <w:top w:val="none" w:sz="0" w:space="0" w:color="auto"/>
        <w:left w:val="none" w:sz="0" w:space="0" w:color="auto"/>
        <w:bottom w:val="none" w:sz="0" w:space="0" w:color="auto"/>
        <w:right w:val="none" w:sz="0" w:space="0" w:color="auto"/>
      </w:divBdr>
    </w:div>
    <w:div w:id="190193271">
      <w:bodyDiv w:val="1"/>
      <w:marLeft w:val="0"/>
      <w:marRight w:val="0"/>
      <w:marTop w:val="0"/>
      <w:marBottom w:val="0"/>
      <w:divBdr>
        <w:top w:val="none" w:sz="0" w:space="0" w:color="auto"/>
        <w:left w:val="none" w:sz="0" w:space="0" w:color="auto"/>
        <w:bottom w:val="none" w:sz="0" w:space="0" w:color="auto"/>
        <w:right w:val="none" w:sz="0" w:space="0" w:color="auto"/>
      </w:divBdr>
    </w:div>
    <w:div w:id="205723890">
      <w:bodyDiv w:val="1"/>
      <w:marLeft w:val="0"/>
      <w:marRight w:val="0"/>
      <w:marTop w:val="0"/>
      <w:marBottom w:val="0"/>
      <w:divBdr>
        <w:top w:val="none" w:sz="0" w:space="0" w:color="auto"/>
        <w:left w:val="none" w:sz="0" w:space="0" w:color="auto"/>
        <w:bottom w:val="none" w:sz="0" w:space="0" w:color="auto"/>
        <w:right w:val="none" w:sz="0" w:space="0" w:color="auto"/>
      </w:divBdr>
      <w:divsChild>
        <w:div w:id="1463618158">
          <w:marLeft w:val="274"/>
          <w:marRight w:val="0"/>
          <w:marTop w:val="0"/>
          <w:marBottom w:val="0"/>
          <w:divBdr>
            <w:top w:val="none" w:sz="0" w:space="0" w:color="auto"/>
            <w:left w:val="none" w:sz="0" w:space="0" w:color="auto"/>
            <w:bottom w:val="none" w:sz="0" w:space="0" w:color="auto"/>
            <w:right w:val="none" w:sz="0" w:space="0" w:color="auto"/>
          </w:divBdr>
        </w:div>
        <w:div w:id="1755785656">
          <w:marLeft w:val="274"/>
          <w:marRight w:val="0"/>
          <w:marTop w:val="0"/>
          <w:marBottom w:val="0"/>
          <w:divBdr>
            <w:top w:val="none" w:sz="0" w:space="0" w:color="auto"/>
            <w:left w:val="none" w:sz="0" w:space="0" w:color="auto"/>
            <w:bottom w:val="none" w:sz="0" w:space="0" w:color="auto"/>
            <w:right w:val="none" w:sz="0" w:space="0" w:color="auto"/>
          </w:divBdr>
        </w:div>
        <w:div w:id="104232945">
          <w:marLeft w:val="274"/>
          <w:marRight w:val="0"/>
          <w:marTop w:val="0"/>
          <w:marBottom w:val="0"/>
          <w:divBdr>
            <w:top w:val="none" w:sz="0" w:space="0" w:color="auto"/>
            <w:left w:val="none" w:sz="0" w:space="0" w:color="auto"/>
            <w:bottom w:val="none" w:sz="0" w:space="0" w:color="auto"/>
            <w:right w:val="none" w:sz="0" w:space="0" w:color="auto"/>
          </w:divBdr>
        </w:div>
        <w:div w:id="1281037725">
          <w:marLeft w:val="274"/>
          <w:marRight w:val="0"/>
          <w:marTop w:val="0"/>
          <w:marBottom w:val="0"/>
          <w:divBdr>
            <w:top w:val="none" w:sz="0" w:space="0" w:color="auto"/>
            <w:left w:val="none" w:sz="0" w:space="0" w:color="auto"/>
            <w:bottom w:val="none" w:sz="0" w:space="0" w:color="auto"/>
            <w:right w:val="none" w:sz="0" w:space="0" w:color="auto"/>
          </w:divBdr>
        </w:div>
        <w:div w:id="939677501">
          <w:marLeft w:val="274"/>
          <w:marRight w:val="0"/>
          <w:marTop w:val="0"/>
          <w:marBottom w:val="0"/>
          <w:divBdr>
            <w:top w:val="none" w:sz="0" w:space="0" w:color="auto"/>
            <w:left w:val="none" w:sz="0" w:space="0" w:color="auto"/>
            <w:bottom w:val="none" w:sz="0" w:space="0" w:color="auto"/>
            <w:right w:val="none" w:sz="0" w:space="0" w:color="auto"/>
          </w:divBdr>
        </w:div>
        <w:div w:id="1518347881">
          <w:marLeft w:val="274"/>
          <w:marRight w:val="0"/>
          <w:marTop w:val="0"/>
          <w:marBottom w:val="0"/>
          <w:divBdr>
            <w:top w:val="none" w:sz="0" w:space="0" w:color="auto"/>
            <w:left w:val="none" w:sz="0" w:space="0" w:color="auto"/>
            <w:bottom w:val="none" w:sz="0" w:space="0" w:color="auto"/>
            <w:right w:val="none" w:sz="0" w:space="0" w:color="auto"/>
          </w:divBdr>
        </w:div>
      </w:divsChild>
    </w:div>
    <w:div w:id="243415700">
      <w:bodyDiv w:val="1"/>
      <w:marLeft w:val="0"/>
      <w:marRight w:val="0"/>
      <w:marTop w:val="0"/>
      <w:marBottom w:val="0"/>
      <w:divBdr>
        <w:top w:val="none" w:sz="0" w:space="0" w:color="auto"/>
        <w:left w:val="none" w:sz="0" w:space="0" w:color="auto"/>
        <w:bottom w:val="none" w:sz="0" w:space="0" w:color="auto"/>
        <w:right w:val="none" w:sz="0" w:space="0" w:color="auto"/>
      </w:divBdr>
    </w:div>
    <w:div w:id="260188583">
      <w:bodyDiv w:val="1"/>
      <w:marLeft w:val="0"/>
      <w:marRight w:val="0"/>
      <w:marTop w:val="0"/>
      <w:marBottom w:val="0"/>
      <w:divBdr>
        <w:top w:val="none" w:sz="0" w:space="0" w:color="auto"/>
        <w:left w:val="none" w:sz="0" w:space="0" w:color="auto"/>
        <w:bottom w:val="none" w:sz="0" w:space="0" w:color="auto"/>
        <w:right w:val="none" w:sz="0" w:space="0" w:color="auto"/>
      </w:divBdr>
    </w:div>
    <w:div w:id="261113077">
      <w:bodyDiv w:val="1"/>
      <w:marLeft w:val="0"/>
      <w:marRight w:val="0"/>
      <w:marTop w:val="0"/>
      <w:marBottom w:val="0"/>
      <w:divBdr>
        <w:top w:val="none" w:sz="0" w:space="0" w:color="auto"/>
        <w:left w:val="none" w:sz="0" w:space="0" w:color="auto"/>
        <w:bottom w:val="none" w:sz="0" w:space="0" w:color="auto"/>
        <w:right w:val="none" w:sz="0" w:space="0" w:color="auto"/>
      </w:divBdr>
      <w:divsChild>
        <w:div w:id="2009822421">
          <w:marLeft w:val="446"/>
          <w:marRight w:val="0"/>
          <w:marTop w:val="75"/>
          <w:marBottom w:val="30"/>
          <w:divBdr>
            <w:top w:val="none" w:sz="0" w:space="0" w:color="auto"/>
            <w:left w:val="none" w:sz="0" w:space="0" w:color="auto"/>
            <w:bottom w:val="none" w:sz="0" w:space="0" w:color="auto"/>
            <w:right w:val="none" w:sz="0" w:space="0" w:color="auto"/>
          </w:divBdr>
        </w:div>
        <w:div w:id="1652102276">
          <w:marLeft w:val="446"/>
          <w:marRight w:val="0"/>
          <w:marTop w:val="75"/>
          <w:marBottom w:val="30"/>
          <w:divBdr>
            <w:top w:val="none" w:sz="0" w:space="0" w:color="auto"/>
            <w:left w:val="none" w:sz="0" w:space="0" w:color="auto"/>
            <w:bottom w:val="none" w:sz="0" w:space="0" w:color="auto"/>
            <w:right w:val="none" w:sz="0" w:space="0" w:color="auto"/>
          </w:divBdr>
        </w:div>
        <w:div w:id="983847915">
          <w:marLeft w:val="446"/>
          <w:marRight w:val="0"/>
          <w:marTop w:val="75"/>
          <w:marBottom w:val="30"/>
          <w:divBdr>
            <w:top w:val="none" w:sz="0" w:space="0" w:color="auto"/>
            <w:left w:val="none" w:sz="0" w:space="0" w:color="auto"/>
            <w:bottom w:val="none" w:sz="0" w:space="0" w:color="auto"/>
            <w:right w:val="none" w:sz="0" w:space="0" w:color="auto"/>
          </w:divBdr>
        </w:div>
      </w:divsChild>
    </w:div>
    <w:div w:id="267394633">
      <w:bodyDiv w:val="1"/>
      <w:marLeft w:val="0"/>
      <w:marRight w:val="0"/>
      <w:marTop w:val="0"/>
      <w:marBottom w:val="0"/>
      <w:divBdr>
        <w:top w:val="none" w:sz="0" w:space="0" w:color="auto"/>
        <w:left w:val="none" w:sz="0" w:space="0" w:color="auto"/>
        <w:bottom w:val="none" w:sz="0" w:space="0" w:color="auto"/>
        <w:right w:val="none" w:sz="0" w:space="0" w:color="auto"/>
      </w:divBdr>
      <w:divsChild>
        <w:div w:id="1888490986">
          <w:marLeft w:val="0"/>
          <w:marRight w:val="0"/>
          <w:marTop w:val="15"/>
          <w:marBottom w:val="60"/>
          <w:divBdr>
            <w:top w:val="none" w:sz="0" w:space="0" w:color="auto"/>
            <w:left w:val="none" w:sz="0" w:space="0" w:color="auto"/>
            <w:bottom w:val="none" w:sz="0" w:space="0" w:color="auto"/>
            <w:right w:val="none" w:sz="0" w:space="0" w:color="auto"/>
          </w:divBdr>
          <w:divsChild>
            <w:div w:id="597711331">
              <w:marLeft w:val="0"/>
              <w:marRight w:val="0"/>
              <w:marTop w:val="0"/>
              <w:marBottom w:val="0"/>
              <w:divBdr>
                <w:top w:val="none" w:sz="0" w:space="0" w:color="auto"/>
                <w:left w:val="none" w:sz="0" w:space="0" w:color="auto"/>
                <w:bottom w:val="none" w:sz="0" w:space="0" w:color="auto"/>
                <w:right w:val="none" w:sz="0" w:space="0" w:color="auto"/>
              </w:divBdr>
              <w:divsChild>
                <w:div w:id="92167213">
                  <w:marLeft w:val="0"/>
                  <w:marRight w:val="0"/>
                  <w:marTop w:val="0"/>
                  <w:marBottom w:val="0"/>
                  <w:divBdr>
                    <w:top w:val="none" w:sz="0" w:space="0" w:color="auto"/>
                    <w:left w:val="none" w:sz="0" w:space="0" w:color="auto"/>
                    <w:bottom w:val="none" w:sz="0" w:space="0" w:color="auto"/>
                    <w:right w:val="none" w:sz="0" w:space="0" w:color="auto"/>
                  </w:divBdr>
                </w:div>
                <w:div w:id="1572689607">
                  <w:marLeft w:val="0"/>
                  <w:marRight w:val="0"/>
                  <w:marTop w:val="0"/>
                  <w:marBottom w:val="0"/>
                  <w:divBdr>
                    <w:top w:val="none" w:sz="0" w:space="0" w:color="auto"/>
                    <w:left w:val="none" w:sz="0" w:space="0" w:color="auto"/>
                    <w:bottom w:val="none" w:sz="0" w:space="0" w:color="auto"/>
                    <w:right w:val="none" w:sz="0" w:space="0" w:color="auto"/>
                  </w:divBdr>
                </w:div>
                <w:div w:id="883756382">
                  <w:marLeft w:val="0"/>
                  <w:marRight w:val="0"/>
                  <w:marTop w:val="0"/>
                  <w:marBottom w:val="0"/>
                  <w:divBdr>
                    <w:top w:val="none" w:sz="0" w:space="0" w:color="auto"/>
                    <w:left w:val="none" w:sz="0" w:space="0" w:color="auto"/>
                    <w:bottom w:val="none" w:sz="0" w:space="0" w:color="auto"/>
                    <w:right w:val="none" w:sz="0" w:space="0" w:color="auto"/>
                  </w:divBdr>
                </w:div>
                <w:div w:id="1269654769">
                  <w:marLeft w:val="0"/>
                  <w:marRight w:val="0"/>
                  <w:marTop w:val="0"/>
                  <w:marBottom w:val="0"/>
                  <w:divBdr>
                    <w:top w:val="none" w:sz="0" w:space="0" w:color="auto"/>
                    <w:left w:val="none" w:sz="0" w:space="0" w:color="auto"/>
                    <w:bottom w:val="none" w:sz="0" w:space="0" w:color="auto"/>
                    <w:right w:val="none" w:sz="0" w:space="0" w:color="auto"/>
                  </w:divBdr>
                </w:div>
                <w:div w:id="493649285">
                  <w:marLeft w:val="0"/>
                  <w:marRight w:val="0"/>
                  <w:marTop w:val="0"/>
                  <w:marBottom w:val="0"/>
                  <w:divBdr>
                    <w:top w:val="none" w:sz="0" w:space="0" w:color="auto"/>
                    <w:left w:val="none" w:sz="0" w:space="0" w:color="auto"/>
                    <w:bottom w:val="none" w:sz="0" w:space="0" w:color="auto"/>
                    <w:right w:val="none" w:sz="0" w:space="0" w:color="auto"/>
                  </w:divBdr>
                </w:div>
                <w:div w:id="142475977">
                  <w:marLeft w:val="0"/>
                  <w:marRight w:val="0"/>
                  <w:marTop w:val="0"/>
                  <w:marBottom w:val="0"/>
                  <w:divBdr>
                    <w:top w:val="none" w:sz="0" w:space="0" w:color="auto"/>
                    <w:left w:val="none" w:sz="0" w:space="0" w:color="auto"/>
                    <w:bottom w:val="none" w:sz="0" w:space="0" w:color="auto"/>
                    <w:right w:val="none" w:sz="0" w:space="0" w:color="auto"/>
                  </w:divBdr>
                </w:div>
                <w:div w:id="19329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79618">
      <w:bodyDiv w:val="1"/>
      <w:marLeft w:val="0"/>
      <w:marRight w:val="0"/>
      <w:marTop w:val="0"/>
      <w:marBottom w:val="0"/>
      <w:divBdr>
        <w:top w:val="none" w:sz="0" w:space="0" w:color="auto"/>
        <w:left w:val="none" w:sz="0" w:space="0" w:color="auto"/>
        <w:bottom w:val="none" w:sz="0" w:space="0" w:color="auto"/>
        <w:right w:val="none" w:sz="0" w:space="0" w:color="auto"/>
      </w:divBdr>
    </w:div>
    <w:div w:id="283079094">
      <w:bodyDiv w:val="1"/>
      <w:marLeft w:val="0"/>
      <w:marRight w:val="0"/>
      <w:marTop w:val="0"/>
      <w:marBottom w:val="0"/>
      <w:divBdr>
        <w:top w:val="none" w:sz="0" w:space="0" w:color="auto"/>
        <w:left w:val="none" w:sz="0" w:space="0" w:color="auto"/>
        <w:bottom w:val="none" w:sz="0" w:space="0" w:color="auto"/>
        <w:right w:val="none" w:sz="0" w:space="0" w:color="auto"/>
      </w:divBdr>
    </w:div>
    <w:div w:id="311715191">
      <w:bodyDiv w:val="1"/>
      <w:marLeft w:val="0"/>
      <w:marRight w:val="0"/>
      <w:marTop w:val="0"/>
      <w:marBottom w:val="0"/>
      <w:divBdr>
        <w:top w:val="none" w:sz="0" w:space="0" w:color="auto"/>
        <w:left w:val="none" w:sz="0" w:space="0" w:color="auto"/>
        <w:bottom w:val="none" w:sz="0" w:space="0" w:color="auto"/>
        <w:right w:val="none" w:sz="0" w:space="0" w:color="auto"/>
      </w:divBdr>
    </w:div>
    <w:div w:id="317540870">
      <w:bodyDiv w:val="1"/>
      <w:marLeft w:val="0"/>
      <w:marRight w:val="0"/>
      <w:marTop w:val="0"/>
      <w:marBottom w:val="0"/>
      <w:divBdr>
        <w:top w:val="none" w:sz="0" w:space="0" w:color="auto"/>
        <w:left w:val="none" w:sz="0" w:space="0" w:color="auto"/>
        <w:bottom w:val="none" w:sz="0" w:space="0" w:color="auto"/>
        <w:right w:val="none" w:sz="0" w:space="0" w:color="auto"/>
      </w:divBdr>
    </w:div>
    <w:div w:id="321660349">
      <w:bodyDiv w:val="1"/>
      <w:marLeft w:val="0"/>
      <w:marRight w:val="0"/>
      <w:marTop w:val="0"/>
      <w:marBottom w:val="0"/>
      <w:divBdr>
        <w:top w:val="none" w:sz="0" w:space="0" w:color="auto"/>
        <w:left w:val="none" w:sz="0" w:space="0" w:color="auto"/>
        <w:bottom w:val="none" w:sz="0" w:space="0" w:color="auto"/>
        <w:right w:val="none" w:sz="0" w:space="0" w:color="auto"/>
      </w:divBdr>
    </w:div>
    <w:div w:id="332072744">
      <w:bodyDiv w:val="1"/>
      <w:marLeft w:val="0"/>
      <w:marRight w:val="0"/>
      <w:marTop w:val="0"/>
      <w:marBottom w:val="0"/>
      <w:divBdr>
        <w:top w:val="none" w:sz="0" w:space="0" w:color="auto"/>
        <w:left w:val="none" w:sz="0" w:space="0" w:color="auto"/>
        <w:bottom w:val="none" w:sz="0" w:space="0" w:color="auto"/>
        <w:right w:val="none" w:sz="0" w:space="0" w:color="auto"/>
      </w:divBdr>
    </w:div>
    <w:div w:id="353267696">
      <w:bodyDiv w:val="1"/>
      <w:marLeft w:val="0"/>
      <w:marRight w:val="0"/>
      <w:marTop w:val="0"/>
      <w:marBottom w:val="0"/>
      <w:divBdr>
        <w:top w:val="none" w:sz="0" w:space="0" w:color="auto"/>
        <w:left w:val="none" w:sz="0" w:space="0" w:color="auto"/>
        <w:bottom w:val="none" w:sz="0" w:space="0" w:color="auto"/>
        <w:right w:val="none" w:sz="0" w:space="0" w:color="auto"/>
      </w:divBdr>
    </w:div>
    <w:div w:id="353583096">
      <w:bodyDiv w:val="1"/>
      <w:marLeft w:val="0"/>
      <w:marRight w:val="0"/>
      <w:marTop w:val="0"/>
      <w:marBottom w:val="0"/>
      <w:divBdr>
        <w:top w:val="none" w:sz="0" w:space="0" w:color="auto"/>
        <w:left w:val="none" w:sz="0" w:space="0" w:color="auto"/>
        <w:bottom w:val="none" w:sz="0" w:space="0" w:color="auto"/>
        <w:right w:val="none" w:sz="0" w:space="0" w:color="auto"/>
      </w:divBdr>
    </w:div>
    <w:div w:id="354693357">
      <w:bodyDiv w:val="1"/>
      <w:marLeft w:val="0"/>
      <w:marRight w:val="0"/>
      <w:marTop w:val="0"/>
      <w:marBottom w:val="0"/>
      <w:divBdr>
        <w:top w:val="none" w:sz="0" w:space="0" w:color="auto"/>
        <w:left w:val="none" w:sz="0" w:space="0" w:color="auto"/>
        <w:bottom w:val="none" w:sz="0" w:space="0" w:color="auto"/>
        <w:right w:val="none" w:sz="0" w:space="0" w:color="auto"/>
      </w:divBdr>
    </w:div>
    <w:div w:id="362025410">
      <w:bodyDiv w:val="1"/>
      <w:marLeft w:val="0"/>
      <w:marRight w:val="0"/>
      <w:marTop w:val="0"/>
      <w:marBottom w:val="0"/>
      <w:divBdr>
        <w:top w:val="none" w:sz="0" w:space="0" w:color="auto"/>
        <w:left w:val="none" w:sz="0" w:space="0" w:color="auto"/>
        <w:bottom w:val="none" w:sz="0" w:space="0" w:color="auto"/>
        <w:right w:val="none" w:sz="0" w:space="0" w:color="auto"/>
      </w:divBdr>
      <w:divsChild>
        <w:div w:id="545526332">
          <w:marLeft w:val="274"/>
          <w:marRight w:val="0"/>
          <w:marTop w:val="0"/>
          <w:marBottom w:val="0"/>
          <w:divBdr>
            <w:top w:val="none" w:sz="0" w:space="0" w:color="auto"/>
            <w:left w:val="none" w:sz="0" w:space="0" w:color="auto"/>
            <w:bottom w:val="none" w:sz="0" w:space="0" w:color="auto"/>
            <w:right w:val="none" w:sz="0" w:space="0" w:color="auto"/>
          </w:divBdr>
        </w:div>
        <w:div w:id="711268034">
          <w:marLeft w:val="274"/>
          <w:marRight w:val="0"/>
          <w:marTop w:val="0"/>
          <w:marBottom w:val="0"/>
          <w:divBdr>
            <w:top w:val="none" w:sz="0" w:space="0" w:color="auto"/>
            <w:left w:val="none" w:sz="0" w:space="0" w:color="auto"/>
            <w:bottom w:val="none" w:sz="0" w:space="0" w:color="auto"/>
            <w:right w:val="none" w:sz="0" w:space="0" w:color="auto"/>
          </w:divBdr>
        </w:div>
        <w:div w:id="1257716362">
          <w:marLeft w:val="274"/>
          <w:marRight w:val="0"/>
          <w:marTop w:val="0"/>
          <w:marBottom w:val="0"/>
          <w:divBdr>
            <w:top w:val="none" w:sz="0" w:space="0" w:color="auto"/>
            <w:left w:val="none" w:sz="0" w:space="0" w:color="auto"/>
            <w:bottom w:val="none" w:sz="0" w:space="0" w:color="auto"/>
            <w:right w:val="none" w:sz="0" w:space="0" w:color="auto"/>
          </w:divBdr>
        </w:div>
        <w:div w:id="1461731490">
          <w:marLeft w:val="274"/>
          <w:marRight w:val="0"/>
          <w:marTop w:val="0"/>
          <w:marBottom w:val="0"/>
          <w:divBdr>
            <w:top w:val="none" w:sz="0" w:space="0" w:color="auto"/>
            <w:left w:val="none" w:sz="0" w:space="0" w:color="auto"/>
            <w:bottom w:val="none" w:sz="0" w:space="0" w:color="auto"/>
            <w:right w:val="none" w:sz="0" w:space="0" w:color="auto"/>
          </w:divBdr>
        </w:div>
        <w:div w:id="1202136592">
          <w:marLeft w:val="274"/>
          <w:marRight w:val="0"/>
          <w:marTop w:val="0"/>
          <w:marBottom w:val="0"/>
          <w:divBdr>
            <w:top w:val="none" w:sz="0" w:space="0" w:color="auto"/>
            <w:left w:val="none" w:sz="0" w:space="0" w:color="auto"/>
            <w:bottom w:val="none" w:sz="0" w:space="0" w:color="auto"/>
            <w:right w:val="none" w:sz="0" w:space="0" w:color="auto"/>
          </w:divBdr>
        </w:div>
        <w:div w:id="990867574">
          <w:marLeft w:val="274"/>
          <w:marRight w:val="0"/>
          <w:marTop w:val="0"/>
          <w:marBottom w:val="0"/>
          <w:divBdr>
            <w:top w:val="none" w:sz="0" w:space="0" w:color="auto"/>
            <w:left w:val="none" w:sz="0" w:space="0" w:color="auto"/>
            <w:bottom w:val="none" w:sz="0" w:space="0" w:color="auto"/>
            <w:right w:val="none" w:sz="0" w:space="0" w:color="auto"/>
          </w:divBdr>
        </w:div>
        <w:div w:id="2053574399">
          <w:marLeft w:val="274"/>
          <w:marRight w:val="0"/>
          <w:marTop w:val="0"/>
          <w:marBottom w:val="0"/>
          <w:divBdr>
            <w:top w:val="none" w:sz="0" w:space="0" w:color="auto"/>
            <w:left w:val="none" w:sz="0" w:space="0" w:color="auto"/>
            <w:bottom w:val="none" w:sz="0" w:space="0" w:color="auto"/>
            <w:right w:val="none" w:sz="0" w:space="0" w:color="auto"/>
          </w:divBdr>
        </w:div>
        <w:div w:id="754548591">
          <w:marLeft w:val="274"/>
          <w:marRight w:val="0"/>
          <w:marTop w:val="0"/>
          <w:marBottom w:val="0"/>
          <w:divBdr>
            <w:top w:val="none" w:sz="0" w:space="0" w:color="auto"/>
            <w:left w:val="none" w:sz="0" w:space="0" w:color="auto"/>
            <w:bottom w:val="none" w:sz="0" w:space="0" w:color="auto"/>
            <w:right w:val="none" w:sz="0" w:space="0" w:color="auto"/>
          </w:divBdr>
        </w:div>
        <w:div w:id="494540181">
          <w:marLeft w:val="274"/>
          <w:marRight w:val="0"/>
          <w:marTop w:val="0"/>
          <w:marBottom w:val="0"/>
          <w:divBdr>
            <w:top w:val="none" w:sz="0" w:space="0" w:color="auto"/>
            <w:left w:val="none" w:sz="0" w:space="0" w:color="auto"/>
            <w:bottom w:val="none" w:sz="0" w:space="0" w:color="auto"/>
            <w:right w:val="none" w:sz="0" w:space="0" w:color="auto"/>
          </w:divBdr>
        </w:div>
        <w:div w:id="1862090855">
          <w:marLeft w:val="274"/>
          <w:marRight w:val="0"/>
          <w:marTop w:val="0"/>
          <w:marBottom w:val="0"/>
          <w:divBdr>
            <w:top w:val="none" w:sz="0" w:space="0" w:color="auto"/>
            <w:left w:val="none" w:sz="0" w:space="0" w:color="auto"/>
            <w:bottom w:val="none" w:sz="0" w:space="0" w:color="auto"/>
            <w:right w:val="none" w:sz="0" w:space="0" w:color="auto"/>
          </w:divBdr>
        </w:div>
        <w:div w:id="1679304471">
          <w:marLeft w:val="274"/>
          <w:marRight w:val="0"/>
          <w:marTop w:val="0"/>
          <w:marBottom w:val="0"/>
          <w:divBdr>
            <w:top w:val="none" w:sz="0" w:space="0" w:color="auto"/>
            <w:left w:val="none" w:sz="0" w:space="0" w:color="auto"/>
            <w:bottom w:val="none" w:sz="0" w:space="0" w:color="auto"/>
            <w:right w:val="none" w:sz="0" w:space="0" w:color="auto"/>
          </w:divBdr>
        </w:div>
        <w:div w:id="1322269737">
          <w:marLeft w:val="274"/>
          <w:marRight w:val="0"/>
          <w:marTop w:val="0"/>
          <w:marBottom w:val="0"/>
          <w:divBdr>
            <w:top w:val="none" w:sz="0" w:space="0" w:color="auto"/>
            <w:left w:val="none" w:sz="0" w:space="0" w:color="auto"/>
            <w:bottom w:val="none" w:sz="0" w:space="0" w:color="auto"/>
            <w:right w:val="none" w:sz="0" w:space="0" w:color="auto"/>
          </w:divBdr>
        </w:div>
      </w:divsChild>
    </w:div>
    <w:div w:id="367411957">
      <w:bodyDiv w:val="1"/>
      <w:marLeft w:val="0"/>
      <w:marRight w:val="0"/>
      <w:marTop w:val="0"/>
      <w:marBottom w:val="0"/>
      <w:divBdr>
        <w:top w:val="none" w:sz="0" w:space="0" w:color="auto"/>
        <w:left w:val="none" w:sz="0" w:space="0" w:color="auto"/>
        <w:bottom w:val="none" w:sz="0" w:space="0" w:color="auto"/>
        <w:right w:val="none" w:sz="0" w:space="0" w:color="auto"/>
      </w:divBdr>
      <w:divsChild>
        <w:div w:id="527107966">
          <w:marLeft w:val="274"/>
          <w:marRight w:val="0"/>
          <w:marTop w:val="0"/>
          <w:marBottom w:val="0"/>
          <w:divBdr>
            <w:top w:val="none" w:sz="0" w:space="0" w:color="auto"/>
            <w:left w:val="none" w:sz="0" w:space="0" w:color="auto"/>
            <w:bottom w:val="none" w:sz="0" w:space="0" w:color="auto"/>
            <w:right w:val="none" w:sz="0" w:space="0" w:color="auto"/>
          </w:divBdr>
        </w:div>
        <w:div w:id="693337965">
          <w:marLeft w:val="274"/>
          <w:marRight w:val="0"/>
          <w:marTop w:val="0"/>
          <w:marBottom w:val="0"/>
          <w:divBdr>
            <w:top w:val="none" w:sz="0" w:space="0" w:color="auto"/>
            <w:left w:val="none" w:sz="0" w:space="0" w:color="auto"/>
            <w:bottom w:val="none" w:sz="0" w:space="0" w:color="auto"/>
            <w:right w:val="none" w:sz="0" w:space="0" w:color="auto"/>
          </w:divBdr>
        </w:div>
        <w:div w:id="1467115253">
          <w:marLeft w:val="274"/>
          <w:marRight w:val="0"/>
          <w:marTop w:val="0"/>
          <w:marBottom w:val="0"/>
          <w:divBdr>
            <w:top w:val="none" w:sz="0" w:space="0" w:color="auto"/>
            <w:left w:val="none" w:sz="0" w:space="0" w:color="auto"/>
            <w:bottom w:val="none" w:sz="0" w:space="0" w:color="auto"/>
            <w:right w:val="none" w:sz="0" w:space="0" w:color="auto"/>
          </w:divBdr>
        </w:div>
        <w:div w:id="1235773665">
          <w:marLeft w:val="274"/>
          <w:marRight w:val="0"/>
          <w:marTop w:val="0"/>
          <w:marBottom w:val="0"/>
          <w:divBdr>
            <w:top w:val="none" w:sz="0" w:space="0" w:color="auto"/>
            <w:left w:val="none" w:sz="0" w:space="0" w:color="auto"/>
            <w:bottom w:val="none" w:sz="0" w:space="0" w:color="auto"/>
            <w:right w:val="none" w:sz="0" w:space="0" w:color="auto"/>
          </w:divBdr>
        </w:div>
      </w:divsChild>
    </w:div>
    <w:div w:id="369116051">
      <w:bodyDiv w:val="1"/>
      <w:marLeft w:val="0"/>
      <w:marRight w:val="0"/>
      <w:marTop w:val="0"/>
      <w:marBottom w:val="0"/>
      <w:divBdr>
        <w:top w:val="none" w:sz="0" w:space="0" w:color="auto"/>
        <w:left w:val="none" w:sz="0" w:space="0" w:color="auto"/>
        <w:bottom w:val="none" w:sz="0" w:space="0" w:color="auto"/>
        <w:right w:val="none" w:sz="0" w:space="0" w:color="auto"/>
      </w:divBdr>
      <w:divsChild>
        <w:div w:id="437873799">
          <w:marLeft w:val="533"/>
          <w:marRight w:val="0"/>
          <w:marTop w:val="0"/>
          <w:marBottom w:val="0"/>
          <w:divBdr>
            <w:top w:val="none" w:sz="0" w:space="0" w:color="auto"/>
            <w:left w:val="none" w:sz="0" w:space="0" w:color="auto"/>
            <w:bottom w:val="none" w:sz="0" w:space="0" w:color="auto"/>
            <w:right w:val="none" w:sz="0" w:space="0" w:color="auto"/>
          </w:divBdr>
        </w:div>
        <w:div w:id="1317687726">
          <w:marLeft w:val="533"/>
          <w:marRight w:val="0"/>
          <w:marTop w:val="0"/>
          <w:marBottom w:val="0"/>
          <w:divBdr>
            <w:top w:val="none" w:sz="0" w:space="0" w:color="auto"/>
            <w:left w:val="none" w:sz="0" w:space="0" w:color="auto"/>
            <w:bottom w:val="none" w:sz="0" w:space="0" w:color="auto"/>
            <w:right w:val="none" w:sz="0" w:space="0" w:color="auto"/>
          </w:divBdr>
        </w:div>
        <w:div w:id="687878708">
          <w:marLeft w:val="533"/>
          <w:marRight w:val="0"/>
          <w:marTop w:val="0"/>
          <w:marBottom w:val="0"/>
          <w:divBdr>
            <w:top w:val="none" w:sz="0" w:space="0" w:color="auto"/>
            <w:left w:val="none" w:sz="0" w:space="0" w:color="auto"/>
            <w:bottom w:val="none" w:sz="0" w:space="0" w:color="auto"/>
            <w:right w:val="none" w:sz="0" w:space="0" w:color="auto"/>
          </w:divBdr>
        </w:div>
        <w:div w:id="1101608481">
          <w:marLeft w:val="533"/>
          <w:marRight w:val="0"/>
          <w:marTop w:val="0"/>
          <w:marBottom w:val="0"/>
          <w:divBdr>
            <w:top w:val="none" w:sz="0" w:space="0" w:color="auto"/>
            <w:left w:val="none" w:sz="0" w:space="0" w:color="auto"/>
            <w:bottom w:val="none" w:sz="0" w:space="0" w:color="auto"/>
            <w:right w:val="none" w:sz="0" w:space="0" w:color="auto"/>
          </w:divBdr>
        </w:div>
      </w:divsChild>
    </w:div>
    <w:div w:id="370158487">
      <w:bodyDiv w:val="1"/>
      <w:marLeft w:val="0"/>
      <w:marRight w:val="0"/>
      <w:marTop w:val="0"/>
      <w:marBottom w:val="0"/>
      <w:divBdr>
        <w:top w:val="none" w:sz="0" w:space="0" w:color="auto"/>
        <w:left w:val="none" w:sz="0" w:space="0" w:color="auto"/>
        <w:bottom w:val="none" w:sz="0" w:space="0" w:color="auto"/>
        <w:right w:val="none" w:sz="0" w:space="0" w:color="auto"/>
      </w:divBdr>
    </w:div>
    <w:div w:id="391274969">
      <w:bodyDiv w:val="1"/>
      <w:marLeft w:val="0"/>
      <w:marRight w:val="0"/>
      <w:marTop w:val="0"/>
      <w:marBottom w:val="0"/>
      <w:divBdr>
        <w:top w:val="none" w:sz="0" w:space="0" w:color="auto"/>
        <w:left w:val="none" w:sz="0" w:space="0" w:color="auto"/>
        <w:bottom w:val="none" w:sz="0" w:space="0" w:color="auto"/>
        <w:right w:val="none" w:sz="0" w:space="0" w:color="auto"/>
      </w:divBdr>
    </w:div>
    <w:div w:id="400569076">
      <w:bodyDiv w:val="1"/>
      <w:marLeft w:val="0"/>
      <w:marRight w:val="0"/>
      <w:marTop w:val="0"/>
      <w:marBottom w:val="0"/>
      <w:divBdr>
        <w:top w:val="none" w:sz="0" w:space="0" w:color="auto"/>
        <w:left w:val="none" w:sz="0" w:space="0" w:color="auto"/>
        <w:bottom w:val="none" w:sz="0" w:space="0" w:color="auto"/>
        <w:right w:val="none" w:sz="0" w:space="0" w:color="auto"/>
      </w:divBdr>
      <w:divsChild>
        <w:div w:id="777675387">
          <w:marLeft w:val="0"/>
          <w:marRight w:val="0"/>
          <w:marTop w:val="15"/>
          <w:marBottom w:val="60"/>
          <w:divBdr>
            <w:top w:val="none" w:sz="0" w:space="0" w:color="auto"/>
            <w:left w:val="none" w:sz="0" w:space="0" w:color="auto"/>
            <w:bottom w:val="none" w:sz="0" w:space="0" w:color="auto"/>
            <w:right w:val="none" w:sz="0" w:space="0" w:color="auto"/>
          </w:divBdr>
          <w:divsChild>
            <w:div w:id="146940755">
              <w:marLeft w:val="0"/>
              <w:marRight w:val="0"/>
              <w:marTop w:val="0"/>
              <w:marBottom w:val="0"/>
              <w:divBdr>
                <w:top w:val="none" w:sz="0" w:space="0" w:color="auto"/>
                <w:left w:val="none" w:sz="0" w:space="0" w:color="auto"/>
                <w:bottom w:val="none" w:sz="0" w:space="0" w:color="auto"/>
                <w:right w:val="none" w:sz="0" w:space="0" w:color="auto"/>
              </w:divBdr>
              <w:divsChild>
                <w:div w:id="242298667">
                  <w:marLeft w:val="0"/>
                  <w:marRight w:val="0"/>
                  <w:marTop w:val="0"/>
                  <w:marBottom w:val="0"/>
                  <w:divBdr>
                    <w:top w:val="none" w:sz="0" w:space="0" w:color="auto"/>
                    <w:left w:val="none" w:sz="0" w:space="0" w:color="auto"/>
                    <w:bottom w:val="none" w:sz="0" w:space="0" w:color="auto"/>
                    <w:right w:val="none" w:sz="0" w:space="0" w:color="auto"/>
                  </w:divBdr>
                </w:div>
                <w:div w:id="319971418">
                  <w:marLeft w:val="0"/>
                  <w:marRight w:val="0"/>
                  <w:marTop w:val="0"/>
                  <w:marBottom w:val="0"/>
                  <w:divBdr>
                    <w:top w:val="none" w:sz="0" w:space="0" w:color="auto"/>
                    <w:left w:val="none" w:sz="0" w:space="0" w:color="auto"/>
                    <w:bottom w:val="none" w:sz="0" w:space="0" w:color="auto"/>
                    <w:right w:val="none" w:sz="0" w:space="0" w:color="auto"/>
                  </w:divBdr>
                </w:div>
                <w:div w:id="1979915192">
                  <w:marLeft w:val="0"/>
                  <w:marRight w:val="0"/>
                  <w:marTop w:val="0"/>
                  <w:marBottom w:val="0"/>
                  <w:divBdr>
                    <w:top w:val="none" w:sz="0" w:space="0" w:color="auto"/>
                    <w:left w:val="none" w:sz="0" w:space="0" w:color="auto"/>
                    <w:bottom w:val="none" w:sz="0" w:space="0" w:color="auto"/>
                    <w:right w:val="none" w:sz="0" w:space="0" w:color="auto"/>
                  </w:divBdr>
                </w:div>
                <w:div w:id="1975787307">
                  <w:marLeft w:val="0"/>
                  <w:marRight w:val="0"/>
                  <w:marTop w:val="0"/>
                  <w:marBottom w:val="0"/>
                  <w:divBdr>
                    <w:top w:val="none" w:sz="0" w:space="0" w:color="auto"/>
                    <w:left w:val="none" w:sz="0" w:space="0" w:color="auto"/>
                    <w:bottom w:val="none" w:sz="0" w:space="0" w:color="auto"/>
                    <w:right w:val="none" w:sz="0" w:space="0" w:color="auto"/>
                  </w:divBdr>
                </w:div>
                <w:div w:id="975333421">
                  <w:marLeft w:val="0"/>
                  <w:marRight w:val="0"/>
                  <w:marTop w:val="0"/>
                  <w:marBottom w:val="0"/>
                  <w:divBdr>
                    <w:top w:val="none" w:sz="0" w:space="0" w:color="auto"/>
                    <w:left w:val="none" w:sz="0" w:space="0" w:color="auto"/>
                    <w:bottom w:val="none" w:sz="0" w:space="0" w:color="auto"/>
                    <w:right w:val="none" w:sz="0" w:space="0" w:color="auto"/>
                  </w:divBdr>
                </w:div>
                <w:div w:id="680357552">
                  <w:marLeft w:val="0"/>
                  <w:marRight w:val="0"/>
                  <w:marTop w:val="0"/>
                  <w:marBottom w:val="0"/>
                  <w:divBdr>
                    <w:top w:val="none" w:sz="0" w:space="0" w:color="auto"/>
                    <w:left w:val="none" w:sz="0" w:space="0" w:color="auto"/>
                    <w:bottom w:val="none" w:sz="0" w:space="0" w:color="auto"/>
                    <w:right w:val="none" w:sz="0" w:space="0" w:color="auto"/>
                  </w:divBdr>
                </w:div>
                <w:div w:id="1996689530">
                  <w:marLeft w:val="0"/>
                  <w:marRight w:val="0"/>
                  <w:marTop w:val="0"/>
                  <w:marBottom w:val="0"/>
                  <w:divBdr>
                    <w:top w:val="none" w:sz="0" w:space="0" w:color="auto"/>
                    <w:left w:val="none" w:sz="0" w:space="0" w:color="auto"/>
                    <w:bottom w:val="none" w:sz="0" w:space="0" w:color="auto"/>
                    <w:right w:val="none" w:sz="0" w:space="0" w:color="auto"/>
                  </w:divBdr>
                </w:div>
                <w:div w:id="487939189">
                  <w:marLeft w:val="0"/>
                  <w:marRight w:val="0"/>
                  <w:marTop w:val="0"/>
                  <w:marBottom w:val="0"/>
                  <w:divBdr>
                    <w:top w:val="none" w:sz="0" w:space="0" w:color="auto"/>
                    <w:left w:val="none" w:sz="0" w:space="0" w:color="auto"/>
                    <w:bottom w:val="none" w:sz="0" w:space="0" w:color="auto"/>
                    <w:right w:val="none" w:sz="0" w:space="0" w:color="auto"/>
                  </w:divBdr>
                </w:div>
                <w:div w:id="130557813">
                  <w:marLeft w:val="0"/>
                  <w:marRight w:val="0"/>
                  <w:marTop w:val="0"/>
                  <w:marBottom w:val="0"/>
                  <w:divBdr>
                    <w:top w:val="none" w:sz="0" w:space="0" w:color="auto"/>
                    <w:left w:val="none" w:sz="0" w:space="0" w:color="auto"/>
                    <w:bottom w:val="none" w:sz="0" w:space="0" w:color="auto"/>
                    <w:right w:val="none" w:sz="0" w:space="0" w:color="auto"/>
                  </w:divBdr>
                </w:div>
                <w:div w:id="1446535279">
                  <w:marLeft w:val="0"/>
                  <w:marRight w:val="0"/>
                  <w:marTop w:val="0"/>
                  <w:marBottom w:val="0"/>
                  <w:divBdr>
                    <w:top w:val="none" w:sz="0" w:space="0" w:color="auto"/>
                    <w:left w:val="none" w:sz="0" w:space="0" w:color="auto"/>
                    <w:bottom w:val="none" w:sz="0" w:space="0" w:color="auto"/>
                    <w:right w:val="none" w:sz="0" w:space="0" w:color="auto"/>
                  </w:divBdr>
                </w:div>
                <w:div w:id="900558329">
                  <w:marLeft w:val="0"/>
                  <w:marRight w:val="0"/>
                  <w:marTop w:val="0"/>
                  <w:marBottom w:val="0"/>
                  <w:divBdr>
                    <w:top w:val="none" w:sz="0" w:space="0" w:color="auto"/>
                    <w:left w:val="none" w:sz="0" w:space="0" w:color="auto"/>
                    <w:bottom w:val="none" w:sz="0" w:space="0" w:color="auto"/>
                    <w:right w:val="none" w:sz="0" w:space="0" w:color="auto"/>
                  </w:divBdr>
                </w:div>
                <w:div w:id="254486875">
                  <w:marLeft w:val="0"/>
                  <w:marRight w:val="0"/>
                  <w:marTop w:val="0"/>
                  <w:marBottom w:val="0"/>
                  <w:divBdr>
                    <w:top w:val="none" w:sz="0" w:space="0" w:color="auto"/>
                    <w:left w:val="none" w:sz="0" w:space="0" w:color="auto"/>
                    <w:bottom w:val="none" w:sz="0" w:space="0" w:color="auto"/>
                    <w:right w:val="none" w:sz="0" w:space="0" w:color="auto"/>
                  </w:divBdr>
                </w:div>
                <w:div w:id="586842093">
                  <w:marLeft w:val="0"/>
                  <w:marRight w:val="0"/>
                  <w:marTop w:val="0"/>
                  <w:marBottom w:val="0"/>
                  <w:divBdr>
                    <w:top w:val="none" w:sz="0" w:space="0" w:color="auto"/>
                    <w:left w:val="none" w:sz="0" w:space="0" w:color="auto"/>
                    <w:bottom w:val="none" w:sz="0" w:space="0" w:color="auto"/>
                    <w:right w:val="none" w:sz="0" w:space="0" w:color="auto"/>
                  </w:divBdr>
                </w:div>
                <w:div w:id="112226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243922">
      <w:bodyDiv w:val="1"/>
      <w:marLeft w:val="0"/>
      <w:marRight w:val="0"/>
      <w:marTop w:val="0"/>
      <w:marBottom w:val="0"/>
      <w:divBdr>
        <w:top w:val="none" w:sz="0" w:space="0" w:color="auto"/>
        <w:left w:val="none" w:sz="0" w:space="0" w:color="auto"/>
        <w:bottom w:val="none" w:sz="0" w:space="0" w:color="auto"/>
        <w:right w:val="none" w:sz="0" w:space="0" w:color="auto"/>
      </w:divBdr>
    </w:div>
    <w:div w:id="415174038">
      <w:bodyDiv w:val="1"/>
      <w:marLeft w:val="0"/>
      <w:marRight w:val="0"/>
      <w:marTop w:val="0"/>
      <w:marBottom w:val="0"/>
      <w:divBdr>
        <w:top w:val="none" w:sz="0" w:space="0" w:color="auto"/>
        <w:left w:val="none" w:sz="0" w:space="0" w:color="auto"/>
        <w:bottom w:val="none" w:sz="0" w:space="0" w:color="auto"/>
        <w:right w:val="none" w:sz="0" w:space="0" w:color="auto"/>
      </w:divBdr>
      <w:divsChild>
        <w:div w:id="1696035257">
          <w:marLeft w:val="317"/>
          <w:marRight w:val="0"/>
          <w:marTop w:val="75"/>
          <w:marBottom w:val="30"/>
          <w:divBdr>
            <w:top w:val="none" w:sz="0" w:space="0" w:color="auto"/>
            <w:left w:val="none" w:sz="0" w:space="0" w:color="auto"/>
            <w:bottom w:val="none" w:sz="0" w:space="0" w:color="auto"/>
            <w:right w:val="none" w:sz="0" w:space="0" w:color="auto"/>
          </w:divBdr>
        </w:div>
        <w:div w:id="188378957">
          <w:marLeft w:val="317"/>
          <w:marRight w:val="0"/>
          <w:marTop w:val="75"/>
          <w:marBottom w:val="30"/>
          <w:divBdr>
            <w:top w:val="none" w:sz="0" w:space="0" w:color="auto"/>
            <w:left w:val="none" w:sz="0" w:space="0" w:color="auto"/>
            <w:bottom w:val="none" w:sz="0" w:space="0" w:color="auto"/>
            <w:right w:val="none" w:sz="0" w:space="0" w:color="auto"/>
          </w:divBdr>
        </w:div>
        <w:div w:id="1727603490">
          <w:marLeft w:val="317"/>
          <w:marRight w:val="0"/>
          <w:marTop w:val="75"/>
          <w:marBottom w:val="30"/>
          <w:divBdr>
            <w:top w:val="none" w:sz="0" w:space="0" w:color="auto"/>
            <w:left w:val="none" w:sz="0" w:space="0" w:color="auto"/>
            <w:bottom w:val="none" w:sz="0" w:space="0" w:color="auto"/>
            <w:right w:val="none" w:sz="0" w:space="0" w:color="auto"/>
          </w:divBdr>
        </w:div>
        <w:div w:id="101188969">
          <w:marLeft w:val="1267"/>
          <w:marRight w:val="0"/>
          <w:marTop w:val="75"/>
          <w:marBottom w:val="30"/>
          <w:divBdr>
            <w:top w:val="none" w:sz="0" w:space="0" w:color="auto"/>
            <w:left w:val="none" w:sz="0" w:space="0" w:color="auto"/>
            <w:bottom w:val="none" w:sz="0" w:space="0" w:color="auto"/>
            <w:right w:val="none" w:sz="0" w:space="0" w:color="auto"/>
          </w:divBdr>
        </w:div>
        <w:div w:id="1017583012">
          <w:marLeft w:val="1267"/>
          <w:marRight w:val="0"/>
          <w:marTop w:val="75"/>
          <w:marBottom w:val="30"/>
          <w:divBdr>
            <w:top w:val="none" w:sz="0" w:space="0" w:color="auto"/>
            <w:left w:val="none" w:sz="0" w:space="0" w:color="auto"/>
            <w:bottom w:val="none" w:sz="0" w:space="0" w:color="auto"/>
            <w:right w:val="none" w:sz="0" w:space="0" w:color="auto"/>
          </w:divBdr>
        </w:div>
        <w:div w:id="703139212">
          <w:marLeft w:val="1267"/>
          <w:marRight w:val="0"/>
          <w:marTop w:val="75"/>
          <w:marBottom w:val="30"/>
          <w:divBdr>
            <w:top w:val="none" w:sz="0" w:space="0" w:color="auto"/>
            <w:left w:val="none" w:sz="0" w:space="0" w:color="auto"/>
            <w:bottom w:val="none" w:sz="0" w:space="0" w:color="auto"/>
            <w:right w:val="none" w:sz="0" w:space="0" w:color="auto"/>
          </w:divBdr>
        </w:div>
        <w:div w:id="1059980782">
          <w:marLeft w:val="1267"/>
          <w:marRight w:val="0"/>
          <w:marTop w:val="75"/>
          <w:marBottom w:val="30"/>
          <w:divBdr>
            <w:top w:val="none" w:sz="0" w:space="0" w:color="auto"/>
            <w:left w:val="none" w:sz="0" w:space="0" w:color="auto"/>
            <w:bottom w:val="none" w:sz="0" w:space="0" w:color="auto"/>
            <w:right w:val="none" w:sz="0" w:space="0" w:color="auto"/>
          </w:divBdr>
        </w:div>
        <w:div w:id="1582179312">
          <w:marLeft w:val="1267"/>
          <w:marRight w:val="0"/>
          <w:marTop w:val="75"/>
          <w:marBottom w:val="30"/>
          <w:divBdr>
            <w:top w:val="none" w:sz="0" w:space="0" w:color="auto"/>
            <w:left w:val="none" w:sz="0" w:space="0" w:color="auto"/>
            <w:bottom w:val="none" w:sz="0" w:space="0" w:color="auto"/>
            <w:right w:val="none" w:sz="0" w:space="0" w:color="auto"/>
          </w:divBdr>
        </w:div>
        <w:div w:id="1226141027">
          <w:marLeft w:val="317"/>
          <w:marRight w:val="0"/>
          <w:marTop w:val="75"/>
          <w:marBottom w:val="30"/>
          <w:divBdr>
            <w:top w:val="none" w:sz="0" w:space="0" w:color="auto"/>
            <w:left w:val="none" w:sz="0" w:space="0" w:color="auto"/>
            <w:bottom w:val="none" w:sz="0" w:space="0" w:color="auto"/>
            <w:right w:val="none" w:sz="0" w:space="0" w:color="auto"/>
          </w:divBdr>
        </w:div>
      </w:divsChild>
    </w:div>
    <w:div w:id="446704810">
      <w:bodyDiv w:val="1"/>
      <w:marLeft w:val="0"/>
      <w:marRight w:val="0"/>
      <w:marTop w:val="0"/>
      <w:marBottom w:val="0"/>
      <w:divBdr>
        <w:top w:val="none" w:sz="0" w:space="0" w:color="auto"/>
        <w:left w:val="none" w:sz="0" w:space="0" w:color="auto"/>
        <w:bottom w:val="none" w:sz="0" w:space="0" w:color="auto"/>
        <w:right w:val="none" w:sz="0" w:space="0" w:color="auto"/>
      </w:divBdr>
    </w:div>
    <w:div w:id="446850848">
      <w:bodyDiv w:val="1"/>
      <w:marLeft w:val="0"/>
      <w:marRight w:val="0"/>
      <w:marTop w:val="0"/>
      <w:marBottom w:val="0"/>
      <w:divBdr>
        <w:top w:val="none" w:sz="0" w:space="0" w:color="auto"/>
        <w:left w:val="none" w:sz="0" w:space="0" w:color="auto"/>
        <w:bottom w:val="none" w:sz="0" w:space="0" w:color="auto"/>
        <w:right w:val="none" w:sz="0" w:space="0" w:color="auto"/>
      </w:divBdr>
    </w:div>
    <w:div w:id="448547186">
      <w:bodyDiv w:val="1"/>
      <w:marLeft w:val="0"/>
      <w:marRight w:val="0"/>
      <w:marTop w:val="0"/>
      <w:marBottom w:val="0"/>
      <w:divBdr>
        <w:top w:val="none" w:sz="0" w:space="0" w:color="auto"/>
        <w:left w:val="none" w:sz="0" w:space="0" w:color="auto"/>
        <w:bottom w:val="none" w:sz="0" w:space="0" w:color="auto"/>
        <w:right w:val="none" w:sz="0" w:space="0" w:color="auto"/>
      </w:divBdr>
    </w:div>
    <w:div w:id="458383933">
      <w:bodyDiv w:val="1"/>
      <w:marLeft w:val="0"/>
      <w:marRight w:val="0"/>
      <w:marTop w:val="0"/>
      <w:marBottom w:val="0"/>
      <w:divBdr>
        <w:top w:val="none" w:sz="0" w:space="0" w:color="auto"/>
        <w:left w:val="none" w:sz="0" w:space="0" w:color="auto"/>
        <w:bottom w:val="none" w:sz="0" w:space="0" w:color="auto"/>
        <w:right w:val="none" w:sz="0" w:space="0" w:color="auto"/>
      </w:divBdr>
      <w:divsChild>
        <w:div w:id="9257378">
          <w:marLeft w:val="274"/>
          <w:marRight w:val="0"/>
          <w:marTop w:val="0"/>
          <w:marBottom w:val="0"/>
          <w:divBdr>
            <w:top w:val="none" w:sz="0" w:space="0" w:color="auto"/>
            <w:left w:val="none" w:sz="0" w:space="0" w:color="auto"/>
            <w:bottom w:val="none" w:sz="0" w:space="0" w:color="auto"/>
            <w:right w:val="none" w:sz="0" w:space="0" w:color="auto"/>
          </w:divBdr>
        </w:div>
        <w:div w:id="619647474">
          <w:marLeft w:val="274"/>
          <w:marRight w:val="0"/>
          <w:marTop w:val="0"/>
          <w:marBottom w:val="0"/>
          <w:divBdr>
            <w:top w:val="none" w:sz="0" w:space="0" w:color="auto"/>
            <w:left w:val="none" w:sz="0" w:space="0" w:color="auto"/>
            <w:bottom w:val="none" w:sz="0" w:space="0" w:color="auto"/>
            <w:right w:val="none" w:sz="0" w:space="0" w:color="auto"/>
          </w:divBdr>
        </w:div>
        <w:div w:id="377515333">
          <w:marLeft w:val="274"/>
          <w:marRight w:val="0"/>
          <w:marTop w:val="0"/>
          <w:marBottom w:val="0"/>
          <w:divBdr>
            <w:top w:val="none" w:sz="0" w:space="0" w:color="auto"/>
            <w:left w:val="none" w:sz="0" w:space="0" w:color="auto"/>
            <w:bottom w:val="none" w:sz="0" w:space="0" w:color="auto"/>
            <w:right w:val="none" w:sz="0" w:space="0" w:color="auto"/>
          </w:divBdr>
        </w:div>
        <w:div w:id="670375919">
          <w:marLeft w:val="274"/>
          <w:marRight w:val="0"/>
          <w:marTop w:val="0"/>
          <w:marBottom w:val="0"/>
          <w:divBdr>
            <w:top w:val="none" w:sz="0" w:space="0" w:color="auto"/>
            <w:left w:val="none" w:sz="0" w:space="0" w:color="auto"/>
            <w:bottom w:val="none" w:sz="0" w:space="0" w:color="auto"/>
            <w:right w:val="none" w:sz="0" w:space="0" w:color="auto"/>
          </w:divBdr>
        </w:div>
        <w:div w:id="231082964">
          <w:marLeft w:val="274"/>
          <w:marRight w:val="0"/>
          <w:marTop w:val="0"/>
          <w:marBottom w:val="0"/>
          <w:divBdr>
            <w:top w:val="none" w:sz="0" w:space="0" w:color="auto"/>
            <w:left w:val="none" w:sz="0" w:space="0" w:color="auto"/>
            <w:bottom w:val="none" w:sz="0" w:space="0" w:color="auto"/>
            <w:right w:val="none" w:sz="0" w:space="0" w:color="auto"/>
          </w:divBdr>
        </w:div>
        <w:div w:id="382413918">
          <w:marLeft w:val="274"/>
          <w:marRight w:val="0"/>
          <w:marTop w:val="0"/>
          <w:marBottom w:val="0"/>
          <w:divBdr>
            <w:top w:val="none" w:sz="0" w:space="0" w:color="auto"/>
            <w:left w:val="none" w:sz="0" w:space="0" w:color="auto"/>
            <w:bottom w:val="none" w:sz="0" w:space="0" w:color="auto"/>
            <w:right w:val="none" w:sz="0" w:space="0" w:color="auto"/>
          </w:divBdr>
        </w:div>
      </w:divsChild>
    </w:div>
    <w:div w:id="460612653">
      <w:bodyDiv w:val="1"/>
      <w:marLeft w:val="0"/>
      <w:marRight w:val="0"/>
      <w:marTop w:val="0"/>
      <w:marBottom w:val="0"/>
      <w:divBdr>
        <w:top w:val="none" w:sz="0" w:space="0" w:color="auto"/>
        <w:left w:val="none" w:sz="0" w:space="0" w:color="auto"/>
        <w:bottom w:val="none" w:sz="0" w:space="0" w:color="auto"/>
        <w:right w:val="none" w:sz="0" w:space="0" w:color="auto"/>
      </w:divBdr>
      <w:divsChild>
        <w:div w:id="808788028">
          <w:marLeft w:val="418"/>
          <w:marRight w:val="0"/>
          <w:marTop w:val="100"/>
          <w:marBottom w:val="40"/>
          <w:divBdr>
            <w:top w:val="none" w:sz="0" w:space="0" w:color="auto"/>
            <w:left w:val="none" w:sz="0" w:space="0" w:color="auto"/>
            <w:bottom w:val="none" w:sz="0" w:space="0" w:color="auto"/>
            <w:right w:val="none" w:sz="0" w:space="0" w:color="auto"/>
          </w:divBdr>
        </w:div>
        <w:div w:id="394932252">
          <w:marLeft w:val="418"/>
          <w:marRight w:val="0"/>
          <w:marTop w:val="100"/>
          <w:marBottom w:val="40"/>
          <w:divBdr>
            <w:top w:val="none" w:sz="0" w:space="0" w:color="auto"/>
            <w:left w:val="none" w:sz="0" w:space="0" w:color="auto"/>
            <w:bottom w:val="none" w:sz="0" w:space="0" w:color="auto"/>
            <w:right w:val="none" w:sz="0" w:space="0" w:color="auto"/>
          </w:divBdr>
        </w:div>
        <w:div w:id="1019235468">
          <w:marLeft w:val="418"/>
          <w:marRight w:val="0"/>
          <w:marTop w:val="100"/>
          <w:marBottom w:val="40"/>
          <w:divBdr>
            <w:top w:val="none" w:sz="0" w:space="0" w:color="auto"/>
            <w:left w:val="none" w:sz="0" w:space="0" w:color="auto"/>
            <w:bottom w:val="none" w:sz="0" w:space="0" w:color="auto"/>
            <w:right w:val="none" w:sz="0" w:space="0" w:color="auto"/>
          </w:divBdr>
        </w:div>
        <w:div w:id="2055234896">
          <w:marLeft w:val="418"/>
          <w:marRight w:val="0"/>
          <w:marTop w:val="100"/>
          <w:marBottom w:val="40"/>
          <w:divBdr>
            <w:top w:val="none" w:sz="0" w:space="0" w:color="auto"/>
            <w:left w:val="none" w:sz="0" w:space="0" w:color="auto"/>
            <w:bottom w:val="none" w:sz="0" w:space="0" w:color="auto"/>
            <w:right w:val="none" w:sz="0" w:space="0" w:color="auto"/>
          </w:divBdr>
        </w:div>
        <w:div w:id="613444423">
          <w:marLeft w:val="418"/>
          <w:marRight w:val="0"/>
          <w:marTop w:val="100"/>
          <w:marBottom w:val="40"/>
          <w:divBdr>
            <w:top w:val="none" w:sz="0" w:space="0" w:color="auto"/>
            <w:left w:val="none" w:sz="0" w:space="0" w:color="auto"/>
            <w:bottom w:val="none" w:sz="0" w:space="0" w:color="auto"/>
            <w:right w:val="none" w:sz="0" w:space="0" w:color="auto"/>
          </w:divBdr>
        </w:div>
      </w:divsChild>
    </w:div>
    <w:div w:id="476797493">
      <w:bodyDiv w:val="1"/>
      <w:marLeft w:val="0"/>
      <w:marRight w:val="0"/>
      <w:marTop w:val="0"/>
      <w:marBottom w:val="0"/>
      <w:divBdr>
        <w:top w:val="none" w:sz="0" w:space="0" w:color="auto"/>
        <w:left w:val="none" w:sz="0" w:space="0" w:color="auto"/>
        <w:bottom w:val="none" w:sz="0" w:space="0" w:color="auto"/>
        <w:right w:val="none" w:sz="0" w:space="0" w:color="auto"/>
      </w:divBdr>
    </w:div>
    <w:div w:id="501242570">
      <w:bodyDiv w:val="1"/>
      <w:marLeft w:val="0"/>
      <w:marRight w:val="0"/>
      <w:marTop w:val="0"/>
      <w:marBottom w:val="0"/>
      <w:divBdr>
        <w:top w:val="none" w:sz="0" w:space="0" w:color="auto"/>
        <w:left w:val="none" w:sz="0" w:space="0" w:color="auto"/>
        <w:bottom w:val="none" w:sz="0" w:space="0" w:color="auto"/>
        <w:right w:val="none" w:sz="0" w:space="0" w:color="auto"/>
      </w:divBdr>
    </w:div>
    <w:div w:id="533083502">
      <w:bodyDiv w:val="1"/>
      <w:marLeft w:val="0"/>
      <w:marRight w:val="0"/>
      <w:marTop w:val="0"/>
      <w:marBottom w:val="0"/>
      <w:divBdr>
        <w:top w:val="none" w:sz="0" w:space="0" w:color="auto"/>
        <w:left w:val="none" w:sz="0" w:space="0" w:color="auto"/>
        <w:bottom w:val="none" w:sz="0" w:space="0" w:color="auto"/>
        <w:right w:val="none" w:sz="0" w:space="0" w:color="auto"/>
      </w:divBdr>
      <w:divsChild>
        <w:div w:id="673722256">
          <w:marLeft w:val="720"/>
          <w:marRight w:val="0"/>
          <w:marTop w:val="320"/>
          <w:marBottom w:val="0"/>
          <w:divBdr>
            <w:top w:val="none" w:sz="0" w:space="0" w:color="auto"/>
            <w:left w:val="none" w:sz="0" w:space="0" w:color="auto"/>
            <w:bottom w:val="none" w:sz="0" w:space="0" w:color="auto"/>
            <w:right w:val="none" w:sz="0" w:space="0" w:color="auto"/>
          </w:divBdr>
        </w:div>
        <w:div w:id="348601513">
          <w:marLeft w:val="720"/>
          <w:marRight w:val="0"/>
          <w:marTop w:val="320"/>
          <w:marBottom w:val="0"/>
          <w:divBdr>
            <w:top w:val="none" w:sz="0" w:space="0" w:color="auto"/>
            <w:left w:val="none" w:sz="0" w:space="0" w:color="auto"/>
            <w:bottom w:val="none" w:sz="0" w:space="0" w:color="auto"/>
            <w:right w:val="none" w:sz="0" w:space="0" w:color="auto"/>
          </w:divBdr>
        </w:div>
        <w:div w:id="1215849531">
          <w:marLeft w:val="720"/>
          <w:marRight w:val="0"/>
          <w:marTop w:val="320"/>
          <w:marBottom w:val="0"/>
          <w:divBdr>
            <w:top w:val="none" w:sz="0" w:space="0" w:color="auto"/>
            <w:left w:val="none" w:sz="0" w:space="0" w:color="auto"/>
            <w:bottom w:val="none" w:sz="0" w:space="0" w:color="auto"/>
            <w:right w:val="none" w:sz="0" w:space="0" w:color="auto"/>
          </w:divBdr>
        </w:div>
        <w:div w:id="1950506992">
          <w:marLeft w:val="720"/>
          <w:marRight w:val="0"/>
          <w:marTop w:val="320"/>
          <w:marBottom w:val="0"/>
          <w:divBdr>
            <w:top w:val="none" w:sz="0" w:space="0" w:color="auto"/>
            <w:left w:val="none" w:sz="0" w:space="0" w:color="auto"/>
            <w:bottom w:val="none" w:sz="0" w:space="0" w:color="auto"/>
            <w:right w:val="none" w:sz="0" w:space="0" w:color="auto"/>
          </w:divBdr>
        </w:div>
        <w:div w:id="1479418509">
          <w:marLeft w:val="720"/>
          <w:marRight w:val="0"/>
          <w:marTop w:val="320"/>
          <w:marBottom w:val="0"/>
          <w:divBdr>
            <w:top w:val="none" w:sz="0" w:space="0" w:color="auto"/>
            <w:left w:val="none" w:sz="0" w:space="0" w:color="auto"/>
            <w:bottom w:val="none" w:sz="0" w:space="0" w:color="auto"/>
            <w:right w:val="none" w:sz="0" w:space="0" w:color="auto"/>
          </w:divBdr>
        </w:div>
      </w:divsChild>
    </w:div>
    <w:div w:id="563680749">
      <w:bodyDiv w:val="1"/>
      <w:marLeft w:val="0"/>
      <w:marRight w:val="0"/>
      <w:marTop w:val="0"/>
      <w:marBottom w:val="0"/>
      <w:divBdr>
        <w:top w:val="none" w:sz="0" w:space="0" w:color="auto"/>
        <w:left w:val="none" w:sz="0" w:space="0" w:color="auto"/>
        <w:bottom w:val="none" w:sz="0" w:space="0" w:color="auto"/>
        <w:right w:val="none" w:sz="0" w:space="0" w:color="auto"/>
      </w:divBdr>
      <w:divsChild>
        <w:div w:id="552739346">
          <w:marLeft w:val="274"/>
          <w:marRight w:val="0"/>
          <w:marTop w:val="120"/>
          <w:marBottom w:val="0"/>
          <w:divBdr>
            <w:top w:val="none" w:sz="0" w:space="0" w:color="auto"/>
            <w:left w:val="none" w:sz="0" w:space="0" w:color="auto"/>
            <w:bottom w:val="none" w:sz="0" w:space="0" w:color="auto"/>
            <w:right w:val="none" w:sz="0" w:space="0" w:color="auto"/>
          </w:divBdr>
        </w:div>
        <w:div w:id="469052015">
          <w:marLeft w:val="274"/>
          <w:marRight w:val="0"/>
          <w:marTop w:val="120"/>
          <w:marBottom w:val="0"/>
          <w:divBdr>
            <w:top w:val="none" w:sz="0" w:space="0" w:color="auto"/>
            <w:left w:val="none" w:sz="0" w:space="0" w:color="auto"/>
            <w:bottom w:val="none" w:sz="0" w:space="0" w:color="auto"/>
            <w:right w:val="none" w:sz="0" w:space="0" w:color="auto"/>
          </w:divBdr>
        </w:div>
        <w:div w:id="2025859027">
          <w:marLeft w:val="274"/>
          <w:marRight w:val="0"/>
          <w:marTop w:val="120"/>
          <w:marBottom w:val="0"/>
          <w:divBdr>
            <w:top w:val="none" w:sz="0" w:space="0" w:color="auto"/>
            <w:left w:val="none" w:sz="0" w:space="0" w:color="auto"/>
            <w:bottom w:val="none" w:sz="0" w:space="0" w:color="auto"/>
            <w:right w:val="none" w:sz="0" w:space="0" w:color="auto"/>
          </w:divBdr>
        </w:div>
        <w:div w:id="1673950382">
          <w:marLeft w:val="274"/>
          <w:marRight w:val="0"/>
          <w:marTop w:val="120"/>
          <w:marBottom w:val="0"/>
          <w:divBdr>
            <w:top w:val="none" w:sz="0" w:space="0" w:color="auto"/>
            <w:left w:val="none" w:sz="0" w:space="0" w:color="auto"/>
            <w:bottom w:val="none" w:sz="0" w:space="0" w:color="auto"/>
            <w:right w:val="none" w:sz="0" w:space="0" w:color="auto"/>
          </w:divBdr>
        </w:div>
        <w:div w:id="1933121165">
          <w:marLeft w:val="274"/>
          <w:marRight w:val="0"/>
          <w:marTop w:val="120"/>
          <w:marBottom w:val="0"/>
          <w:divBdr>
            <w:top w:val="none" w:sz="0" w:space="0" w:color="auto"/>
            <w:left w:val="none" w:sz="0" w:space="0" w:color="auto"/>
            <w:bottom w:val="none" w:sz="0" w:space="0" w:color="auto"/>
            <w:right w:val="none" w:sz="0" w:space="0" w:color="auto"/>
          </w:divBdr>
        </w:div>
      </w:divsChild>
    </w:div>
    <w:div w:id="594022356">
      <w:bodyDiv w:val="1"/>
      <w:marLeft w:val="0"/>
      <w:marRight w:val="0"/>
      <w:marTop w:val="0"/>
      <w:marBottom w:val="0"/>
      <w:divBdr>
        <w:top w:val="none" w:sz="0" w:space="0" w:color="auto"/>
        <w:left w:val="none" w:sz="0" w:space="0" w:color="auto"/>
        <w:bottom w:val="none" w:sz="0" w:space="0" w:color="auto"/>
        <w:right w:val="none" w:sz="0" w:space="0" w:color="auto"/>
      </w:divBdr>
      <w:divsChild>
        <w:div w:id="1866478469">
          <w:marLeft w:val="0"/>
          <w:marRight w:val="0"/>
          <w:marTop w:val="0"/>
          <w:marBottom w:val="0"/>
          <w:divBdr>
            <w:top w:val="none" w:sz="0" w:space="0" w:color="auto"/>
            <w:left w:val="none" w:sz="0" w:space="0" w:color="auto"/>
            <w:bottom w:val="none" w:sz="0" w:space="0" w:color="auto"/>
            <w:right w:val="none" w:sz="0" w:space="0" w:color="auto"/>
          </w:divBdr>
        </w:div>
        <w:div w:id="2139297062">
          <w:marLeft w:val="0"/>
          <w:marRight w:val="0"/>
          <w:marTop w:val="0"/>
          <w:marBottom w:val="0"/>
          <w:divBdr>
            <w:top w:val="none" w:sz="0" w:space="0" w:color="auto"/>
            <w:left w:val="none" w:sz="0" w:space="0" w:color="auto"/>
            <w:bottom w:val="none" w:sz="0" w:space="0" w:color="auto"/>
            <w:right w:val="none" w:sz="0" w:space="0" w:color="auto"/>
          </w:divBdr>
        </w:div>
        <w:div w:id="1441026644">
          <w:marLeft w:val="0"/>
          <w:marRight w:val="0"/>
          <w:marTop w:val="0"/>
          <w:marBottom w:val="0"/>
          <w:divBdr>
            <w:top w:val="none" w:sz="0" w:space="0" w:color="auto"/>
            <w:left w:val="none" w:sz="0" w:space="0" w:color="auto"/>
            <w:bottom w:val="none" w:sz="0" w:space="0" w:color="auto"/>
            <w:right w:val="none" w:sz="0" w:space="0" w:color="auto"/>
          </w:divBdr>
        </w:div>
        <w:div w:id="337005859">
          <w:marLeft w:val="0"/>
          <w:marRight w:val="0"/>
          <w:marTop w:val="0"/>
          <w:marBottom w:val="0"/>
          <w:divBdr>
            <w:top w:val="none" w:sz="0" w:space="0" w:color="auto"/>
            <w:left w:val="none" w:sz="0" w:space="0" w:color="auto"/>
            <w:bottom w:val="none" w:sz="0" w:space="0" w:color="auto"/>
            <w:right w:val="none" w:sz="0" w:space="0" w:color="auto"/>
          </w:divBdr>
        </w:div>
        <w:div w:id="1231768643">
          <w:marLeft w:val="0"/>
          <w:marRight w:val="0"/>
          <w:marTop w:val="0"/>
          <w:marBottom w:val="0"/>
          <w:divBdr>
            <w:top w:val="none" w:sz="0" w:space="0" w:color="auto"/>
            <w:left w:val="none" w:sz="0" w:space="0" w:color="auto"/>
            <w:bottom w:val="none" w:sz="0" w:space="0" w:color="auto"/>
            <w:right w:val="none" w:sz="0" w:space="0" w:color="auto"/>
          </w:divBdr>
        </w:div>
        <w:div w:id="987439907">
          <w:marLeft w:val="0"/>
          <w:marRight w:val="0"/>
          <w:marTop w:val="0"/>
          <w:marBottom w:val="0"/>
          <w:divBdr>
            <w:top w:val="none" w:sz="0" w:space="0" w:color="auto"/>
            <w:left w:val="none" w:sz="0" w:space="0" w:color="auto"/>
            <w:bottom w:val="none" w:sz="0" w:space="0" w:color="auto"/>
            <w:right w:val="none" w:sz="0" w:space="0" w:color="auto"/>
          </w:divBdr>
        </w:div>
        <w:div w:id="158742168">
          <w:marLeft w:val="0"/>
          <w:marRight w:val="0"/>
          <w:marTop w:val="0"/>
          <w:marBottom w:val="0"/>
          <w:divBdr>
            <w:top w:val="none" w:sz="0" w:space="0" w:color="auto"/>
            <w:left w:val="none" w:sz="0" w:space="0" w:color="auto"/>
            <w:bottom w:val="none" w:sz="0" w:space="0" w:color="auto"/>
            <w:right w:val="none" w:sz="0" w:space="0" w:color="auto"/>
          </w:divBdr>
        </w:div>
        <w:div w:id="1790972820">
          <w:marLeft w:val="0"/>
          <w:marRight w:val="0"/>
          <w:marTop w:val="0"/>
          <w:marBottom w:val="0"/>
          <w:divBdr>
            <w:top w:val="none" w:sz="0" w:space="0" w:color="auto"/>
            <w:left w:val="none" w:sz="0" w:space="0" w:color="auto"/>
            <w:bottom w:val="none" w:sz="0" w:space="0" w:color="auto"/>
            <w:right w:val="none" w:sz="0" w:space="0" w:color="auto"/>
          </w:divBdr>
        </w:div>
      </w:divsChild>
    </w:div>
    <w:div w:id="605233080">
      <w:bodyDiv w:val="1"/>
      <w:marLeft w:val="0"/>
      <w:marRight w:val="0"/>
      <w:marTop w:val="0"/>
      <w:marBottom w:val="0"/>
      <w:divBdr>
        <w:top w:val="none" w:sz="0" w:space="0" w:color="auto"/>
        <w:left w:val="none" w:sz="0" w:space="0" w:color="auto"/>
        <w:bottom w:val="none" w:sz="0" w:space="0" w:color="auto"/>
        <w:right w:val="none" w:sz="0" w:space="0" w:color="auto"/>
      </w:divBdr>
      <w:divsChild>
        <w:div w:id="1827013323">
          <w:marLeft w:val="317"/>
          <w:marRight w:val="0"/>
          <w:marTop w:val="75"/>
          <w:marBottom w:val="30"/>
          <w:divBdr>
            <w:top w:val="none" w:sz="0" w:space="0" w:color="auto"/>
            <w:left w:val="none" w:sz="0" w:space="0" w:color="auto"/>
            <w:bottom w:val="none" w:sz="0" w:space="0" w:color="auto"/>
            <w:right w:val="none" w:sz="0" w:space="0" w:color="auto"/>
          </w:divBdr>
        </w:div>
        <w:div w:id="1654527719">
          <w:marLeft w:val="317"/>
          <w:marRight w:val="0"/>
          <w:marTop w:val="75"/>
          <w:marBottom w:val="30"/>
          <w:divBdr>
            <w:top w:val="none" w:sz="0" w:space="0" w:color="auto"/>
            <w:left w:val="none" w:sz="0" w:space="0" w:color="auto"/>
            <w:bottom w:val="none" w:sz="0" w:space="0" w:color="auto"/>
            <w:right w:val="none" w:sz="0" w:space="0" w:color="auto"/>
          </w:divBdr>
        </w:div>
        <w:div w:id="1095368739">
          <w:marLeft w:val="317"/>
          <w:marRight w:val="0"/>
          <w:marTop w:val="75"/>
          <w:marBottom w:val="30"/>
          <w:divBdr>
            <w:top w:val="none" w:sz="0" w:space="0" w:color="auto"/>
            <w:left w:val="none" w:sz="0" w:space="0" w:color="auto"/>
            <w:bottom w:val="none" w:sz="0" w:space="0" w:color="auto"/>
            <w:right w:val="none" w:sz="0" w:space="0" w:color="auto"/>
          </w:divBdr>
        </w:div>
        <w:div w:id="304313143">
          <w:marLeft w:val="317"/>
          <w:marRight w:val="0"/>
          <w:marTop w:val="75"/>
          <w:marBottom w:val="30"/>
          <w:divBdr>
            <w:top w:val="none" w:sz="0" w:space="0" w:color="auto"/>
            <w:left w:val="none" w:sz="0" w:space="0" w:color="auto"/>
            <w:bottom w:val="none" w:sz="0" w:space="0" w:color="auto"/>
            <w:right w:val="none" w:sz="0" w:space="0" w:color="auto"/>
          </w:divBdr>
        </w:div>
      </w:divsChild>
    </w:div>
    <w:div w:id="607854351">
      <w:bodyDiv w:val="1"/>
      <w:marLeft w:val="0"/>
      <w:marRight w:val="0"/>
      <w:marTop w:val="0"/>
      <w:marBottom w:val="0"/>
      <w:divBdr>
        <w:top w:val="none" w:sz="0" w:space="0" w:color="auto"/>
        <w:left w:val="none" w:sz="0" w:space="0" w:color="auto"/>
        <w:bottom w:val="none" w:sz="0" w:space="0" w:color="auto"/>
        <w:right w:val="none" w:sz="0" w:space="0" w:color="auto"/>
      </w:divBdr>
    </w:div>
    <w:div w:id="615448900">
      <w:bodyDiv w:val="1"/>
      <w:marLeft w:val="0"/>
      <w:marRight w:val="0"/>
      <w:marTop w:val="0"/>
      <w:marBottom w:val="0"/>
      <w:divBdr>
        <w:top w:val="none" w:sz="0" w:space="0" w:color="auto"/>
        <w:left w:val="none" w:sz="0" w:space="0" w:color="auto"/>
        <w:bottom w:val="none" w:sz="0" w:space="0" w:color="auto"/>
        <w:right w:val="none" w:sz="0" w:space="0" w:color="auto"/>
      </w:divBdr>
    </w:div>
    <w:div w:id="632294439">
      <w:bodyDiv w:val="1"/>
      <w:marLeft w:val="0"/>
      <w:marRight w:val="0"/>
      <w:marTop w:val="0"/>
      <w:marBottom w:val="0"/>
      <w:divBdr>
        <w:top w:val="none" w:sz="0" w:space="0" w:color="auto"/>
        <w:left w:val="none" w:sz="0" w:space="0" w:color="auto"/>
        <w:bottom w:val="none" w:sz="0" w:space="0" w:color="auto"/>
        <w:right w:val="none" w:sz="0" w:space="0" w:color="auto"/>
      </w:divBdr>
    </w:div>
    <w:div w:id="639578861">
      <w:bodyDiv w:val="1"/>
      <w:marLeft w:val="0"/>
      <w:marRight w:val="0"/>
      <w:marTop w:val="0"/>
      <w:marBottom w:val="0"/>
      <w:divBdr>
        <w:top w:val="none" w:sz="0" w:space="0" w:color="auto"/>
        <w:left w:val="none" w:sz="0" w:space="0" w:color="auto"/>
        <w:bottom w:val="none" w:sz="0" w:space="0" w:color="auto"/>
        <w:right w:val="none" w:sz="0" w:space="0" w:color="auto"/>
      </w:divBdr>
      <w:divsChild>
        <w:div w:id="1989242602">
          <w:marLeft w:val="0"/>
          <w:marRight w:val="0"/>
          <w:marTop w:val="0"/>
          <w:marBottom w:val="0"/>
          <w:divBdr>
            <w:top w:val="none" w:sz="0" w:space="0" w:color="auto"/>
            <w:left w:val="none" w:sz="0" w:space="0" w:color="auto"/>
            <w:bottom w:val="none" w:sz="0" w:space="0" w:color="auto"/>
            <w:right w:val="none" w:sz="0" w:space="0" w:color="auto"/>
          </w:divBdr>
        </w:div>
        <w:div w:id="1040282994">
          <w:marLeft w:val="0"/>
          <w:marRight w:val="0"/>
          <w:marTop w:val="0"/>
          <w:marBottom w:val="0"/>
          <w:divBdr>
            <w:top w:val="none" w:sz="0" w:space="0" w:color="auto"/>
            <w:left w:val="none" w:sz="0" w:space="0" w:color="auto"/>
            <w:bottom w:val="none" w:sz="0" w:space="0" w:color="auto"/>
            <w:right w:val="none" w:sz="0" w:space="0" w:color="auto"/>
          </w:divBdr>
        </w:div>
        <w:div w:id="1326468324">
          <w:marLeft w:val="0"/>
          <w:marRight w:val="0"/>
          <w:marTop w:val="0"/>
          <w:marBottom w:val="0"/>
          <w:divBdr>
            <w:top w:val="none" w:sz="0" w:space="0" w:color="auto"/>
            <w:left w:val="none" w:sz="0" w:space="0" w:color="auto"/>
            <w:bottom w:val="none" w:sz="0" w:space="0" w:color="auto"/>
            <w:right w:val="none" w:sz="0" w:space="0" w:color="auto"/>
          </w:divBdr>
        </w:div>
        <w:div w:id="1478574693">
          <w:marLeft w:val="0"/>
          <w:marRight w:val="0"/>
          <w:marTop w:val="0"/>
          <w:marBottom w:val="0"/>
          <w:divBdr>
            <w:top w:val="none" w:sz="0" w:space="0" w:color="auto"/>
            <w:left w:val="none" w:sz="0" w:space="0" w:color="auto"/>
            <w:bottom w:val="none" w:sz="0" w:space="0" w:color="auto"/>
            <w:right w:val="none" w:sz="0" w:space="0" w:color="auto"/>
          </w:divBdr>
        </w:div>
        <w:div w:id="653145715">
          <w:marLeft w:val="0"/>
          <w:marRight w:val="0"/>
          <w:marTop w:val="0"/>
          <w:marBottom w:val="0"/>
          <w:divBdr>
            <w:top w:val="none" w:sz="0" w:space="0" w:color="auto"/>
            <w:left w:val="none" w:sz="0" w:space="0" w:color="auto"/>
            <w:bottom w:val="none" w:sz="0" w:space="0" w:color="auto"/>
            <w:right w:val="none" w:sz="0" w:space="0" w:color="auto"/>
          </w:divBdr>
        </w:div>
        <w:div w:id="2024241299">
          <w:marLeft w:val="0"/>
          <w:marRight w:val="0"/>
          <w:marTop w:val="0"/>
          <w:marBottom w:val="0"/>
          <w:divBdr>
            <w:top w:val="none" w:sz="0" w:space="0" w:color="auto"/>
            <w:left w:val="none" w:sz="0" w:space="0" w:color="auto"/>
            <w:bottom w:val="none" w:sz="0" w:space="0" w:color="auto"/>
            <w:right w:val="none" w:sz="0" w:space="0" w:color="auto"/>
          </w:divBdr>
        </w:div>
        <w:div w:id="1083986577">
          <w:marLeft w:val="0"/>
          <w:marRight w:val="0"/>
          <w:marTop w:val="0"/>
          <w:marBottom w:val="0"/>
          <w:divBdr>
            <w:top w:val="none" w:sz="0" w:space="0" w:color="auto"/>
            <w:left w:val="none" w:sz="0" w:space="0" w:color="auto"/>
            <w:bottom w:val="none" w:sz="0" w:space="0" w:color="auto"/>
            <w:right w:val="none" w:sz="0" w:space="0" w:color="auto"/>
          </w:divBdr>
        </w:div>
      </w:divsChild>
    </w:div>
    <w:div w:id="640157423">
      <w:bodyDiv w:val="1"/>
      <w:marLeft w:val="0"/>
      <w:marRight w:val="0"/>
      <w:marTop w:val="0"/>
      <w:marBottom w:val="0"/>
      <w:divBdr>
        <w:top w:val="none" w:sz="0" w:space="0" w:color="auto"/>
        <w:left w:val="none" w:sz="0" w:space="0" w:color="auto"/>
        <w:bottom w:val="none" w:sz="0" w:space="0" w:color="auto"/>
        <w:right w:val="none" w:sz="0" w:space="0" w:color="auto"/>
      </w:divBdr>
    </w:div>
    <w:div w:id="667100676">
      <w:bodyDiv w:val="1"/>
      <w:marLeft w:val="0"/>
      <w:marRight w:val="0"/>
      <w:marTop w:val="0"/>
      <w:marBottom w:val="0"/>
      <w:divBdr>
        <w:top w:val="none" w:sz="0" w:space="0" w:color="auto"/>
        <w:left w:val="none" w:sz="0" w:space="0" w:color="auto"/>
        <w:bottom w:val="none" w:sz="0" w:space="0" w:color="auto"/>
        <w:right w:val="none" w:sz="0" w:space="0" w:color="auto"/>
      </w:divBdr>
      <w:divsChild>
        <w:div w:id="1239365931">
          <w:marLeft w:val="317"/>
          <w:marRight w:val="0"/>
          <w:marTop w:val="75"/>
          <w:marBottom w:val="30"/>
          <w:divBdr>
            <w:top w:val="none" w:sz="0" w:space="0" w:color="auto"/>
            <w:left w:val="none" w:sz="0" w:space="0" w:color="auto"/>
            <w:bottom w:val="none" w:sz="0" w:space="0" w:color="auto"/>
            <w:right w:val="none" w:sz="0" w:space="0" w:color="auto"/>
          </w:divBdr>
        </w:div>
        <w:div w:id="1697464666">
          <w:marLeft w:val="317"/>
          <w:marRight w:val="0"/>
          <w:marTop w:val="75"/>
          <w:marBottom w:val="30"/>
          <w:divBdr>
            <w:top w:val="none" w:sz="0" w:space="0" w:color="auto"/>
            <w:left w:val="none" w:sz="0" w:space="0" w:color="auto"/>
            <w:bottom w:val="none" w:sz="0" w:space="0" w:color="auto"/>
            <w:right w:val="none" w:sz="0" w:space="0" w:color="auto"/>
          </w:divBdr>
        </w:div>
      </w:divsChild>
    </w:div>
    <w:div w:id="677581066">
      <w:bodyDiv w:val="1"/>
      <w:marLeft w:val="0"/>
      <w:marRight w:val="0"/>
      <w:marTop w:val="0"/>
      <w:marBottom w:val="0"/>
      <w:divBdr>
        <w:top w:val="none" w:sz="0" w:space="0" w:color="auto"/>
        <w:left w:val="none" w:sz="0" w:space="0" w:color="auto"/>
        <w:bottom w:val="none" w:sz="0" w:space="0" w:color="auto"/>
        <w:right w:val="none" w:sz="0" w:space="0" w:color="auto"/>
      </w:divBdr>
    </w:div>
    <w:div w:id="702367106">
      <w:bodyDiv w:val="1"/>
      <w:marLeft w:val="0"/>
      <w:marRight w:val="0"/>
      <w:marTop w:val="0"/>
      <w:marBottom w:val="0"/>
      <w:divBdr>
        <w:top w:val="none" w:sz="0" w:space="0" w:color="auto"/>
        <w:left w:val="none" w:sz="0" w:space="0" w:color="auto"/>
        <w:bottom w:val="none" w:sz="0" w:space="0" w:color="auto"/>
        <w:right w:val="none" w:sz="0" w:space="0" w:color="auto"/>
      </w:divBdr>
      <w:divsChild>
        <w:div w:id="1651246100">
          <w:marLeft w:val="130"/>
          <w:marRight w:val="0"/>
          <w:marTop w:val="40"/>
          <w:marBottom w:val="40"/>
          <w:divBdr>
            <w:top w:val="none" w:sz="0" w:space="0" w:color="auto"/>
            <w:left w:val="none" w:sz="0" w:space="0" w:color="auto"/>
            <w:bottom w:val="none" w:sz="0" w:space="0" w:color="auto"/>
            <w:right w:val="none" w:sz="0" w:space="0" w:color="auto"/>
          </w:divBdr>
        </w:div>
        <w:div w:id="1708945625">
          <w:marLeft w:val="130"/>
          <w:marRight w:val="0"/>
          <w:marTop w:val="40"/>
          <w:marBottom w:val="40"/>
          <w:divBdr>
            <w:top w:val="none" w:sz="0" w:space="0" w:color="auto"/>
            <w:left w:val="none" w:sz="0" w:space="0" w:color="auto"/>
            <w:bottom w:val="none" w:sz="0" w:space="0" w:color="auto"/>
            <w:right w:val="none" w:sz="0" w:space="0" w:color="auto"/>
          </w:divBdr>
        </w:div>
        <w:div w:id="201985641">
          <w:marLeft w:val="130"/>
          <w:marRight w:val="0"/>
          <w:marTop w:val="40"/>
          <w:marBottom w:val="40"/>
          <w:divBdr>
            <w:top w:val="none" w:sz="0" w:space="0" w:color="auto"/>
            <w:left w:val="none" w:sz="0" w:space="0" w:color="auto"/>
            <w:bottom w:val="none" w:sz="0" w:space="0" w:color="auto"/>
            <w:right w:val="none" w:sz="0" w:space="0" w:color="auto"/>
          </w:divBdr>
        </w:div>
        <w:div w:id="99961615">
          <w:marLeft w:val="130"/>
          <w:marRight w:val="0"/>
          <w:marTop w:val="40"/>
          <w:marBottom w:val="40"/>
          <w:divBdr>
            <w:top w:val="none" w:sz="0" w:space="0" w:color="auto"/>
            <w:left w:val="none" w:sz="0" w:space="0" w:color="auto"/>
            <w:bottom w:val="none" w:sz="0" w:space="0" w:color="auto"/>
            <w:right w:val="none" w:sz="0" w:space="0" w:color="auto"/>
          </w:divBdr>
        </w:div>
        <w:div w:id="1108966429">
          <w:marLeft w:val="130"/>
          <w:marRight w:val="0"/>
          <w:marTop w:val="40"/>
          <w:marBottom w:val="40"/>
          <w:divBdr>
            <w:top w:val="none" w:sz="0" w:space="0" w:color="auto"/>
            <w:left w:val="none" w:sz="0" w:space="0" w:color="auto"/>
            <w:bottom w:val="none" w:sz="0" w:space="0" w:color="auto"/>
            <w:right w:val="none" w:sz="0" w:space="0" w:color="auto"/>
          </w:divBdr>
        </w:div>
        <w:div w:id="280964864">
          <w:marLeft w:val="130"/>
          <w:marRight w:val="0"/>
          <w:marTop w:val="40"/>
          <w:marBottom w:val="40"/>
          <w:divBdr>
            <w:top w:val="none" w:sz="0" w:space="0" w:color="auto"/>
            <w:left w:val="none" w:sz="0" w:space="0" w:color="auto"/>
            <w:bottom w:val="none" w:sz="0" w:space="0" w:color="auto"/>
            <w:right w:val="none" w:sz="0" w:space="0" w:color="auto"/>
          </w:divBdr>
        </w:div>
        <w:div w:id="2051567906">
          <w:marLeft w:val="130"/>
          <w:marRight w:val="0"/>
          <w:marTop w:val="40"/>
          <w:marBottom w:val="40"/>
          <w:divBdr>
            <w:top w:val="none" w:sz="0" w:space="0" w:color="auto"/>
            <w:left w:val="none" w:sz="0" w:space="0" w:color="auto"/>
            <w:bottom w:val="none" w:sz="0" w:space="0" w:color="auto"/>
            <w:right w:val="none" w:sz="0" w:space="0" w:color="auto"/>
          </w:divBdr>
        </w:div>
        <w:div w:id="890113649">
          <w:marLeft w:val="130"/>
          <w:marRight w:val="0"/>
          <w:marTop w:val="40"/>
          <w:marBottom w:val="40"/>
          <w:divBdr>
            <w:top w:val="none" w:sz="0" w:space="0" w:color="auto"/>
            <w:left w:val="none" w:sz="0" w:space="0" w:color="auto"/>
            <w:bottom w:val="none" w:sz="0" w:space="0" w:color="auto"/>
            <w:right w:val="none" w:sz="0" w:space="0" w:color="auto"/>
          </w:divBdr>
        </w:div>
        <w:div w:id="990138588">
          <w:marLeft w:val="130"/>
          <w:marRight w:val="0"/>
          <w:marTop w:val="40"/>
          <w:marBottom w:val="40"/>
          <w:divBdr>
            <w:top w:val="none" w:sz="0" w:space="0" w:color="auto"/>
            <w:left w:val="none" w:sz="0" w:space="0" w:color="auto"/>
            <w:bottom w:val="none" w:sz="0" w:space="0" w:color="auto"/>
            <w:right w:val="none" w:sz="0" w:space="0" w:color="auto"/>
          </w:divBdr>
        </w:div>
      </w:divsChild>
    </w:div>
    <w:div w:id="707685958">
      <w:bodyDiv w:val="1"/>
      <w:marLeft w:val="0"/>
      <w:marRight w:val="0"/>
      <w:marTop w:val="0"/>
      <w:marBottom w:val="0"/>
      <w:divBdr>
        <w:top w:val="none" w:sz="0" w:space="0" w:color="auto"/>
        <w:left w:val="none" w:sz="0" w:space="0" w:color="auto"/>
        <w:bottom w:val="none" w:sz="0" w:space="0" w:color="auto"/>
        <w:right w:val="none" w:sz="0" w:space="0" w:color="auto"/>
      </w:divBdr>
    </w:div>
    <w:div w:id="720135537">
      <w:bodyDiv w:val="1"/>
      <w:marLeft w:val="0"/>
      <w:marRight w:val="0"/>
      <w:marTop w:val="0"/>
      <w:marBottom w:val="0"/>
      <w:divBdr>
        <w:top w:val="none" w:sz="0" w:space="0" w:color="auto"/>
        <w:left w:val="none" w:sz="0" w:space="0" w:color="auto"/>
        <w:bottom w:val="none" w:sz="0" w:space="0" w:color="auto"/>
        <w:right w:val="none" w:sz="0" w:space="0" w:color="auto"/>
      </w:divBdr>
    </w:div>
    <w:div w:id="744651055">
      <w:bodyDiv w:val="1"/>
      <w:marLeft w:val="0"/>
      <w:marRight w:val="0"/>
      <w:marTop w:val="0"/>
      <w:marBottom w:val="0"/>
      <w:divBdr>
        <w:top w:val="none" w:sz="0" w:space="0" w:color="auto"/>
        <w:left w:val="none" w:sz="0" w:space="0" w:color="auto"/>
        <w:bottom w:val="none" w:sz="0" w:space="0" w:color="auto"/>
        <w:right w:val="none" w:sz="0" w:space="0" w:color="auto"/>
      </w:divBdr>
    </w:div>
    <w:div w:id="761220313">
      <w:bodyDiv w:val="1"/>
      <w:marLeft w:val="0"/>
      <w:marRight w:val="0"/>
      <w:marTop w:val="0"/>
      <w:marBottom w:val="0"/>
      <w:divBdr>
        <w:top w:val="none" w:sz="0" w:space="0" w:color="auto"/>
        <w:left w:val="none" w:sz="0" w:space="0" w:color="auto"/>
        <w:bottom w:val="none" w:sz="0" w:space="0" w:color="auto"/>
        <w:right w:val="none" w:sz="0" w:space="0" w:color="auto"/>
      </w:divBdr>
    </w:div>
    <w:div w:id="789469212">
      <w:bodyDiv w:val="1"/>
      <w:marLeft w:val="0"/>
      <w:marRight w:val="0"/>
      <w:marTop w:val="0"/>
      <w:marBottom w:val="0"/>
      <w:divBdr>
        <w:top w:val="none" w:sz="0" w:space="0" w:color="auto"/>
        <w:left w:val="none" w:sz="0" w:space="0" w:color="auto"/>
        <w:bottom w:val="none" w:sz="0" w:space="0" w:color="auto"/>
        <w:right w:val="none" w:sz="0" w:space="0" w:color="auto"/>
      </w:divBdr>
      <w:divsChild>
        <w:div w:id="1188134282">
          <w:marLeft w:val="317"/>
          <w:marRight w:val="0"/>
          <w:marTop w:val="75"/>
          <w:marBottom w:val="30"/>
          <w:divBdr>
            <w:top w:val="none" w:sz="0" w:space="0" w:color="auto"/>
            <w:left w:val="none" w:sz="0" w:space="0" w:color="auto"/>
            <w:bottom w:val="none" w:sz="0" w:space="0" w:color="auto"/>
            <w:right w:val="none" w:sz="0" w:space="0" w:color="auto"/>
          </w:divBdr>
        </w:div>
        <w:div w:id="1062603057">
          <w:marLeft w:val="317"/>
          <w:marRight w:val="0"/>
          <w:marTop w:val="75"/>
          <w:marBottom w:val="30"/>
          <w:divBdr>
            <w:top w:val="none" w:sz="0" w:space="0" w:color="auto"/>
            <w:left w:val="none" w:sz="0" w:space="0" w:color="auto"/>
            <w:bottom w:val="none" w:sz="0" w:space="0" w:color="auto"/>
            <w:right w:val="none" w:sz="0" w:space="0" w:color="auto"/>
          </w:divBdr>
        </w:div>
      </w:divsChild>
    </w:div>
    <w:div w:id="818961033">
      <w:bodyDiv w:val="1"/>
      <w:marLeft w:val="0"/>
      <w:marRight w:val="0"/>
      <w:marTop w:val="0"/>
      <w:marBottom w:val="0"/>
      <w:divBdr>
        <w:top w:val="none" w:sz="0" w:space="0" w:color="auto"/>
        <w:left w:val="none" w:sz="0" w:space="0" w:color="auto"/>
        <w:bottom w:val="none" w:sz="0" w:space="0" w:color="auto"/>
        <w:right w:val="none" w:sz="0" w:space="0" w:color="auto"/>
      </w:divBdr>
    </w:div>
    <w:div w:id="827476952">
      <w:bodyDiv w:val="1"/>
      <w:marLeft w:val="0"/>
      <w:marRight w:val="0"/>
      <w:marTop w:val="0"/>
      <w:marBottom w:val="0"/>
      <w:divBdr>
        <w:top w:val="none" w:sz="0" w:space="0" w:color="auto"/>
        <w:left w:val="none" w:sz="0" w:space="0" w:color="auto"/>
        <w:bottom w:val="none" w:sz="0" w:space="0" w:color="auto"/>
        <w:right w:val="none" w:sz="0" w:space="0" w:color="auto"/>
      </w:divBdr>
      <w:divsChild>
        <w:div w:id="1641423931">
          <w:marLeft w:val="418"/>
          <w:marRight w:val="0"/>
          <w:marTop w:val="100"/>
          <w:marBottom w:val="40"/>
          <w:divBdr>
            <w:top w:val="none" w:sz="0" w:space="0" w:color="auto"/>
            <w:left w:val="none" w:sz="0" w:space="0" w:color="auto"/>
            <w:bottom w:val="none" w:sz="0" w:space="0" w:color="auto"/>
            <w:right w:val="none" w:sz="0" w:space="0" w:color="auto"/>
          </w:divBdr>
        </w:div>
        <w:div w:id="1648901403">
          <w:marLeft w:val="418"/>
          <w:marRight w:val="0"/>
          <w:marTop w:val="100"/>
          <w:marBottom w:val="40"/>
          <w:divBdr>
            <w:top w:val="none" w:sz="0" w:space="0" w:color="auto"/>
            <w:left w:val="none" w:sz="0" w:space="0" w:color="auto"/>
            <w:bottom w:val="none" w:sz="0" w:space="0" w:color="auto"/>
            <w:right w:val="none" w:sz="0" w:space="0" w:color="auto"/>
          </w:divBdr>
        </w:div>
        <w:div w:id="1802764510">
          <w:marLeft w:val="418"/>
          <w:marRight w:val="0"/>
          <w:marTop w:val="100"/>
          <w:marBottom w:val="40"/>
          <w:divBdr>
            <w:top w:val="none" w:sz="0" w:space="0" w:color="auto"/>
            <w:left w:val="none" w:sz="0" w:space="0" w:color="auto"/>
            <w:bottom w:val="none" w:sz="0" w:space="0" w:color="auto"/>
            <w:right w:val="none" w:sz="0" w:space="0" w:color="auto"/>
          </w:divBdr>
        </w:div>
        <w:div w:id="683088941">
          <w:marLeft w:val="418"/>
          <w:marRight w:val="0"/>
          <w:marTop w:val="100"/>
          <w:marBottom w:val="40"/>
          <w:divBdr>
            <w:top w:val="none" w:sz="0" w:space="0" w:color="auto"/>
            <w:left w:val="none" w:sz="0" w:space="0" w:color="auto"/>
            <w:bottom w:val="none" w:sz="0" w:space="0" w:color="auto"/>
            <w:right w:val="none" w:sz="0" w:space="0" w:color="auto"/>
          </w:divBdr>
        </w:div>
        <w:div w:id="849876081">
          <w:marLeft w:val="418"/>
          <w:marRight w:val="0"/>
          <w:marTop w:val="100"/>
          <w:marBottom w:val="40"/>
          <w:divBdr>
            <w:top w:val="none" w:sz="0" w:space="0" w:color="auto"/>
            <w:left w:val="none" w:sz="0" w:space="0" w:color="auto"/>
            <w:bottom w:val="none" w:sz="0" w:space="0" w:color="auto"/>
            <w:right w:val="none" w:sz="0" w:space="0" w:color="auto"/>
          </w:divBdr>
        </w:div>
      </w:divsChild>
    </w:div>
    <w:div w:id="830947267">
      <w:bodyDiv w:val="1"/>
      <w:marLeft w:val="0"/>
      <w:marRight w:val="0"/>
      <w:marTop w:val="0"/>
      <w:marBottom w:val="0"/>
      <w:divBdr>
        <w:top w:val="none" w:sz="0" w:space="0" w:color="auto"/>
        <w:left w:val="none" w:sz="0" w:space="0" w:color="auto"/>
        <w:bottom w:val="none" w:sz="0" w:space="0" w:color="auto"/>
        <w:right w:val="none" w:sz="0" w:space="0" w:color="auto"/>
      </w:divBdr>
    </w:div>
    <w:div w:id="848565770">
      <w:bodyDiv w:val="1"/>
      <w:marLeft w:val="0"/>
      <w:marRight w:val="0"/>
      <w:marTop w:val="0"/>
      <w:marBottom w:val="0"/>
      <w:divBdr>
        <w:top w:val="none" w:sz="0" w:space="0" w:color="auto"/>
        <w:left w:val="none" w:sz="0" w:space="0" w:color="auto"/>
        <w:bottom w:val="none" w:sz="0" w:space="0" w:color="auto"/>
        <w:right w:val="none" w:sz="0" w:space="0" w:color="auto"/>
      </w:divBdr>
      <w:divsChild>
        <w:div w:id="96603194">
          <w:marLeft w:val="533"/>
          <w:marRight w:val="0"/>
          <w:marTop w:val="0"/>
          <w:marBottom w:val="0"/>
          <w:divBdr>
            <w:top w:val="none" w:sz="0" w:space="0" w:color="auto"/>
            <w:left w:val="none" w:sz="0" w:space="0" w:color="auto"/>
            <w:bottom w:val="none" w:sz="0" w:space="0" w:color="auto"/>
            <w:right w:val="none" w:sz="0" w:space="0" w:color="auto"/>
          </w:divBdr>
        </w:div>
        <w:div w:id="1788236316">
          <w:marLeft w:val="533"/>
          <w:marRight w:val="0"/>
          <w:marTop w:val="0"/>
          <w:marBottom w:val="0"/>
          <w:divBdr>
            <w:top w:val="none" w:sz="0" w:space="0" w:color="auto"/>
            <w:left w:val="none" w:sz="0" w:space="0" w:color="auto"/>
            <w:bottom w:val="none" w:sz="0" w:space="0" w:color="auto"/>
            <w:right w:val="none" w:sz="0" w:space="0" w:color="auto"/>
          </w:divBdr>
        </w:div>
        <w:div w:id="1148478307">
          <w:marLeft w:val="533"/>
          <w:marRight w:val="0"/>
          <w:marTop w:val="0"/>
          <w:marBottom w:val="0"/>
          <w:divBdr>
            <w:top w:val="none" w:sz="0" w:space="0" w:color="auto"/>
            <w:left w:val="none" w:sz="0" w:space="0" w:color="auto"/>
            <w:bottom w:val="none" w:sz="0" w:space="0" w:color="auto"/>
            <w:right w:val="none" w:sz="0" w:space="0" w:color="auto"/>
          </w:divBdr>
        </w:div>
        <w:div w:id="1158617727">
          <w:marLeft w:val="533"/>
          <w:marRight w:val="0"/>
          <w:marTop w:val="0"/>
          <w:marBottom w:val="0"/>
          <w:divBdr>
            <w:top w:val="none" w:sz="0" w:space="0" w:color="auto"/>
            <w:left w:val="none" w:sz="0" w:space="0" w:color="auto"/>
            <w:bottom w:val="none" w:sz="0" w:space="0" w:color="auto"/>
            <w:right w:val="none" w:sz="0" w:space="0" w:color="auto"/>
          </w:divBdr>
        </w:div>
        <w:div w:id="1935628852">
          <w:marLeft w:val="533"/>
          <w:marRight w:val="0"/>
          <w:marTop w:val="0"/>
          <w:marBottom w:val="0"/>
          <w:divBdr>
            <w:top w:val="none" w:sz="0" w:space="0" w:color="auto"/>
            <w:left w:val="none" w:sz="0" w:space="0" w:color="auto"/>
            <w:bottom w:val="none" w:sz="0" w:space="0" w:color="auto"/>
            <w:right w:val="none" w:sz="0" w:space="0" w:color="auto"/>
          </w:divBdr>
        </w:div>
      </w:divsChild>
    </w:div>
    <w:div w:id="878012006">
      <w:bodyDiv w:val="1"/>
      <w:marLeft w:val="0"/>
      <w:marRight w:val="0"/>
      <w:marTop w:val="0"/>
      <w:marBottom w:val="0"/>
      <w:divBdr>
        <w:top w:val="none" w:sz="0" w:space="0" w:color="auto"/>
        <w:left w:val="none" w:sz="0" w:space="0" w:color="auto"/>
        <w:bottom w:val="none" w:sz="0" w:space="0" w:color="auto"/>
        <w:right w:val="none" w:sz="0" w:space="0" w:color="auto"/>
      </w:divBdr>
    </w:div>
    <w:div w:id="906766616">
      <w:bodyDiv w:val="1"/>
      <w:marLeft w:val="0"/>
      <w:marRight w:val="0"/>
      <w:marTop w:val="0"/>
      <w:marBottom w:val="0"/>
      <w:divBdr>
        <w:top w:val="none" w:sz="0" w:space="0" w:color="auto"/>
        <w:left w:val="none" w:sz="0" w:space="0" w:color="auto"/>
        <w:bottom w:val="none" w:sz="0" w:space="0" w:color="auto"/>
        <w:right w:val="none" w:sz="0" w:space="0" w:color="auto"/>
      </w:divBdr>
    </w:div>
    <w:div w:id="908733304">
      <w:bodyDiv w:val="1"/>
      <w:marLeft w:val="0"/>
      <w:marRight w:val="0"/>
      <w:marTop w:val="0"/>
      <w:marBottom w:val="0"/>
      <w:divBdr>
        <w:top w:val="none" w:sz="0" w:space="0" w:color="auto"/>
        <w:left w:val="none" w:sz="0" w:space="0" w:color="auto"/>
        <w:bottom w:val="none" w:sz="0" w:space="0" w:color="auto"/>
        <w:right w:val="none" w:sz="0" w:space="0" w:color="auto"/>
      </w:divBdr>
    </w:div>
    <w:div w:id="927664372">
      <w:bodyDiv w:val="1"/>
      <w:marLeft w:val="0"/>
      <w:marRight w:val="0"/>
      <w:marTop w:val="0"/>
      <w:marBottom w:val="0"/>
      <w:divBdr>
        <w:top w:val="none" w:sz="0" w:space="0" w:color="auto"/>
        <w:left w:val="none" w:sz="0" w:space="0" w:color="auto"/>
        <w:bottom w:val="none" w:sz="0" w:space="0" w:color="auto"/>
        <w:right w:val="none" w:sz="0" w:space="0" w:color="auto"/>
      </w:divBdr>
      <w:divsChild>
        <w:div w:id="1156654843">
          <w:marLeft w:val="432"/>
          <w:marRight w:val="0"/>
          <w:marTop w:val="20"/>
          <w:marBottom w:val="20"/>
          <w:divBdr>
            <w:top w:val="none" w:sz="0" w:space="0" w:color="auto"/>
            <w:left w:val="none" w:sz="0" w:space="0" w:color="auto"/>
            <w:bottom w:val="none" w:sz="0" w:space="0" w:color="auto"/>
            <w:right w:val="none" w:sz="0" w:space="0" w:color="auto"/>
          </w:divBdr>
        </w:div>
        <w:div w:id="1189754547">
          <w:marLeft w:val="432"/>
          <w:marRight w:val="0"/>
          <w:marTop w:val="20"/>
          <w:marBottom w:val="20"/>
          <w:divBdr>
            <w:top w:val="none" w:sz="0" w:space="0" w:color="auto"/>
            <w:left w:val="none" w:sz="0" w:space="0" w:color="auto"/>
            <w:bottom w:val="none" w:sz="0" w:space="0" w:color="auto"/>
            <w:right w:val="none" w:sz="0" w:space="0" w:color="auto"/>
          </w:divBdr>
        </w:div>
        <w:div w:id="1058623609">
          <w:marLeft w:val="432"/>
          <w:marRight w:val="0"/>
          <w:marTop w:val="20"/>
          <w:marBottom w:val="20"/>
          <w:divBdr>
            <w:top w:val="none" w:sz="0" w:space="0" w:color="auto"/>
            <w:left w:val="none" w:sz="0" w:space="0" w:color="auto"/>
            <w:bottom w:val="none" w:sz="0" w:space="0" w:color="auto"/>
            <w:right w:val="none" w:sz="0" w:space="0" w:color="auto"/>
          </w:divBdr>
        </w:div>
        <w:div w:id="116997341">
          <w:marLeft w:val="432"/>
          <w:marRight w:val="0"/>
          <w:marTop w:val="20"/>
          <w:marBottom w:val="20"/>
          <w:divBdr>
            <w:top w:val="none" w:sz="0" w:space="0" w:color="auto"/>
            <w:left w:val="none" w:sz="0" w:space="0" w:color="auto"/>
            <w:bottom w:val="none" w:sz="0" w:space="0" w:color="auto"/>
            <w:right w:val="none" w:sz="0" w:space="0" w:color="auto"/>
          </w:divBdr>
        </w:div>
        <w:div w:id="967121978">
          <w:marLeft w:val="432"/>
          <w:marRight w:val="0"/>
          <w:marTop w:val="20"/>
          <w:marBottom w:val="20"/>
          <w:divBdr>
            <w:top w:val="none" w:sz="0" w:space="0" w:color="auto"/>
            <w:left w:val="none" w:sz="0" w:space="0" w:color="auto"/>
            <w:bottom w:val="none" w:sz="0" w:space="0" w:color="auto"/>
            <w:right w:val="none" w:sz="0" w:space="0" w:color="auto"/>
          </w:divBdr>
        </w:div>
        <w:div w:id="1892842368">
          <w:marLeft w:val="432"/>
          <w:marRight w:val="0"/>
          <w:marTop w:val="20"/>
          <w:marBottom w:val="20"/>
          <w:divBdr>
            <w:top w:val="none" w:sz="0" w:space="0" w:color="auto"/>
            <w:left w:val="none" w:sz="0" w:space="0" w:color="auto"/>
            <w:bottom w:val="none" w:sz="0" w:space="0" w:color="auto"/>
            <w:right w:val="none" w:sz="0" w:space="0" w:color="auto"/>
          </w:divBdr>
        </w:div>
        <w:div w:id="2116973972">
          <w:marLeft w:val="432"/>
          <w:marRight w:val="0"/>
          <w:marTop w:val="20"/>
          <w:marBottom w:val="20"/>
          <w:divBdr>
            <w:top w:val="none" w:sz="0" w:space="0" w:color="auto"/>
            <w:left w:val="none" w:sz="0" w:space="0" w:color="auto"/>
            <w:bottom w:val="none" w:sz="0" w:space="0" w:color="auto"/>
            <w:right w:val="none" w:sz="0" w:space="0" w:color="auto"/>
          </w:divBdr>
        </w:div>
        <w:div w:id="1825126375">
          <w:marLeft w:val="432"/>
          <w:marRight w:val="0"/>
          <w:marTop w:val="20"/>
          <w:marBottom w:val="20"/>
          <w:divBdr>
            <w:top w:val="none" w:sz="0" w:space="0" w:color="auto"/>
            <w:left w:val="none" w:sz="0" w:space="0" w:color="auto"/>
            <w:bottom w:val="none" w:sz="0" w:space="0" w:color="auto"/>
            <w:right w:val="none" w:sz="0" w:space="0" w:color="auto"/>
          </w:divBdr>
        </w:div>
        <w:div w:id="406928636">
          <w:marLeft w:val="432"/>
          <w:marRight w:val="0"/>
          <w:marTop w:val="20"/>
          <w:marBottom w:val="20"/>
          <w:divBdr>
            <w:top w:val="none" w:sz="0" w:space="0" w:color="auto"/>
            <w:left w:val="none" w:sz="0" w:space="0" w:color="auto"/>
            <w:bottom w:val="none" w:sz="0" w:space="0" w:color="auto"/>
            <w:right w:val="none" w:sz="0" w:space="0" w:color="auto"/>
          </w:divBdr>
        </w:div>
      </w:divsChild>
    </w:div>
    <w:div w:id="930623231">
      <w:bodyDiv w:val="1"/>
      <w:marLeft w:val="0"/>
      <w:marRight w:val="0"/>
      <w:marTop w:val="0"/>
      <w:marBottom w:val="0"/>
      <w:divBdr>
        <w:top w:val="none" w:sz="0" w:space="0" w:color="auto"/>
        <w:left w:val="none" w:sz="0" w:space="0" w:color="auto"/>
        <w:bottom w:val="none" w:sz="0" w:space="0" w:color="auto"/>
        <w:right w:val="none" w:sz="0" w:space="0" w:color="auto"/>
      </w:divBdr>
    </w:div>
    <w:div w:id="946934048">
      <w:bodyDiv w:val="1"/>
      <w:marLeft w:val="0"/>
      <w:marRight w:val="0"/>
      <w:marTop w:val="0"/>
      <w:marBottom w:val="0"/>
      <w:divBdr>
        <w:top w:val="none" w:sz="0" w:space="0" w:color="auto"/>
        <w:left w:val="none" w:sz="0" w:space="0" w:color="auto"/>
        <w:bottom w:val="none" w:sz="0" w:space="0" w:color="auto"/>
        <w:right w:val="none" w:sz="0" w:space="0" w:color="auto"/>
      </w:divBdr>
      <w:divsChild>
        <w:div w:id="1682464498">
          <w:marLeft w:val="317"/>
          <w:marRight w:val="0"/>
          <w:marTop w:val="75"/>
          <w:marBottom w:val="30"/>
          <w:divBdr>
            <w:top w:val="none" w:sz="0" w:space="0" w:color="auto"/>
            <w:left w:val="none" w:sz="0" w:space="0" w:color="auto"/>
            <w:bottom w:val="none" w:sz="0" w:space="0" w:color="auto"/>
            <w:right w:val="none" w:sz="0" w:space="0" w:color="auto"/>
          </w:divBdr>
        </w:div>
        <w:div w:id="1889800671">
          <w:marLeft w:val="317"/>
          <w:marRight w:val="0"/>
          <w:marTop w:val="75"/>
          <w:marBottom w:val="30"/>
          <w:divBdr>
            <w:top w:val="none" w:sz="0" w:space="0" w:color="auto"/>
            <w:left w:val="none" w:sz="0" w:space="0" w:color="auto"/>
            <w:bottom w:val="none" w:sz="0" w:space="0" w:color="auto"/>
            <w:right w:val="none" w:sz="0" w:space="0" w:color="auto"/>
          </w:divBdr>
        </w:div>
        <w:div w:id="574701721">
          <w:marLeft w:val="317"/>
          <w:marRight w:val="0"/>
          <w:marTop w:val="75"/>
          <w:marBottom w:val="30"/>
          <w:divBdr>
            <w:top w:val="none" w:sz="0" w:space="0" w:color="auto"/>
            <w:left w:val="none" w:sz="0" w:space="0" w:color="auto"/>
            <w:bottom w:val="none" w:sz="0" w:space="0" w:color="auto"/>
            <w:right w:val="none" w:sz="0" w:space="0" w:color="auto"/>
          </w:divBdr>
        </w:div>
        <w:div w:id="1008823092">
          <w:marLeft w:val="317"/>
          <w:marRight w:val="0"/>
          <w:marTop w:val="75"/>
          <w:marBottom w:val="30"/>
          <w:divBdr>
            <w:top w:val="none" w:sz="0" w:space="0" w:color="auto"/>
            <w:left w:val="none" w:sz="0" w:space="0" w:color="auto"/>
            <w:bottom w:val="none" w:sz="0" w:space="0" w:color="auto"/>
            <w:right w:val="none" w:sz="0" w:space="0" w:color="auto"/>
          </w:divBdr>
        </w:div>
        <w:div w:id="2007319174">
          <w:marLeft w:val="317"/>
          <w:marRight w:val="0"/>
          <w:marTop w:val="75"/>
          <w:marBottom w:val="30"/>
          <w:divBdr>
            <w:top w:val="none" w:sz="0" w:space="0" w:color="auto"/>
            <w:left w:val="none" w:sz="0" w:space="0" w:color="auto"/>
            <w:bottom w:val="none" w:sz="0" w:space="0" w:color="auto"/>
            <w:right w:val="none" w:sz="0" w:space="0" w:color="auto"/>
          </w:divBdr>
        </w:div>
      </w:divsChild>
    </w:div>
    <w:div w:id="994723367">
      <w:bodyDiv w:val="1"/>
      <w:marLeft w:val="0"/>
      <w:marRight w:val="0"/>
      <w:marTop w:val="0"/>
      <w:marBottom w:val="0"/>
      <w:divBdr>
        <w:top w:val="none" w:sz="0" w:space="0" w:color="auto"/>
        <w:left w:val="none" w:sz="0" w:space="0" w:color="auto"/>
        <w:bottom w:val="none" w:sz="0" w:space="0" w:color="auto"/>
        <w:right w:val="none" w:sz="0" w:space="0" w:color="auto"/>
      </w:divBdr>
    </w:div>
    <w:div w:id="1007244714">
      <w:bodyDiv w:val="1"/>
      <w:marLeft w:val="0"/>
      <w:marRight w:val="0"/>
      <w:marTop w:val="0"/>
      <w:marBottom w:val="0"/>
      <w:divBdr>
        <w:top w:val="none" w:sz="0" w:space="0" w:color="auto"/>
        <w:left w:val="none" w:sz="0" w:space="0" w:color="auto"/>
        <w:bottom w:val="none" w:sz="0" w:space="0" w:color="auto"/>
        <w:right w:val="none" w:sz="0" w:space="0" w:color="auto"/>
      </w:divBdr>
    </w:div>
    <w:div w:id="1011448246">
      <w:bodyDiv w:val="1"/>
      <w:marLeft w:val="0"/>
      <w:marRight w:val="0"/>
      <w:marTop w:val="0"/>
      <w:marBottom w:val="0"/>
      <w:divBdr>
        <w:top w:val="none" w:sz="0" w:space="0" w:color="auto"/>
        <w:left w:val="none" w:sz="0" w:space="0" w:color="auto"/>
        <w:bottom w:val="none" w:sz="0" w:space="0" w:color="auto"/>
        <w:right w:val="none" w:sz="0" w:space="0" w:color="auto"/>
      </w:divBdr>
    </w:div>
    <w:div w:id="1011764521">
      <w:bodyDiv w:val="1"/>
      <w:marLeft w:val="0"/>
      <w:marRight w:val="0"/>
      <w:marTop w:val="0"/>
      <w:marBottom w:val="0"/>
      <w:divBdr>
        <w:top w:val="none" w:sz="0" w:space="0" w:color="auto"/>
        <w:left w:val="none" w:sz="0" w:space="0" w:color="auto"/>
        <w:bottom w:val="none" w:sz="0" w:space="0" w:color="auto"/>
        <w:right w:val="none" w:sz="0" w:space="0" w:color="auto"/>
      </w:divBdr>
    </w:div>
    <w:div w:id="1013149849">
      <w:bodyDiv w:val="1"/>
      <w:marLeft w:val="0"/>
      <w:marRight w:val="0"/>
      <w:marTop w:val="0"/>
      <w:marBottom w:val="0"/>
      <w:divBdr>
        <w:top w:val="none" w:sz="0" w:space="0" w:color="auto"/>
        <w:left w:val="none" w:sz="0" w:space="0" w:color="auto"/>
        <w:bottom w:val="none" w:sz="0" w:space="0" w:color="auto"/>
        <w:right w:val="none" w:sz="0" w:space="0" w:color="auto"/>
      </w:divBdr>
    </w:div>
    <w:div w:id="1024399464">
      <w:bodyDiv w:val="1"/>
      <w:marLeft w:val="0"/>
      <w:marRight w:val="0"/>
      <w:marTop w:val="0"/>
      <w:marBottom w:val="0"/>
      <w:divBdr>
        <w:top w:val="none" w:sz="0" w:space="0" w:color="auto"/>
        <w:left w:val="none" w:sz="0" w:space="0" w:color="auto"/>
        <w:bottom w:val="none" w:sz="0" w:space="0" w:color="auto"/>
        <w:right w:val="none" w:sz="0" w:space="0" w:color="auto"/>
      </w:divBdr>
    </w:div>
    <w:div w:id="1026638134">
      <w:bodyDiv w:val="1"/>
      <w:marLeft w:val="0"/>
      <w:marRight w:val="0"/>
      <w:marTop w:val="0"/>
      <w:marBottom w:val="0"/>
      <w:divBdr>
        <w:top w:val="none" w:sz="0" w:space="0" w:color="auto"/>
        <w:left w:val="none" w:sz="0" w:space="0" w:color="auto"/>
        <w:bottom w:val="none" w:sz="0" w:space="0" w:color="auto"/>
        <w:right w:val="none" w:sz="0" w:space="0" w:color="auto"/>
      </w:divBdr>
    </w:div>
    <w:div w:id="1033655429">
      <w:bodyDiv w:val="1"/>
      <w:marLeft w:val="0"/>
      <w:marRight w:val="0"/>
      <w:marTop w:val="0"/>
      <w:marBottom w:val="0"/>
      <w:divBdr>
        <w:top w:val="none" w:sz="0" w:space="0" w:color="auto"/>
        <w:left w:val="none" w:sz="0" w:space="0" w:color="auto"/>
        <w:bottom w:val="none" w:sz="0" w:space="0" w:color="auto"/>
        <w:right w:val="none" w:sz="0" w:space="0" w:color="auto"/>
      </w:divBdr>
    </w:div>
    <w:div w:id="1044712331">
      <w:bodyDiv w:val="1"/>
      <w:marLeft w:val="0"/>
      <w:marRight w:val="0"/>
      <w:marTop w:val="0"/>
      <w:marBottom w:val="0"/>
      <w:divBdr>
        <w:top w:val="none" w:sz="0" w:space="0" w:color="auto"/>
        <w:left w:val="none" w:sz="0" w:space="0" w:color="auto"/>
        <w:bottom w:val="none" w:sz="0" w:space="0" w:color="auto"/>
        <w:right w:val="none" w:sz="0" w:space="0" w:color="auto"/>
      </w:divBdr>
    </w:div>
    <w:div w:id="1069114122">
      <w:bodyDiv w:val="1"/>
      <w:marLeft w:val="0"/>
      <w:marRight w:val="0"/>
      <w:marTop w:val="0"/>
      <w:marBottom w:val="0"/>
      <w:divBdr>
        <w:top w:val="none" w:sz="0" w:space="0" w:color="auto"/>
        <w:left w:val="none" w:sz="0" w:space="0" w:color="auto"/>
        <w:bottom w:val="none" w:sz="0" w:space="0" w:color="auto"/>
        <w:right w:val="none" w:sz="0" w:space="0" w:color="auto"/>
      </w:divBdr>
    </w:div>
    <w:div w:id="1071585354">
      <w:bodyDiv w:val="1"/>
      <w:marLeft w:val="0"/>
      <w:marRight w:val="0"/>
      <w:marTop w:val="0"/>
      <w:marBottom w:val="0"/>
      <w:divBdr>
        <w:top w:val="none" w:sz="0" w:space="0" w:color="auto"/>
        <w:left w:val="none" w:sz="0" w:space="0" w:color="auto"/>
        <w:bottom w:val="none" w:sz="0" w:space="0" w:color="auto"/>
        <w:right w:val="none" w:sz="0" w:space="0" w:color="auto"/>
      </w:divBdr>
      <w:divsChild>
        <w:div w:id="1584561263">
          <w:marLeft w:val="533"/>
          <w:marRight w:val="0"/>
          <w:marTop w:val="0"/>
          <w:marBottom w:val="0"/>
          <w:divBdr>
            <w:top w:val="none" w:sz="0" w:space="0" w:color="auto"/>
            <w:left w:val="none" w:sz="0" w:space="0" w:color="auto"/>
            <w:bottom w:val="none" w:sz="0" w:space="0" w:color="auto"/>
            <w:right w:val="none" w:sz="0" w:space="0" w:color="auto"/>
          </w:divBdr>
        </w:div>
        <w:div w:id="1357344056">
          <w:marLeft w:val="533"/>
          <w:marRight w:val="0"/>
          <w:marTop w:val="0"/>
          <w:marBottom w:val="0"/>
          <w:divBdr>
            <w:top w:val="none" w:sz="0" w:space="0" w:color="auto"/>
            <w:left w:val="none" w:sz="0" w:space="0" w:color="auto"/>
            <w:bottom w:val="none" w:sz="0" w:space="0" w:color="auto"/>
            <w:right w:val="none" w:sz="0" w:space="0" w:color="auto"/>
          </w:divBdr>
        </w:div>
        <w:div w:id="1395347289">
          <w:marLeft w:val="533"/>
          <w:marRight w:val="0"/>
          <w:marTop w:val="0"/>
          <w:marBottom w:val="0"/>
          <w:divBdr>
            <w:top w:val="none" w:sz="0" w:space="0" w:color="auto"/>
            <w:left w:val="none" w:sz="0" w:space="0" w:color="auto"/>
            <w:bottom w:val="none" w:sz="0" w:space="0" w:color="auto"/>
            <w:right w:val="none" w:sz="0" w:space="0" w:color="auto"/>
          </w:divBdr>
        </w:div>
        <w:div w:id="377122355">
          <w:marLeft w:val="533"/>
          <w:marRight w:val="0"/>
          <w:marTop w:val="0"/>
          <w:marBottom w:val="0"/>
          <w:divBdr>
            <w:top w:val="none" w:sz="0" w:space="0" w:color="auto"/>
            <w:left w:val="none" w:sz="0" w:space="0" w:color="auto"/>
            <w:bottom w:val="none" w:sz="0" w:space="0" w:color="auto"/>
            <w:right w:val="none" w:sz="0" w:space="0" w:color="auto"/>
          </w:divBdr>
        </w:div>
      </w:divsChild>
    </w:div>
    <w:div w:id="1089037692">
      <w:bodyDiv w:val="1"/>
      <w:marLeft w:val="0"/>
      <w:marRight w:val="0"/>
      <w:marTop w:val="0"/>
      <w:marBottom w:val="0"/>
      <w:divBdr>
        <w:top w:val="none" w:sz="0" w:space="0" w:color="auto"/>
        <w:left w:val="none" w:sz="0" w:space="0" w:color="auto"/>
        <w:bottom w:val="none" w:sz="0" w:space="0" w:color="auto"/>
        <w:right w:val="none" w:sz="0" w:space="0" w:color="auto"/>
      </w:divBdr>
    </w:div>
    <w:div w:id="1094545723">
      <w:bodyDiv w:val="1"/>
      <w:marLeft w:val="0"/>
      <w:marRight w:val="0"/>
      <w:marTop w:val="0"/>
      <w:marBottom w:val="0"/>
      <w:divBdr>
        <w:top w:val="none" w:sz="0" w:space="0" w:color="auto"/>
        <w:left w:val="none" w:sz="0" w:space="0" w:color="auto"/>
        <w:bottom w:val="none" w:sz="0" w:space="0" w:color="auto"/>
        <w:right w:val="none" w:sz="0" w:space="0" w:color="auto"/>
      </w:divBdr>
      <w:divsChild>
        <w:div w:id="2066175381">
          <w:marLeft w:val="130"/>
          <w:marRight w:val="0"/>
          <w:marTop w:val="40"/>
          <w:marBottom w:val="40"/>
          <w:divBdr>
            <w:top w:val="none" w:sz="0" w:space="0" w:color="auto"/>
            <w:left w:val="none" w:sz="0" w:space="0" w:color="auto"/>
            <w:bottom w:val="none" w:sz="0" w:space="0" w:color="auto"/>
            <w:right w:val="none" w:sz="0" w:space="0" w:color="auto"/>
          </w:divBdr>
        </w:div>
        <w:div w:id="18166115">
          <w:marLeft w:val="130"/>
          <w:marRight w:val="0"/>
          <w:marTop w:val="40"/>
          <w:marBottom w:val="40"/>
          <w:divBdr>
            <w:top w:val="none" w:sz="0" w:space="0" w:color="auto"/>
            <w:left w:val="none" w:sz="0" w:space="0" w:color="auto"/>
            <w:bottom w:val="none" w:sz="0" w:space="0" w:color="auto"/>
            <w:right w:val="none" w:sz="0" w:space="0" w:color="auto"/>
          </w:divBdr>
        </w:div>
        <w:div w:id="1609198255">
          <w:marLeft w:val="130"/>
          <w:marRight w:val="0"/>
          <w:marTop w:val="40"/>
          <w:marBottom w:val="40"/>
          <w:divBdr>
            <w:top w:val="none" w:sz="0" w:space="0" w:color="auto"/>
            <w:left w:val="none" w:sz="0" w:space="0" w:color="auto"/>
            <w:bottom w:val="none" w:sz="0" w:space="0" w:color="auto"/>
            <w:right w:val="none" w:sz="0" w:space="0" w:color="auto"/>
          </w:divBdr>
        </w:div>
        <w:div w:id="377709463">
          <w:marLeft w:val="130"/>
          <w:marRight w:val="0"/>
          <w:marTop w:val="40"/>
          <w:marBottom w:val="40"/>
          <w:divBdr>
            <w:top w:val="none" w:sz="0" w:space="0" w:color="auto"/>
            <w:left w:val="none" w:sz="0" w:space="0" w:color="auto"/>
            <w:bottom w:val="none" w:sz="0" w:space="0" w:color="auto"/>
            <w:right w:val="none" w:sz="0" w:space="0" w:color="auto"/>
          </w:divBdr>
        </w:div>
        <w:div w:id="906383758">
          <w:marLeft w:val="130"/>
          <w:marRight w:val="0"/>
          <w:marTop w:val="40"/>
          <w:marBottom w:val="40"/>
          <w:divBdr>
            <w:top w:val="none" w:sz="0" w:space="0" w:color="auto"/>
            <w:left w:val="none" w:sz="0" w:space="0" w:color="auto"/>
            <w:bottom w:val="none" w:sz="0" w:space="0" w:color="auto"/>
            <w:right w:val="none" w:sz="0" w:space="0" w:color="auto"/>
          </w:divBdr>
        </w:div>
        <w:div w:id="263343314">
          <w:marLeft w:val="130"/>
          <w:marRight w:val="0"/>
          <w:marTop w:val="40"/>
          <w:marBottom w:val="40"/>
          <w:divBdr>
            <w:top w:val="none" w:sz="0" w:space="0" w:color="auto"/>
            <w:left w:val="none" w:sz="0" w:space="0" w:color="auto"/>
            <w:bottom w:val="none" w:sz="0" w:space="0" w:color="auto"/>
            <w:right w:val="none" w:sz="0" w:space="0" w:color="auto"/>
          </w:divBdr>
        </w:div>
        <w:div w:id="1560818997">
          <w:marLeft w:val="130"/>
          <w:marRight w:val="0"/>
          <w:marTop w:val="40"/>
          <w:marBottom w:val="40"/>
          <w:divBdr>
            <w:top w:val="none" w:sz="0" w:space="0" w:color="auto"/>
            <w:left w:val="none" w:sz="0" w:space="0" w:color="auto"/>
            <w:bottom w:val="none" w:sz="0" w:space="0" w:color="auto"/>
            <w:right w:val="none" w:sz="0" w:space="0" w:color="auto"/>
          </w:divBdr>
        </w:div>
      </w:divsChild>
    </w:div>
    <w:div w:id="1104421532">
      <w:bodyDiv w:val="1"/>
      <w:marLeft w:val="0"/>
      <w:marRight w:val="0"/>
      <w:marTop w:val="0"/>
      <w:marBottom w:val="0"/>
      <w:divBdr>
        <w:top w:val="none" w:sz="0" w:space="0" w:color="auto"/>
        <w:left w:val="none" w:sz="0" w:space="0" w:color="auto"/>
        <w:bottom w:val="none" w:sz="0" w:space="0" w:color="auto"/>
        <w:right w:val="none" w:sz="0" w:space="0" w:color="auto"/>
      </w:divBdr>
    </w:div>
    <w:div w:id="1105079356">
      <w:bodyDiv w:val="1"/>
      <w:marLeft w:val="0"/>
      <w:marRight w:val="0"/>
      <w:marTop w:val="0"/>
      <w:marBottom w:val="0"/>
      <w:divBdr>
        <w:top w:val="none" w:sz="0" w:space="0" w:color="auto"/>
        <w:left w:val="none" w:sz="0" w:space="0" w:color="auto"/>
        <w:bottom w:val="none" w:sz="0" w:space="0" w:color="auto"/>
        <w:right w:val="none" w:sz="0" w:space="0" w:color="auto"/>
      </w:divBdr>
    </w:div>
    <w:div w:id="1107043820">
      <w:bodyDiv w:val="1"/>
      <w:marLeft w:val="0"/>
      <w:marRight w:val="0"/>
      <w:marTop w:val="0"/>
      <w:marBottom w:val="0"/>
      <w:divBdr>
        <w:top w:val="none" w:sz="0" w:space="0" w:color="auto"/>
        <w:left w:val="none" w:sz="0" w:space="0" w:color="auto"/>
        <w:bottom w:val="none" w:sz="0" w:space="0" w:color="auto"/>
        <w:right w:val="none" w:sz="0" w:space="0" w:color="auto"/>
      </w:divBdr>
    </w:div>
    <w:div w:id="1160459546">
      <w:bodyDiv w:val="1"/>
      <w:marLeft w:val="0"/>
      <w:marRight w:val="0"/>
      <w:marTop w:val="0"/>
      <w:marBottom w:val="0"/>
      <w:divBdr>
        <w:top w:val="none" w:sz="0" w:space="0" w:color="auto"/>
        <w:left w:val="none" w:sz="0" w:space="0" w:color="auto"/>
        <w:bottom w:val="none" w:sz="0" w:space="0" w:color="auto"/>
        <w:right w:val="none" w:sz="0" w:space="0" w:color="auto"/>
      </w:divBdr>
    </w:div>
    <w:div w:id="1166243214">
      <w:bodyDiv w:val="1"/>
      <w:marLeft w:val="0"/>
      <w:marRight w:val="0"/>
      <w:marTop w:val="0"/>
      <w:marBottom w:val="0"/>
      <w:divBdr>
        <w:top w:val="none" w:sz="0" w:space="0" w:color="auto"/>
        <w:left w:val="none" w:sz="0" w:space="0" w:color="auto"/>
        <w:bottom w:val="none" w:sz="0" w:space="0" w:color="auto"/>
        <w:right w:val="none" w:sz="0" w:space="0" w:color="auto"/>
      </w:divBdr>
    </w:div>
    <w:div w:id="1210803874">
      <w:bodyDiv w:val="1"/>
      <w:marLeft w:val="0"/>
      <w:marRight w:val="0"/>
      <w:marTop w:val="0"/>
      <w:marBottom w:val="0"/>
      <w:divBdr>
        <w:top w:val="none" w:sz="0" w:space="0" w:color="auto"/>
        <w:left w:val="none" w:sz="0" w:space="0" w:color="auto"/>
        <w:bottom w:val="none" w:sz="0" w:space="0" w:color="auto"/>
        <w:right w:val="none" w:sz="0" w:space="0" w:color="auto"/>
      </w:divBdr>
    </w:div>
    <w:div w:id="1223323899">
      <w:bodyDiv w:val="1"/>
      <w:marLeft w:val="0"/>
      <w:marRight w:val="0"/>
      <w:marTop w:val="0"/>
      <w:marBottom w:val="0"/>
      <w:divBdr>
        <w:top w:val="none" w:sz="0" w:space="0" w:color="auto"/>
        <w:left w:val="none" w:sz="0" w:space="0" w:color="auto"/>
        <w:bottom w:val="none" w:sz="0" w:space="0" w:color="auto"/>
        <w:right w:val="none" w:sz="0" w:space="0" w:color="auto"/>
      </w:divBdr>
    </w:div>
    <w:div w:id="1226113334">
      <w:bodyDiv w:val="1"/>
      <w:marLeft w:val="0"/>
      <w:marRight w:val="0"/>
      <w:marTop w:val="0"/>
      <w:marBottom w:val="0"/>
      <w:divBdr>
        <w:top w:val="none" w:sz="0" w:space="0" w:color="auto"/>
        <w:left w:val="none" w:sz="0" w:space="0" w:color="auto"/>
        <w:bottom w:val="none" w:sz="0" w:space="0" w:color="auto"/>
        <w:right w:val="none" w:sz="0" w:space="0" w:color="auto"/>
      </w:divBdr>
      <w:divsChild>
        <w:div w:id="2025083288">
          <w:marLeft w:val="965"/>
          <w:marRight w:val="0"/>
          <w:marTop w:val="427"/>
          <w:marBottom w:val="0"/>
          <w:divBdr>
            <w:top w:val="none" w:sz="0" w:space="0" w:color="auto"/>
            <w:left w:val="none" w:sz="0" w:space="0" w:color="auto"/>
            <w:bottom w:val="none" w:sz="0" w:space="0" w:color="auto"/>
            <w:right w:val="none" w:sz="0" w:space="0" w:color="auto"/>
          </w:divBdr>
        </w:div>
        <w:div w:id="519860913">
          <w:marLeft w:val="965"/>
          <w:marRight w:val="0"/>
          <w:marTop w:val="427"/>
          <w:marBottom w:val="0"/>
          <w:divBdr>
            <w:top w:val="none" w:sz="0" w:space="0" w:color="auto"/>
            <w:left w:val="none" w:sz="0" w:space="0" w:color="auto"/>
            <w:bottom w:val="none" w:sz="0" w:space="0" w:color="auto"/>
            <w:right w:val="none" w:sz="0" w:space="0" w:color="auto"/>
          </w:divBdr>
        </w:div>
        <w:div w:id="1624261619">
          <w:marLeft w:val="965"/>
          <w:marRight w:val="0"/>
          <w:marTop w:val="427"/>
          <w:marBottom w:val="0"/>
          <w:divBdr>
            <w:top w:val="none" w:sz="0" w:space="0" w:color="auto"/>
            <w:left w:val="none" w:sz="0" w:space="0" w:color="auto"/>
            <w:bottom w:val="none" w:sz="0" w:space="0" w:color="auto"/>
            <w:right w:val="none" w:sz="0" w:space="0" w:color="auto"/>
          </w:divBdr>
        </w:div>
        <w:div w:id="190997408">
          <w:marLeft w:val="965"/>
          <w:marRight w:val="0"/>
          <w:marTop w:val="427"/>
          <w:marBottom w:val="0"/>
          <w:divBdr>
            <w:top w:val="none" w:sz="0" w:space="0" w:color="auto"/>
            <w:left w:val="none" w:sz="0" w:space="0" w:color="auto"/>
            <w:bottom w:val="none" w:sz="0" w:space="0" w:color="auto"/>
            <w:right w:val="none" w:sz="0" w:space="0" w:color="auto"/>
          </w:divBdr>
        </w:div>
        <w:div w:id="1100445563">
          <w:marLeft w:val="965"/>
          <w:marRight w:val="0"/>
          <w:marTop w:val="427"/>
          <w:marBottom w:val="0"/>
          <w:divBdr>
            <w:top w:val="none" w:sz="0" w:space="0" w:color="auto"/>
            <w:left w:val="none" w:sz="0" w:space="0" w:color="auto"/>
            <w:bottom w:val="none" w:sz="0" w:space="0" w:color="auto"/>
            <w:right w:val="none" w:sz="0" w:space="0" w:color="auto"/>
          </w:divBdr>
        </w:div>
      </w:divsChild>
    </w:div>
    <w:div w:id="1238394174">
      <w:bodyDiv w:val="1"/>
      <w:marLeft w:val="0"/>
      <w:marRight w:val="0"/>
      <w:marTop w:val="0"/>
      <w:marBottom w:val="0"/>
      <w:divBdr>
        <w:top w:val="none" w:sz="0" w:space="0" w:color="auto"/>
        <w:left w:val="none" w:sz="0" w:space="0" w:color="auto"/>
        <w:bottom w:val="none" w:sz="0" w:space="0" w:color="auto"/>
        <w:right w:val="none" w:sz="0" w:space="0" w:color="auto"/>
      </w:divBdr>
    </w:div>
    <w:div w:id="1240018290">
      <w:bodyDiv w:val="1"/>
      <w:marLeft w:val="0"/>
      <w:marRight w:val="0"/>
      <w:marTop w:val="0"/>
      <w:marBottom w:val="0"/>
      <w:divBdr>
        <w:top w:val="none" w:sz="0" w:space="0" w:color="auto"/>
        <w:left w:val="none" w:sz="0" w:space="0" w:color="auto"/>
        <w:bottom w:val="none" w:sz="0" w:space="0" w:color="auto"/>
        <w:right w:val="none" w:sz="0" w:space="0" w:color="auto"/>
      </w:divBdr>
      <w:divsChild>
        <w:div w:id="948437336">
          <w:marLeft w:val="432"/>
          <w:marRight w:val="0"/>
          <w:marTop w:val="20"/>
          <w:marBottom w:val="20"/>
          <w:divBdr>
            <w:top w:val="none" w:sz="0" w:space="0" w:color="auto"/>
            <w:left w:val="none" w:sz="0" w:space="0" w:color="auto"/>
            <w:bottom w:val="none" w:sz="0" w:space="0" w:color="auto"/>
            <w:right w:val="none" w:sz="0" w:space="0" w:color="auto"/>
          </w:divBdr>
        </w:div>
        <w:div w:id="730270334">
          <w:marLeft w:val="432"/>
          <w:marRight w:val="0"/>
          <w:marTop w:val="20"/>
          <w:marBottom w:val="20"/>
          <w:divBdr>
            <w:top w:val="none" w:sz="0" w:space="0" w:color="auto"/>
            <w:left w:val="none" w:sz="0" w:space="0" w:color="auto"/>
            <w:bottom w:val="none" w:sz="0" w:space="0" w:color="auto"/>
            <w:right w:val="none" w:sz="0" w:space="0" w:color="auto"/>
          </w:divBdr>
        </w:div>
        <w:div w:id="1635604051">
          <w:marLeft w:val="432"/>
          <w:marRight w:val="0"/>
          <w:marTop w:val="20"/>
          <w:marBottom w:val="20"/>
          <w:divBdr>
            <w:top w:val="none" w:sz="0" w:space="0" w:color="auto"/>
            <w:left w:val="none" w:sz="0" w:space="0" w:color="auto"/>
            <w:bottom w:val="none" w:sz="0" w:space="0" w:color="auto"/>
            <w:right w:val="none" w:sz="0" w:space="0" w:color="auto"/>
          </w:divBdr>
        </w:div>
        <w:div w:id="1533765532">
          <w:marLeft w:val="432"/>
          <w:marRight w:val="0"/>
          <w:marTop w:val="20"/>
          <w:marBottom w:val="20"/>
          <w:divBdr>
            <w:top w:val="none" w:sz="0" w:space="0" w:color="auto"/>
            <w:left w:val="none" w:sz="0" w:space="0" w:color="auto"/>
            <w:bottom w:val="none" w:sz="0" w:space="0" w:color="auto"/>
            <w:right w:val="none" w:sz="0" w:space="0" w:color="auto"/>
          </w:divBdr>
        </w:div>
        <w:div w:id="660163208">
          <w:marLeft w:val="432"/>
          <w:marRight w:val="0"/>
          <w:marTop w:val="20"/>
          <w:marBottom w:val="20"/>
          <w:divBdr>
            <w:top w:val="none" w:sz="0" w:space="0" w:color="auto"/>
            <w:left w:val="none" w:sz="0" w:space="0" w:color="auto"/>
            <w:bottom w:val="none" w:sz="0" w:space="0" w:color="auto"/>
            <w:right w:val="none" w:sz="0" w:space="0" w:color="auto"/>
          </w:divBdr>
        </w:div>
        <w:div w:id="1519126030">
          <w:marLeft w:val="432"/>
          <w:marRight w:val="0"/>
          <w:marTop w:val="20"/>
          <w:marBottom w:val="20"/>
          <w:divBdr>
            <w:top w:val="none" w:sz="0" w:space="0" w:color="auto"/>
            <w:left w:val="none" w:sz="0" w:space="0" w:color="auto"/>
            <w:bottom w:val="none" w:sz="0" w:space="0" w:color="auto"/>
            <w:right w:val="none" w:sz="0" w:space="0" w:color="auto"/>
          </w:divBdr>
        </w:div>
        <w:div w:id="314992524">
          <w:marLeft w:val="432"/>
          <w:marRight w:val="0"/>
          <w:marTop w:val="20"/>
          <w:marBottom w:val="20"/>
          <w:divBdr>
            <w:top w:val="none" w:sz="0" w:space="0" w:color="auto"/>
            <w:left w:val="none" w:sz="0" w:space="0" w:color="auto"/>
            <w:bottom w:val="none" w:sz="0" w:space="0" w:color="auto"/>
            <w:right w:val="none" w:sz="0" w:space="0" w:color="auto"/>
          </w:divBdr>
        </w:div>
        <w:div w:id="1021392083">
          <w:marLeft w:val="432"/>
          <w:marRight w:val="0"/>
          <w:marTop w:val="20"/>
          <w:marBottom w:val="20"/>
          <w:divBdr>
            <w:top w:val="none" w:sz="0" w:space="0" w:color="auto"/>
            <w:left w:val="none" w:sz="0" w:space="0" w:color="auto"/>
            <w:bottom w:val="none" w:sz="0" w:space="0" w:color="auto"/>
            <w:right w:val="none" w:sz="0" w:space="0" w:color="auto"/>
          </w:divBdr>
        </w:div>
        <w:div w:id="32274279">
          <w:marLeft w:val="432"/>
          <w:marRight w:val="0"/>
          <w:marTop w:val="20"/>
          <w:marBottom w:val="20"/>
          <w:divBdr>
            <w:top w:val="none" w:sz="0" w:space="0" w:color="auto"/>
            <w:left w:val="none" w:sz="0" w:space="0" w:color="auto"/>
            <w:bottom w:val="none" w:sz="0" w:space="0" w:color="auto"/>
            <w:right w:val="none" w:sz="0" w:space="0" w:color="auto"/>
          </w:divBdr>
        </w:div>
        <w:div w:id="1208374597">
          <w:marLeft w:val="432"/>
          <w:marRight w:val="0"/>
          <w:marTop w:val="20"/>
          <w:marBottom w:val="20"/>
          <w:divBdr>
            <w:top w:val="none" w:sz="0" w:space="0" w:color="auto"/>
            <w:left w:val="none" w:sz="0" w:space="0" w:color="auto"/>
            <w:bottom w:val="none" w:sz="0" w:space="0" w:color="auto"/>
            <w:right w:val="none" w:sz="0" w:space="0" w:color="auto"/>
          </w:divBdr>
        </w:div>
      </w:divsChild>
    </w:div>
    <w:div w:id="1243296252">
      <w:bodyDiv w:val="1"/>
      <w:marLeft w:val="0"/>
      <w:marRight w:val="0"/>
      <w:marTop w:val="0"/>
      <w:marBottom w:val="0"/>
      <w:divBdr>
        <w:top w:val="none" w:sz="0" w:space="0" w:color="auto"/>
        <w:left w:val="none" w:sz="0" w:space="0" w:color="auto"/>
        <w:bottom w:val="none" w:sz="0" w:space="0" w:color="auto"/>
        <w:right w:val="none" w:sz="0" w:space="0" w:color="auto"/>
      </w:divBdr>
      <w:divsChild>
        <w:div w:id="639385786">
          <w:marLeft w:val="0"/>
          <w:marRight w:val="0"/>
          <w:marTop w:val="0"/>
          <w:marBottom w:val="0"/>
          <w:divBdr>
            <w:top w:val="none" w:sz="0" w:space="0" w:color="auto"/>
            <w:left w:val="none" w:sz="0" w:space="0" w:color="auto"/>
            <w:bottom w:val="none" w:sz="0" w:space="0" w:color="auto"/>
            <w:right w:val="none" w:sz="0" w:space="0" w:color="auto"/>
          </w:divBdr>
        </w:div>
        <w:div w:id="830830489">
          <w:marLeft w:val="0"/>
          <w:marRight w:val="0"/>
          <w:marTop w:val="0"/>
          <w:marBottom w:val="0"/>
          <w:divBdr>
            <w:top w:val="none" w:sz="0" w:space="0" w:color="auto"/>
            <w:left w:val="none" w:sz="0" w:space="0" w:color="auto"/>
            <w:bottom w:val="none" w:sz="0" w:space="0" w:color="auto"/>
            <w:right w:val="none" w:sz="0" w:space="0" w:color="auto"/>
          </w:divBdr>
        </w:div>
        <w:div w:id="1094083825">
          <w:marLeft w:val="0"/>
          <w:marRight w:val="0"/>
          <w:marTop w:val="0"/>
          <w:marBottom w:val="0"/>
          <w:divBdr>
            <w:top w:val="none" w:sz="0" w:space="0" w:color="auto"/>
            <w:left w:val="none" w:sz="0" w:space="0" w:color="auto"/>
            <w:bottom w:val="none" w:sz="0" w:space="0" w:color="auto"/>
            <w:right w:val="none" w:sz="0" w:space="0" w:color="auto"/>
          </w:divBdr>
        </w:div>
        <w:div w:id="708919639">
          <w:marLeft w:val="0"/>
          <w:marRight w:val="0"/>
          <w:marTop w:val="0"/>
          <w:marBottom w:val="0"/>
          <w:divBdr>
            <w:top w:val="none" w:sz="0" w:space="0" w:color="auto"/>
            <w:left w:val="none" w:sz="0" w:space="0" w:color="auto"/>
            <w:bottom w:val="none" w:sz="0" w:space="0" w:color="auto"/>
            <w:right w:val="none" w:sz="0" w:space="0" w:color="auto"/>
          </w:divBdr>
        </w:div>
        <w:div w:id="1080519341">
          <w:marLeft w:val="0"/>
          <w:marRight w:val="0"/>
          <w:marTop w:val="0"/>
          <w:marBottom w:val="0"/>
          <w:divBdr>
            <w:top w:val="none" w:sz="0" w:space="0" w:color="auto"/>
            <w:left w:val="none" w:sz="0" w:space="0" w:color="auto"/>
            <w:bottom w:val="none" w:sz="0" w:space="0" w:color="auto"/>
            <w:right w:val="none" w:sz="0" w:space="0" w:color="auto"/>
          </w:divBdr>
        </w:div>
        <w:div w:id="219678012">
          <w:marLeft w:val="0"/>
          <w:marRight w:val="0"/>
          <w:marTop w:val="0"/>
          <w:marBottom w:val="0"/>
          <w:divBdr>
            <w:top w:val="none" w:sz="0" w:space="0" w:color="auto"/>
            <w:left w:val="none" w:sz="0" w:space="0" w:color="auto"/>
            <w:bottom w:val="none" w:sz="0" w:space="0" w:color="auto"/>
            <w:right w:val="none" w:sz="0" w:space="0" w:color="auto"/>
          </w:divBdr>
        </w:div>
        <w:div w:id="1307970716">
          <w:marLeft w:val="0"/>
          <w:marRight w:val="0"/>
          <w:marTop w:val="0"/>
          <w:marBottom w:val="0"/>
          <w:divBdr>
            <w:top w:val="none" w:sz="0" w:space="0" w:color="auto"/>
            <w:left w:val="none" w:sz="0" w:space="0" w:color="auto"/>
            <w:bottom w:val="none" w:sz="0" w:space="0" w:color="auto"/>
            <w:right w:val="none" w:sz="0" w:space="0" w:color="auto"/>
          </w:divBdr>
        </w:div>
      </w:divsChild>
    </w:div>
    <w:div w:id="1268345910">
      <w:bodyDiv w:val="1"/>
      <w:marLeft w:val="0"/>
      <w:marRight w:val="0"/>
      <w:marTop w:val="0"/>
      <w:marBottom w:val="0"/>
      <w:divBdr>
        <w:top w:val="none" w:sz="0" w:space="0" w:color="auto"/>
        <w:left w:val="none" w:sz="0" w:space="0" w:color="auto"/>
        <w:bottom w:val="none" w:sz="0" w:space="0" w:color="auto"/>
        <w:right w:val="none" w:sz="0" w:space="0" w:color="auto"/>
      </w:divBdr>
    </w:div>
    <w:div w:id="1277525184">
      <w:bodyDiv w:val="1"/>
      <w:marLeft w:val="0"/>
      <w:marRight w:val="0"/>
      <w:marTop w:val="0"/>
      <w:marBottom w:val="0"/>
      <w:divBdr>
        <w:top w:val="none" w:sz="0" w:space="0" w:color="auto"/>
        <w:left w:val="none" w:sz="0" w:space="0" w:color="auto"/>
        <w:bottom w:val="none" w:sz="0" w:space="0" w:color="auto"/>
        <w:right w:val="none" w:sz="0" w:space="0" w:color="auto"/>
      </w:divBdr>
      <w:divsChild>
        <w:div w:id="1703553258">
          <w:marLeft w:val="0"/>
          <w:marRight w:val="0"/>
          <w:marTop w:val="15"/>
          <w:marBottom w:val="60"/>
          <w:divBdr>
            <w:top w:val="none" w:sz="0" w:space="0" w:color="auto"/>
            <w:left w:val="none" w:sz="0" w:space="0" w:color="auto"/>
            <w:bottom w:val="none" w:sz="0" w:space="0" w:color="auto"/>
            <w:right w:val="none" w:sz="0" w:space="0" w:color="auto"/>
          </w:divBdr>
          <w:divsChild>
            <w:div w:id="502815099">
              <w:marLeft w:val="0"/>
              <w:marRight w:val="0"/>
              <w:marTop w:val="0"/>
              <w:marBottom w:val="0"/>
              <w:divBdr>
                <w:top w:val="none" w:sz="0" w:space="0" w:color="auto"/>
                <w:left w:val="none" w:sz="0" w:space="0" w:color="auto"/>
                <w:bottom w:val="none" w:sz="0" w:space="0" w:color="auto"/>
                <w:right w:val="none" w:sz="0" w:space="0" w:color="auto"/>
              </w:divBdr>
              <w:divsChild>
                <w:div w:id="119106143">
                  <w:marLeft w:val="0"/>
                  <w:marRight w:val="0"/>
                  <w:marTop w:val="0"/>
                  <w:marBottom w:val="0"/>
                  <w:divBdr>
                    <w:top w:val="none" w:sz="0" w:space="0" w:color="auto"/>
                    <w:left w:val="none" w:sz="0" w:space="0" w:color="auto"/>
                    <w:bottom w:val="none" w:sz="0" w:space="0" w:color="auto"/>
                    <w:right w:val="none" w:sz="0" w:space="0" w:color="auto"/>
                  </w:divBdr>
                </w:div>
                <w:div w:id="1463111940">
                  <w:marLeft w:val="0"/>
                  <w:marRight w:val="0"/>
                  <w:marTop w:val="0"/>
                  <w:marBottom w:val="0"/>
                  <w:divBdr>
                    <w:top w:val="none" w:sz="0" w:space="0" w:color="auto"/>
                    <w:left w:val="none" w:sz="0" w:space="0" w:color="auto"/>
                    <w:bottom w:val="none" w:sz="0" w:space="0" w:color="auto"/>
                    <w:right w:val="none" w:sz="0" w:space="0" w:color="auto"/>
                  </w:divBdr>
                </w:div>
                <w:div w:id="871067822">
                  <w:marLeft w:val="0"/>
                  <w:marRight w:val="0"/>
                  <w:marTop w:val="0"/>
                  <w:marBottom w:val="0"/>
                  <w:divBdr>
                    <w:top w:val="none" w:sz="0" w:space="0" w:color="auto"/>
                    <w:left w:val="none" w:sz="0" w:space="0" w:color="auto"/>
                    <w:bottom w:val="none" w:sz="0" w:space="0" w:color="auto"/>
                    <w:right w:val="none" w:sz="0" w:space="0" w:color="auto"/>
                  </w:divBdr>
                </w:div>
                <w:div w:id="2128114223">
                  <w:marLeft w:val="0"/>
                  <w:marRight w:val="0"/>
                  <w:marTop w:val="0"/>
                  <w:marBottom w:val="0"/>
                  <w:divBdr>
                    <w:top w:val="none" w:sz="0" w:space="0" w:color="auto"/>
                    <w:left w:val="none" w:sz="0" w:space="0" w:color="auto"/>
                    <w:bottom w:val="none" w:sz="0" w:space="0" w:color="auto"/>
                    <w:right w:val="none" w:sz="0" w:space="0" w:color="auto"/>
                  </w:divBdr>
                </w:div>
                <w:div w:id="387340959">
                  <w:marLeft w:val="0"/>
                  <w:marRight w:val="0"/>
                  <w:marTop w:val="0"/>
                  <w:marBottom w:val="0"/>
                  <w:divBdr>
                    <w:top w:val="none" w:sz="0" w:space="0" w:color="auto"/>
                    <w:left w:val="none" w:sz="0" w:space="0" w:color="auto"/>
                    <w:bottom w:val="none" w:sz="0" w:space="0" w:color="auto"/>
                    <w:right w:val="none" w:sz="0" w:space="0" w:color="auto"/>
                  </w:divBdr>
                </w:div>
                <w:div w:id="411315991">
                  <w:marLeft w:val="0"/>
                  <w:marRight w:val="0"/>
                  <w:marTop w:val="0"/>
                  <w:marBottom w:val="0"/>
                  <w:divBdr>
                    <w:top w:val="none" w:sz="0" w:space="0" w:color="auto"/>
                    <w:left w:val="none" w:sz="0" w:space="0" w:color="auto"/>
                    <w:bottom w:val="none" w:sz="0" w:space="0" w:color="auto"/>
                    <w:right w:val="none" w:sz="0" w:space="0" w:color="auto"/>
                  </w:divBdr>
                </w:div>
                <w:div w:id="44597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62473">
      <w:bodyDiv w:val="1"/>
      <w:marLeft w:val="0"/>
      <w:marRight w:val="0"/>
      <w:marTop w:val="0"/>
      <w:marBottom w:val="0"/>
      <w:divBdr>
        <w:top w:val="none" w:sz="0" w:space="0" w:color="auto"/>
        <w:left w:val="none" w:sz="0" w:space="0" w:color="auto"/>
        <w:bottom w:val="none" w:sz="0" w:space="0" w:color="auto"/>
        <w:right w:val="none" w:sz="0" w:space="0" w:color="auto"/>
      </w:divBdr>
    </w:div>
    <w:div w:id="1340232045">
      <w:bodyDiv w:val="1"/>
      <w:marLeft w:val="0"/>
      <w:marRight w:val="0"/>
      <w:marTop w:val="0"/>
      <w:marBottom w:val="0"/>
      <w:divBdr>
        <w:top w:val="none" w:sz="0" w:space="0" w:color="auto"/>
        <w:left w:val="none" w:sz="0" w:space="0" w:color="auto"/>
        <w:bottom w:val="none" w:sz="0" w:space="0" w:color="auto"/>
        <w:right w:val="none" w:sz="0" w:space="0" w:color="auto"/>
      </w:divBdr>
    </w:div>
    <w:div w:id="1362245893">
      <w:bodyDiv w:val="1"/>
      <w:marLeft w:val="0"/>
      <w:marRight w:val="0"/>
      <w:marTop w:val="0"/>
      <w:marBottom w:val="0"/>
      <w:divBdr>
        <w:top w:val="none" w:sz="0" w:space="0" w:color="auto"/>
        <w:left w:val="none" w:sz="0" w:space="0" w:color="auto"/>
        <w:bottom w:val="none" w:sz="0" w:space="0" w:color="auto"/>
        <w:right w:val="none" w:sz="0" w:space="0" w:color="auto"/>
      </w:divBdr>
    </w:div>
    <w:div w:id="1381052835">
      <w:bodyDiv w:val="1"/>
      <w:marLeft w:val="0"/>
      <w:marRight w:val="0"/>
      <w:marTop w:val="0"/>
      <w:marBottom w:val="0"/>
      <w:divBdr>
        <w:top w:val="none" w:sz="0" w:space="0" w:color="auto"/>
        <w:left w:val="none" w:sz="0" w:space="0" w:color="auto"/>
        <w:bottom w:val="none" w:sz="0" w:space="0" w:color="auto"/>
        <w:right w:val="none" w:sz="0" w:space="0" w:color="auto"/>
      </w:divBdr>
    </w:div>
    <w:div w:id="1398554560">
      <w:bodyDiv w:val="1"/>
      <w:marLeft w:val="0"/>
      <w:marRight w:val="0"/>
      <w:marTop w:val="0"/>
      <w:marBottom w:val="0"/>
      <w:divBdr>
        <w:top w:val="none" w:sz="0" w:space="0" w:color="auto"/>
        <w:left w:val="none" w:sz="0" w:space="0" w:color="auto"/>
        <w:bottom w:val="none" w:sz="0" w:space="0" w:color="auto"/>
        <w:right w:val="none" w:sz="0" w:space="0" w:color="auto"/>
      </w:divBdr>
    </w:div>
    <w:div w:id="1409419685">
      <w:bodyDiv w:val="1"/>
      <w:marLeft w:val="0"/>
      <w:marRight w:val="0"/>
      <w:marTop w:val="0"/>
      <w:marBottom w:val="0"/>
      <w:divBdr>
        <w:top w:val="none" w:sz="0" w:space="0" w:color="auto"/>
        <w:left w:val="none" w:sz="0" w:space="0" w:color="auto"/>
        <w:bottom w:val="none" w:sz="0" w:space="0" w:color="auto"/>
        <w:right w:val="none" w:sz="0" w:space="0" w:color="auto"/>
      </w:divBdr>
    </w:div>
    <w:div w:id="1413702563">
      <w:bodyDiv w:val="1"/>
      <w:marLeft w:val="0"/>
      <w:marRight w:val="0"/>
      <w:marTop w:val="0"/>
      <w:marBottom w:val="0"/>
      <w:divBdr>
        <w:top w:val="none" w:sz="0" w:space="0" w:color="auto"/>
        <w:left w:val="none" w:sz="0" w:space="0" w:color="auto"/>
        <w:bottom w:val="none" w:sz="0" w:space="0" w:color="auto"/>
        <w:right w:val="none" w:sz="0" w:space="0" w:color="auto"/>
      </w:divBdr>
    </w:div>
    <w:div w:id="1414815452">
      <w:bodyDiv w:val="1"/>
      <w:marLeft w:val="0"/>
      <w:marRight w:val="0"/>
      <w:marTop w:val="0"/>
      <w:marBottom w:val="0"/>
      <w:divBdr>
        <w:top w:val="none" w:sz="0" w:space="0" w:color="auto"/>
        <w:left w:val="none" w:sz="0" w:space="0" w:color="auto"/>
        <w:bottom w:val="none" w:sz="0" w:space="0" w:color="auto"/>
        <w:right w:val="none" w:sz="0" w:space="0" w:color="auto"/>
      </w:divBdr>
    </w:div>
    <w:div w:id="1423917134">
      <w:bodyDiv w:val="1"/>
      <w:marLeft w:val="0"/>
      <w:marRight w:val="0"/>
      <w:marTop w:val="0"/>
      <w:marBottom w:val="0"/>
      <w:divBdr>
        <w:top w:val="none" w:sz="0" w:space="0" w:color="auto"/>
        <w:left w:val="none" w:sz="0" w:space="0" w:color="auto"/>
        <w:bottom w:val="none" w:sz="0" w:space="0" w:color="auto"/>
        <w:right w:val="none" w:sz="0" w:space="0" w:color="auto"/>
      </w:divBdr>
    </w:div>
    <w:div w:id="1424374428">
      <w:bodyDiv w:val="1"/>
      <w:marLeft w:val="0"/>
      <w:marRight w:val="0"/>
      <w:marTop w:val="0"/>
      <w:marBottom w:val="0"/>
      <w:divBdr>
        <w:top w:val="none" w:sz="0" w:space="0" w:color="auto"/>
        <w:left w:val="none" w:sz="0" w:space="0" w:color="auto"/>
        <w:bottom w:val="none" w:sz="0" w:space="0" w:color="auto"/>
        <w:right w:val="none" w:sz="0" w:space="0" w:color="auto"/>
      </w:divBdr>
    </w:div>
    <w:div w:id="1443719402">
      <w:bodyDiv w:val="1"/>
      <w:marLeft w:val="0"/>
      <w:marRight w:val="0"/>
      <w:marTop w:val="0"/>
      <w:marBottom w:val="0"/>
      <w:divBdr>
        <w:top w:val="none" w:sz="0" w:space="0" w:color="auto"/>
        <w:left w:val="none" w:sz="0" w:space="0" w:color="auto"/>
        <w:bottom w:val="none" w:sz="0" w:space="0" w:color="auto"/>
        <w:right w:val="none" w:sz="0" w:space="0" w:color="auto"/>
      </w:divBdr>
    </w:div>
    <w:div w:id="1454399450">
      <w:bodyDiv w:val="1"/>
      <w:marLeft w:val="0"/>
      <w:marRight w:val="0"/>
      <w:marTop w:val="0"/>
      <w:marBottom w:val="0"/>
      <w:divBdr>
        <w:top w:val="none" w:sz="0" w:space="0" w:color="auto"/>
        <w:left w:val="none" w:sz="0" w:space="0" w:color="auto"/>
        <w:bottom w:val="none" w:sz="0" w:space="0" w:color="auto"/>
        <w:right w:val="none" w:sz="0" w:space="0" w:color="auto"/>
      </w:divBdr>
    </w:div>
    <w:div w:id="1460955012">
      <w:bodyDiv w:val="1"/>
      <w:marLeft w:val="0"/>
      <w:marRight w:val="0"/>
      <w:marTop w:val="0"/>
      <w:marBottom w:val="0"/>
      <w:divBdr>
        <w:top w:val="none" w:sz="0" w:space="0" w:color="auto"/>
        <w:left w:val="none" w:sz="0" w:space="0" w:color="auto"/>
        <w:bottom w:val="none" w:sz="0" w:space="0" w:color="auto"/>
        <w:right w:val="none" w:sz="0" w:space="0" w:color="auto"/>
      </w:divBdr>
    </w:div>
    <w:div w:id="1529947711">
      <w:bodyDiv w:val="1"/>
      <w:marLeft w:val="0"/>
      <w:marRight w:val="0"/>
      <w:marTop w:val="0"/>
      <w:marBottom w:val="0"/>
      <w:divBdr>
        <w:top w:val="none" w:sz="0" w:space="0" w:color="auto"/>
        <w:left w:val="none" w:sz="0" w:space="0" w:color="auto"/>
        <w:bottom w:val="none" w:sz="0" w:space="0" w:color="auto"/>
        <w:right w:val="none" w:sz="0" w:space="0" w:color="auto"/>
      </w:divBdr>
      <w:divsChild>
        <w:div w:id="2067756660">
          <w:marLeft w:val="432"/>
          <w:marRight w:val="0"/>
          <w:marTop w:val="20"/>
          <w:marBottom w:val="20"/>
          <w:divBdr>
            <w:top w:val="none" w:sz="0" w:space="0" w:color="auto"/>
            <w:left w:val="none" w:sz="0" w:space="0" w:color="auto"/>
            <w:bottom w:val="none" w:sz="0" w:space="0" w:color="auto"/>
            <w:right w:val="none" w:sz="0" w:space="0" w:color="auto"/>
          </w:divBdr>
        </w:div>
        <w:div w:id="360278993">
          <w:marLeft w:val="432"/>
          <w:marRight w:val="0"/>
          <w:marTop w:val="20"/>
          <w:marBottom w:val="20"/>
          <w:divBdr>
            <w:top w:val="none" w:sz="0" w:space="0" w:color="auto"/>
            <w:left w:val="none" w:sz="0" w:space="0" w:color="auto"/>
            <w:bottom w:val="none" w:sz="0" w:space="0" w:color="auto"/>
            <w:right w:val="none" w:sz="0" w:space="0" w:color="auto"/>
          </w:divBdr>
        </w:div>
        <w:div w:id="965087412">
          <w:marLeft w:val="432"/>
          <w:marRight w:val="0"/>
          <w:marTop w:val="20"/>
          <w:marBottom w:val="20"/>
          <w:divBdr>
            <w:top w:val="none" w:sz="0" w:space="0" w:color="auto"/>
            <w:left w:val="none" w:sz="0" w:space="0" w:color="auto"/>
            <w:bottom w:val="none" w:sz="0" w:space="0" w:color="auto"/>
            <w:right w:val="none" w:sz="0" w:space="0" w:color="auto"/>
          </w:divBdr>
        </w:div>
        <w:div w:id="1157771434">
          <w:marLeft w:val="432"/>
          <w:marRight w:val="0"/>
          <w:marTop w:val="20"/>
          <w:marBottom w:val="20"/>
          <w:divBdr>
            <w:top w:val="none" w:sz="0" w:space="0" w:color="auto"/>
            <w:left w:val="none" w:sz="0" w:space="0" w:color="auto"/>
            <w:bottom w:val="none" w:sz="0" w:space="0" w:color="auto"/>
            <w:right w:val="none" w:sz="0" w:space="0" w:color="auto"/>
          </w:divBdr>
        </w:div>
        <w:div w:id="114914710">
          <w:marLeft w:val="432"/>
          <w:marRight w:val="0"/>
          <w:marTop w:val="20"/>
          <w:marBottom w:val="20"/>
          <w:divBdr>
            <w:top w:val="none" w:sz="0" w:space="0" w:color="auto"/>
            <w:left w:val="none" w:sz="0" w:space="0" w:color="auto"/>
            <w:bottom w:val="none" w:sz="0" w:space="0" w:color="auto"/>
            <w:right w:val="none" w:sz="0" w:space="0" w:color="auto"/>
          </w:divBdr>
        </w:div>
        <w:div w:id="1712219322">
          <w:marLeft w:val="432"/>
          <w:marRight w:val="0"/>
          <w:marTop w:val="20"/>
          <w:marBottom w:val="20"/>
          <w:divBdr>
            <w:top w:val="none" w:sz="0" w:space="0" w:color="auto"/>
            <w:left w:val="none" w:sz="0" w:space="0" w:color="auto"/>
            <w:bottom w:val="none" w:sz="0" w:space="0" w:color="auto"/>
            <w:right w:val="none" w:sz="0" w:space="0" w:color="auto"/>
          </w:divBdr>
        </w:div>
        <w:div w:id="151337730">
          <w:marLeft w:val="432"/>
          <w:marRight w:val="0"/>
          <w:marTop w:val="20"/>
          <w:marBottom w:val="20"/>
          <w:divBdr>
            <w:top w:val="none" w:sz="0" w:space="0" w:color="auto"/>
            <w:left w:val="none" w:sz="0" w:space="0" w:color="auto"/>
            <w:bottom w:val="none" w:sz="0" w:space="0" w:color="auto"/>
            <w:right w:val="none" w:sz="0" w:space="0" w:color="auto"/>
          </w:divBdr>
        </w:div>
      </w:divsChild>
    </w:div>
    <w:div w:id="1534541978">
      <w:bodyDiv w:val="1"/>
      <w:marLeft w:val="0"/>
      <w:marRight w:val="0"/>
      <w:marTop w:val="0"/>
      <w:marBottom w:val="0"/>
      <w:divBdr>
        <w:top w:val="none" w:sz="0" w:space="0" w:color="auto"/>
        <w:left w:val="none" w:sz="0" w:space="0" w:color="auto"/>
        <w:bottom w:val="none" w:sz="0" w:space="0" w:color="auto"/>
        <w:right w:val="none" w:sz="0" w:space="0" w:color="auto"/>
      </w:divBdr>
    </w:div>
    <w:div w:id="1581326462">
      <w:bodyDiv w:val="1"/>
      <w:marLeft w:val="0"/>
      <w:marRight w:val="0"/>
      <w:marTop w:val="0"/>
      <w:marBottom w:val="0"/>
      <w:divBdr>
        <w:top w:val="none" w:sz="0" w:space="0" w:color="auto"/>
        <w:left w:val="none" w:sz="0" w:space="0" w:color="auto"/>
        <w:bottom w:val="none" w:sz="0" w:space="0" w:color="auto"/>
        <w:right w:val="none" w:sz="0" w:space="0" w:color="auto"/>
      </w:divBdr>
    </w:div>
    <w:div w:id="1611472960">
      <w:bodyDiv w:val="1"/>
      <w:marLeft w:val="0"/>
      <w:marRight w:val="0"/>
      <w:marTop w:val="0"/>
      <w:marBottom w:val="0"/>
      <w:divBdr>
        <w:top w:val="none" w:sz="0" w:space="0" w:color="auto"/>
        <w:left w:val="none" w:sz="0" w:space="0" w:color="auto"/>
        <w:bottom w:val="none" w:sz="0" w:space="0" w:color="auto"/>
        <w:right w:val="none" w:sz="0" w:space="0" w:color="auto"/>
      </w:divBdr>
    </w:div>
    <w:div w:id="1625884060">
      <w:bodyDiv w:val="1"/>
      <w:marLeft w:val="0"/>
      <w:marRight w:val="0"/>
      <w:marTop w:val="0"/>
      <w:marBottom w:val="0"/>
      <w:divBdr>
        <w:top w:val="none" w:sz="0" w:space="0" w:color="auto"/>
        <w:left w:val="none" w:sz="0" w:space="0" w:color="auto"/>
        <w:bottom w:val="none" w:sz="0" w:space="0" w:color="auto"/>
        <w:right w:val="none" w:sz="0" w:space="0" w:color="auto"/>
      </w:divBdr>
    </w:div>
    <w:div w:id="1639258521">
      <w:bodyDiv w:val="1"/>
      <w:marLeft w:val="0"/>
      <w:marRight w:val="0"/>
      <w:marTop w:val="0"/>
      <w:marBottom w:val="0"/>
      <w:divBdr>
        <w:top w:val="none" w:sz="0" w:space="0" w:color="auto"/>
        <w:left w:val="none" w:sz="0" w:space="0" w:color="auto"/>
        <w:bottom w:val="none" w:sz="0" w:space="0" w:color="auto"/>
        <w:right w:val="none" w:sz="0" w:space="0" w:color="auto"/>
      </w:divBdr>
    </w:div>
    <w:div w:id="1669209478">
      <w:bodyDiv w:val="1"/>
      <w:marLeft w:val="0"/>
      <w:marRight w:val="0"/>
      <w:marTop w:val="0"/>
      <w:marBottom w:val="0"/>
      <w:divBdr>
        <w:top w:val="none" w:sz="0" w:space="0" w:color="auto"/>
        <w:left w:val="none" w:sz="0" w:space="0" w:color="auto"/>
        <w:bottom w:val="none" w:sz="0" w:space="0" w:color="auto"/>
        <w:right w:val="none" w:sz="0" w:space="0" w:color="auto"/>
      </w:divBdr>
    </w:div>
    <w:div w:id="1677612808">
      <w:bodyDiv w:val="1"/>
      <w:marLeft w:val="0"/>
      <w:marRight w:val="0"/>
      <w:marTop w:val="0"/>
      <w:marBottom w:val="0"/>
      <w:divBdr>
        <w:top w:val="none" w:sz="0" w:space="0" w:color="auto"/>
        <w:left w:val="none" w:sz="0" w:space="0" w:color="auto"/>
        <w:bottom w:val="none" w:sz="0" w:space="0" w:color="auto"/>
        <w:right w:val="none" w:sz="0" w:space="0" w:color="auto"/>
      </w:divBdr>
    </w:div>
    <w:div w:id="1681816805">
      <w:bodyDiv w:val="1"/>
      <w:marLeft w:val="0"/>
      <w:marRight w:val="0"/>
      <w:marTop w:val="0"/>
      <w:marBottom w:val="0"/>
      <w:divBdr>
        <w:top w:val="none" w:sz="0" w:space="0" w:color="auto"/>
        <w:left w:val="none" w:sz="0" w:space="0" w:color="auto"/>
        <w:bottom w:val="none" w:sz="0" w:space="0" w:color="auto"/>
        <w:right w:val="none" w:sz="0" w:space="0" w:color="auto"/>
      </w:divBdr>
    </w:div>
    <w:div w:id="1690444037">
      <w:bodyDiv w:val="1"/>
      <w:marLeft w:val="0"/>
      <w:marRight w:val="0"/>
      <w:marTop w:val="0"/>
      <w:marBottom w:val="0"/>
      <w:divBdr>
        <w:top w:val="none" w:sz="0" w:space="0" w:color="auto"/>
        <w:left w:val="none" w:sz="0" w:space="0" w:color="auto"/>
        <w:bottom w:val="none" w:sz="0" w:space="0" w:color="auto"/>
        <w:right w:val="none" w:sz="0" w:space="0" w:color="auto"/>
      </w:divBdr>
    </w:div>
    <w:div w:id="1693064913">
      <w:bodyDiv w:val="1"/>
      <w:marLeft w:val="0"/>
      <w:marRight w:val="0"/>
      <w:marTop w:val="0"/>
      <w:marBottom w:val="0"/>
      <w:divBdr>
        <w:top w:val="none" w:sz="0" w:space="0" w:color="auto"/>
        <w:left w:val="none" w:sz="0" w:space="0" w:color="auto"/>
        <w:bottom w:val="none" w:sz="0" w:space="0" w:color="auto"/>
        <w:right w:val="none" w:sz="0" w:space="0" w:color="auto"/>
      </w:divBdr>
    </w:div>
    <w:div w:id="1728911444">
      <w:bodyDiv w:val="1"/>
      <w:marLeft w:val="0"/>
      <w:marRight w:val="0"/>
      <w:marTop w:val="0"/>
      <w:marBottom w:val="0"/>
      <w:divBdr>
        <w:top w:val="none" w:sz="0" w:space="0" w:color="auto"/>
        <w:left w:val="none" w:sz="0" w:space="0" w:color="auto"/>
        <w:bottom w:val="none" w:sz="0" w:space="0" w:color="auto"/>
        <w:right w:val="none" w:sz="0" w:space="0" w:color="auto"/>
      </w:divBdr>
    </w:div>
    <w:div w:id="1733768025">
      <w:bodyDiv w:val="1"/>
      <w:marLeft w:val="0"/>
      <w:marRight w:val="0"/>
      <w:marTop w:val="0"/>
      <w:marBottom w:val="0"/>
      <w:divBdr>
        <w:top w:val="none" w:sz="0" w:space="0" w:color="auto"/>
        <w:left w:val="none" w:sz="0" w:space="0" w:color="auto"/>
        <w:bottom w:val="none" w:sz="0" w:space="0" w:color="auto"/>
        <w:right w:val="none" w:sz="0" w:space="0" w:color="auto"/>
      </w:divBdr>
    </w:div>
    <w:div w:id="1736008514">
      <w:bodyDiv w:val="1"/>
      <w:marLeft w:val="0"/>
      <w:marRight w:val="0"/>
      <w:marTop w:val="0"/>
      <w:marBottom w:val="0"/>
      <w:divBdr>
        <w:top w:val="none" w:sz="0" w:space="0" w:color="auto"/>
        <w:left w:val="none" w:sz="0" w:space="0" w:color="auto"/>
        <w:bottom w:val="none" w:sz="0" w:space="0" w:color="auto"/>
        <w:right w:val="none" w:sz="0" w:space="0" w:color="auto"/>
      </w:divBdr>
    </w:div>
    <w:div w:id="1736664538">
      <w:bodyDiv w:val="1"/>
      <w:marLeft w:val="0"/>
      <w:marRight w:val="0"/>
      <w:marTop w:val="0"/>
      <w:marBottom w:val="0"/>
      <w:divBdr>
        <w:top w:val="none" w:sz="0" w:space="0" w:color="auto"/>
        <w:left w:val="none" w:sz="0" w:space="0" w:color="auto"/>
        <w:bottom w:val="none" w:sz="0" w:space="0" w:color="auto"/>
        <w:right w:val="none" w:sz="0" w:space="0" w:color="auto"/>
      </w:divBdr>
    </w:div>
    <w:div w:id="1739985185">
      <w:bodyDiv w:val="1"/>
      <w:marLeft w:val="0"/>
      <w:marRight w:val="0"/>
      <w:marTop w:val="0"/>
      <w:marBottom w:val="0"/>
      <w:divBdr>
        <w:top w:val="none" w:sz="0" w:space="0" w:color="auto"/>
        <w:left w:val="none" w:sz="0" w:space="0" w:color="auto"/>
        <w:bottom w:val="none" w:sz="0" w:space="0" w:color="auto"/>
        <w:right w:val="none" w:sz="0" w:space="0" w:color="auto"/>
      </w:divBdr>
      <w:divsChild>
        <w:div w:id="175122131">
          <w:marLeft w:val="720"/>
          <w:marRight w:val="216"/>
          <w:marTop w:val="320"/>
          <w:marBottom w:val="0"/>
          <w:divBdr>
            <w:top w:val="none" w:sz="0" w:space="0" w:color="auto"/>
            <w:left w:val="none" w:sz="0" w:space="0" w:color="auto"/>
            <w:bottom w:val="none" w:sz="0" w:space="0" w:color="auto"/>
            <w:right w:val="none" w:sz="0" w:space="0" w:color="auto"/>
          </w:divBdr>
        </w:div>
        <w:div w:id="304631320">
          <w:marLeft w:val="720"/>
          <w:marRight w:val="216"/>
          <w:marTop w:val="0"/>
          <w:marBottom w:val="0"/>
          <w:divBdr>
            <w:top w:val="none" w:sz="0" w:space="0" w:color="auto"/>
            <w:left w:val="none" w:sz="0" w:space="0" w:color="auto"/>
            <w:bottom w:val="none" w:sz="0" w:space="0" w:color="auto"/>
            <w:right w:val="none" w:sz="0" w:space="0" w:color="auto"/>
          </w:divBdr>
        </w:div>
        <w:div w:id="1829860029">
          <w:marLeft w:val="720"/>
          <w:marRight w:val="0"/>
          <w:marTop w:val="0"/>
          <w:marBottom w:val="0"/>
          <w:divBdr>
            <w:top w:val="none" w:sz="0" w:space="0" w:color="auto"/>
            <w:left w:val="none" w:sz="0" w:space="0" w:color="auto"/>
            <w:bottom w:val="none" w:sz="0" w:space="0" w:color="auto"/>
            <w:right w:val="none" w:sz="0" w:space="0" w:color="auto"/>
          </w:divBdr>
        </w:div>
      </w:divsChild>
    </w:div>
    <w:div w:id="1758945454">
      <w:bodyDiv w:val="1"/>
      <w:marLeft w:val="0"/>
      <w:marRight w:val="0"/>
      <w:marTop w:val="0"/>
      <w:marBottom w:val="0"/>
      <w:divBdr>
        <w:top w:val="none" w:sz="0" w:space="0" w:color="auto"/>
        <w:left w:val="none" w:sz="0" w:space="0" w:color="auto"/>
        <w:bottom w:val="none" w:sz="0" w:space="0" w:color="auto"/>
        <w:right w:val="none" w:sz="0" w:space="0" w:color="auto"/>
      </w:divBdr>
    </w:div>
    <w:div w:id="1760130085">
      <w:bodyDiv w:val="1"/>
      <w:marLeft w:val="0"/>
      <w:marRight w:val="0"/>
      <w:marTop w:val="0"/>
      <w:marBottom w:val="0"/>
      <w:divBdr>
        <w:top w:val="none" w:sz="0" w:space="0" w:color="auto"/>
        <w:left w:val="none" w:sz="0" w:space="0" w:color="auto"/>
        <w:bottom w:val="none" w:sz="0" w:space="0" w:color="auto"/>
        <w:right w:val="none" w:sz="0" w:space="0" w:color="auto"/>
      </w:divBdr>
      <w:divsChild>
        <w:div w:id="117190592">
          <w:marLeft w:val="533"/>
          <w:marRight w:val="0"/>
          <w:marTop w:val="0"/>
          <w:marBottom w:val="0"/>
          <w:divBdr>
            <w:top w:val="none" w:sz="0" w:space="0" w:color="auto"/>
            <w:left w:val="none" w:sz="0" w:space="0" w:color="auto"/>
            <w:bottom w:val="none" w:sz="0" w:space="0" w:color="auto"/>
            <w:right w:val="none" w:sz="0" w:space="0" w:color="auto"/>
          </w:divBdr>
        </w:div>
        <w:div w:id="1148281834">
          <w:marLeft w:val="533"/>
          <w:marRight w:val="0"/>
          <w:marTop w:val="0"/>
          <w:marBottom w:val="0"/>
          <w:divBdr>
            <w:top w:val="none" w:sz="0" w:space="0" w:color="auto"/>
            <w:left w:val="none" w:sz="0" w:space="0" w:color="auto"/>
            <w:bottom w:val="none" w:sz="0" w:space="0" w:color="auto"/>
            <w:right w:val="none" w:sz="0" w:space="0" w:color="auto"/>
          </w:divBdr>
        </w:div>
        <w:div w:id="247229519">
          <w:marLeft w:val="533"/>
          <w:marRight w:val="0"/>
          <w:marTop w:val="0"/>
          <w:marBottom w:val="0"/>
          <w:divBdr>
            <w:top w:val="none" w:sz="0" w:space="0" w:color="auto"/>
            <w:left w:val="none" w:sz="0" w:space="0" w:color="auto"/>
            <w:bottom w:val="none" w:sz="0" w:space="0" w:color="auto"/>
            <w:right w:val="none" w:sz="0" w:space="0" w:color="auto"/>
          </w:divBdr>
        </w:div>
        <w:div w:id="316342897">
          <w:marLeft w:val="533"/>
          <w:marRight w:val="0"/>
          <w:marTop w:val="0"/>
          <w:marBottom w:val="0"/>
          <w:divBdr>
            <w:top w:val="none" w:sz="0" w:space="0" w:color="auto"/>
            <w:left w:val="none" w:sz="0" w:space="0" w:color="auto"/>
            <w:bottom w:val="none" w:sz="0" w:space="0" w:color="auto"/>
            <w:right w:val="none" w:sz="0" w:space="0" w:color="auto"/>
          </w:divBdr>
        </w:div>
        <w:div w:id="994800664">
          <w:marLeft w:val="533"/>
          <w:marRight w:val="0"/>
          <w:marTop w:val="0"/>
          <w:marBottom w:val="0"/>
          <w:divBdr>
            <w:top w:val="none" w:sz="0" w:space="0" w:color="auto"/>
            <w:left w:val="none" w:sz="0" w:space="0" w:color="auto"/>
            <w:bottom w:val="none" w:sz="0" w:space="0" w:color="auto"/>
            <w:right w:val="none" w:sz="0" w:space="0" w:color="auto"/>
          </w:divBdr>
        </w:div>
      </w:divsChild>
    </w:div>
    <w:div w:id="1798991128">
      <w:bodyDiv w:val="1"/>
      <w:marLeft w:val="0"/>
      <w:marRight w:val="0"/>
      <w:marTop w:val="0"/>
      <w:marBottom w:val="0"/>
      <w:divBdr>
        <w:top w:val="none" w:sz="0" w:space="0" w:color="auto"/>
        <w:left w:val="none" w:sz="0" w:space="0" w:color="auto"/>
        <w:bottom w:val="none" w:sz="0" w:space="0" w:color="auto"/>
        <w:right w:val="none" w:sz="0" w:space="0" w:color="auto"/>
      </w:divBdr>
      <w:divsChild>
        <w:div w:id="492112814">
          <w:marLeft w:val="533"/>
          <w:marRight w:val="0"/>
          <w:marTop w:val="0"/>
          <w:marBottom w:val="0"/>
          <w:divBdr>
            <w:top w:val="none" w:sz="0" w:space="0" w:color="auto"/>
            <w:left w:val="none" w:sz="0" w:space="0" w:color="auto"/>
            <w:bottom w:val="none" w:sz="0" w:space="0" w:color="auto"/>
            <w:right w:val="none" w:sz="0" w:space="0" w:color="auto"/>
          </w:divBdr>
        </w:div>
        <w:div w:id="1292328028">
          <w:marLeft w:val="533"/>
          <w:marRight w:val="0"/>
          <w:marTop w:val="0"/>
          <w:marBottom w:val="0"/>
          <w:divBdr>
            <w:top w:val="none" w:sz="0" w:space="0" w:color="auto"/>
            <w:left w:val="none" w:sz="0" w:space="0" w:color="auto"/>
            <w:bottom w:val="none" w:sz="0" w:space="0" w:color="auto"/>
            <w:right w:val="none" w:sz="0" w:space="0" w:color="auto"/>
          </w:divBdr>
        </w:div>
        <w:div w:id="1625424664">
          <w:marLeft w:val="533"/>
          <w:marRight w:val="0"/>
          <w:marTop w:val="0"/>
          <w:marBottom w:val="0"/>
          <w:divBdr>
            <w:top w:val="none" w:sz="0" w:space="0" w:color="auto"/>
            <w:left w:val="none" w:sz="0" w:space="0" w:color="auto"/>
            <w:bottom w:val="none" w:sz="0" w:space="0" w:color="auto"/>
            <w:right w:val="none" w:sz="0" w:space="0" w:color="auto"/>
          </w:divBdr>
        </w:div>
        <w:div w:id="686716619">
          <w:marLeft w:val="533"/>
          <w:marRight w:val="0"/>
          <w:marTop w:val="0"/>
          <w:marBottom w:val="0"/>
          <w:divBdr>
            <w:top w:val="none" w:sz="0" w:space="0" w:color="auto"/>
            <w:left w:val="none" w:sz="0" w:space="0" w:color="auto"/>
            <w:bottom w:val="none" w:sz="0" w:space="0" w:color="auto"/>
            <w:right w:val="none" w:sz="0" w:space="0" w:color="auto"/>
          </w:divBdr>
        </w:div>
      </w:divsChild>
    </w:div>
    <w:div w:id="1809977121">
      <w:bodyDiv w:val="1"/>
      <w:marLeft w:val="0"/>
      <w:marRight w:val="0"/>
      <w:marTop w:val="0"/>
      <w:marBottom w:val="0"/>
      <w:divBdr>
        <w:top w:val="none" w:sz="0" w:space="0" w:color="auto"/>
        <w:left w:val="none" w:sz="0" w:space="0" w:color="auto"/>
        <w:bottom w:val="none" w:sz="0" w:space="0" w:color="auto"/>
        <w:right w:val="none" w:sz="0" w:space="0" w:color="auto"/>
      </w:divBdr>
    </w:div>
    <w:div w:id="1815221159">
      <w:bodyDiv w:val="1"/>
      <w:marLeft w:val="0"/>
      <w:marRight w:val="0"/>
      <w:marTop w:val="0"/>
      <w:marBottom w:val="0"/>
      <w:divBdr>
        <w:top w:val="none" w:sz="0" w:space="0" w:color="auto"/>
        <w:left w:val="none" w:sz="0" w:space="0" w:color="auto"/>
        <w:bottom w:val="none" w:sz="0" w:space="0" w:color="auto"/>
        <w:right w:val="none" w:sz="0" w:space="0" w:color="auto"/>
      </w:divBdr>
    </w:div>
    <w:div w:id="1823737205">
      <w:bodyDiv w:val="1"/>
      <w:marLeft w:val="0"/>
      <w:marRight w:val="0"/>
      <w:marTop w:val="0"/>
      <w:marBottom w:val="0"/>
      <w:divBdr>
        <w:top w:val="none" w:sz="0" w:space="0" w:color="auto"/>
        <w:left w:val="none" w:sz="0" w:space="0" w:color="auto"/>
        <w:bottom w:val="none" w:sz="0" w:space="0" w:color="auto"/>
        <w:right w:val="none" w:sz="0" w:space="0" w:color="auto"/>
      </w:divBdr>
    </w:div>
    <w:div w:id="1827739884">
      <w:bodyDiv w:val="1"/>
      <w:marLeft w:val="0"/>
      <w:marRight w:val="0"/>
      <w:marTop w:val="0"/>
      <w:marBottom w:val="0"/>
      <w:divBdr>
        <w:top w:val="none" w:sz="0" w:space="0" w:color="auto"/>
        <w:left w:val="none" w:sz="0" w:space="0" w:color="auto"/>
        <w:bottom w:val="none" w:sz="0" w:space="0" w:color="auto"/>
        <w:right w:val="none" w:sz="0" w:space="0" w:color="auto"/>
      </w:divBdr>
    </w:div>
    <w:div w:id="1843931037">
      <w:bodyDiv w:val="1"/>
      <w:marLeft w:val="0"/>
      <w:marRight w:val="0"/>
      <w:marTop w:val="0"/>
      <w:marBottom w:val="0"/>
      <w:divBdr>
        <w:top w:val="none" w:sz="0" w:space="0" w:color="auto"/>
        <w:left w:val="none" w:sz="0" w:space="0" w:color="auto"/>
        <w:bottom w:val="none" w:sz="0" w:space="0" w:color="auto"/>
        <w:right w:val="none" w:sz="0" w:space="0" w:color="auto"/>
      </w:divBdr>
      <w:divsChild>
        <w:div w:id="1064371130">
          <w:marLeft w:val="274"/>
          <w:marRight w:val="0"/>
          <w:marTop w:val="40"/>
          <w:marBottom w:val="40"/>
          <w:divBdr>
            <w:top w:val="none" w:sz="0" w:space="0" w:color="auto"/>
            <w:left w:val="none" w:sz="0" w:space="0" w:color="auto"/>
            <w:bottom w:val="none" w:sz="0" w:space="0" w:color="auto"/>
            <w:right w:val="none" w:sz="0" w:space="0" w:color="auto"/>
          </w:divBdr>
        </w:div>
        <w:div w:id="789124656">
          <w:marLeft w:val="274"/>
          <w:marRight w:val="0"/>
          <w:marTop w:val="40"/>
          <w:marBottom w:val="40"/>
          <w:divBdr>
            <w:top w:val="none" w:sz="0" w:space="0" w:color="auto"/>
            <w:left w:val="none" w:sz="0" w:space="0" w:color="auto"/>
            <w:bottom w:val="none" w:sz="0" w:space="0" w:color="auto"/>
            <w:right w:val="none" w:sz="0" w:space="0" w:color="auto"/>
          </w:divBdr>
        </w:div>
        <w:div w:id="1307274305">
          <w:marLeft w:val="274"/>
          <w:marRight w:val="0"/>
          <w:marTop w:val="40"/>
          <w:marBottom w:val="40"/>
          <w:divBdr>
            <w:top w:val="none" w:sz="0" w:space="0" w:color="auto"/>
            <w:left w:val="none" w:sz="0" w:space="0" w:color="auto"/>
            <w:bottom w:val="none" w:sz="0" w:space="0" w:color="auto"/>
            <w:right w:val="none" w:sz="0" w:space="0" w:color="auto"/>
          </w:divBdr>
        </w:div>
        <w:div w:id="619993081">
          <w:marLeft w:val="274"/>
          <w:marRight w:val="0"/>
          <w:marTop w:val="40"/>
          <w:marBottom w:val="40"/>
          <w:divBdr>
            <w:top w:val="none" w:sz="0" w:space="0" w:color="auto"/>
            <w:left w:val="none" w:sz="0" w:space="0" w:color="auto"/>
            <w:bottom w:val="none" w:sz="0" w:space="0" w:color="auto"/>
            <w:right w:val="none" w:sz="0" w:space="0" w:color="auto"/>
          </w:divBdr>
        </w:div>
        <w:div w:id="1639144276">
          <w:marLeft w:val="274"/>
          <w:marRight w:val="0"/>
          <w:marTop w:val="40"/>
          <w:marBottom w:val="40"/>
          <w:divBdr>
            <w:top w:val="none" w:sz="0" w:space="0" w:color="auto"/>
            <w:left w:val="none" w:sz="0" w:space="0" w:color="auto"/>
            <w:bottom w:val="none" w:sz="0" w:space="0" w:color="auto"/>
            <w:right w:val="none" w:sz="0" w:space="0" w:color="auto"/>
          </w:divBdr>
        </w:div>
        <w:div w:id="1549879649">
          <w:marLeft w:val="274"/>
          <w:marRight w:val="0"/>
          <w:marTop w:val="40"/>
          <w:marBottom w:val="40"/>
          <w:divBdr>
            <w:top w:val="none" w:sz="0" w:space="0" w:color="auto"/>
            <w:left w:val="none" w:sz="0" w:space="0" w:color="auto"/>
            <w:bottom w:val="none" w:sz="0" w:space="0" w:color="auto"/>
            <w:right w:val="none" w:sz="0" w:space="0" w:color="auto"/>
          </w:divBdr>
        </w:div>
        <w:div w:id="1875845413">
          <w:marLeft w:val="274"/>
          <w:marRight w:val="0"/>
          <w:marTop w:val="40"/>
          <w:marBottom w:val="40"/>
          <w:divBdr>
            <w:top w:val="none" w:sz="0" w:space="0" w:color="auto"/>
            <w:left w:val="none" w:sz="0" w:space="0" w:color="auto"/>
            <w:bottom w:val="none" w:sz="0" w:space="0" w:color="auto"/>
            <w:right w:val="none" w:sz="0" w:space="0" w:color="auto"/>
          </w:divBdr>
        </w:div>
        <w:div w:id="998535511">
          <w:marLeft w:val="274"/>
          <w:marRight w:val="0"/>
          <w:marTop w:val="40"/>
          <w:marBottom w:val="40"/>
          <w:divBdr>
            <w:top w:val="none" w:sz="0" w:space="0" w:color="auto"/>
            <w:left w:val="none" w:sz="0" w:space="0" w:color="auto"/>
            <w:bottom w:val="none" w:sz="0" w:space="0" w:color="auto"/>
            <w:right w:val="none" w:sz="0" w:space="0" w:color="auto"/>
          </w:divBdr>
        </w:div>
        <w:div w:id="655961164">
          <w:marLeft w:val="274"/>
          <w:marRight w:val="0"/>
          <w:marTop w:val="40"/>
          <w:marBottom w:val="40"/>
          <w:divBdr>
            <w:top w:val="none" w:sz="0" w:space="0" w:color="auto"/>
            <w:left w:val="none" w:sz="0" w:space="0" w:color="auto"/>
            <w:bottom w:val="none" w:sz="0" w:space="0" w:color="auto"/>
            <w:right w:val="none" w:sz="0" w:space="0" w:color="auto"/>
          </w:divBdr>
        </w:div>
      </w:divsChild>
    </w:div>
    <w:div w:id="1858810709">
      <w:bodyDiv w:val="1"/>
      <w:marLeft w:val="0"/>
      <w:marRight w:val="0"/>
      <w:marTop w:val="0"/>
      <w:marBottom w:val="0"/>
      <w:divBdr>
        <w:top w:val="none" w:sz="0" w:space="0" w:color="auto"/>
        <w:left w:val="none" w:sz="0" w:space="0" w:color="auto"/>
        <w:bottom w:val="none" w:sz="0" w:space="0" w:color="auto"/>
        <w:right w:val="none" w:sz="0" w:space="0" w:color="auto"/>
      </w:divBdr>
    </w:div>
    <w:div w:id="1872960256">
      <w:bodyDiv w:val="1"/>
      <w:marLeft w:val="0"/>
      <w:marRight w:val="0"/>
      <w:marTop w:val="0"/>
      <w:marBottom w:val="0"/>
      <w:divBdr>
        <w:top w:val="none" w:sz="0" w:space="0" w:color="auto"/>
        <w:left w:val="none" w:sz="0" w:space="0" w:color="auto"/>
        <w:bottom w:val="none" w:sz="0" w:space="0" w:color="auto"/>
        <w:right w:val="none" w:sz="0" w:space="0" w:color="auto"/>
      </w:divBdr>
    </w:div>
    <w:div w:id="1893079708">
      <w:bodyDiv w:val="1"/>
      <w:marLeft w:val="0"/>
      <w:marRight w:val="0"/>
      <w:marTop w:val="0"/>
      <w:marBottom w:val="0"/>
      <w:divBdr>
        <w:top w:val="none" w:sz="0" w:space="0" w:color="auto"/>
        <w:left w:val="none" w:sz="0" w:space="0" w:color="auto"/>
        <w:bottom w:val="none" w:sz="0" w:space="0" w:color="auto"/>
        <w:right w:val="none" w:sz="0" w:space="0" w:color="auto"/>
      </w:divBdr>
    </w:div>
    <w:div w:id="1917744856">
      <w:bodyDiv w:val="1"/>
      <w:marLeft w:val="0"/>
      <w:marRight w:val="0"/>
      <w:marTop w:val="0"/>
      <w:marBottom w:val="0"/>
      <w:divBdr>
        <w:top w:val="none" w:sz="0" w:space="0" w:color="auto"/>
        <w:left w:val="none" w:sz="0" w:space="0" w:color="auto"/>
        <w:bottom w:val="none" w:sz="0" w:space="0" w:color="auto"/>
        <w:right w:val="none" w:sz="0" w:space="0" w:color="auto"/>
      </w:divBdr>
      <w:divsChild>
        <w:div w:id="863590344">
          <w:marLeft w:val="144"/>
          <w:marRight w:val="0"/>
          <w:marTop w:val="40"/>
          <w:marBottom w:val="40"/>
          <w:divBdr>
            <w:top w:val="none" w:sz="0" w:space="0" w:color="auto"/>
            <w:left w:val="none" w:sz="0" w:space="0" w:color="auto"/>
            <w:bottom w:val="none" w:sz="0" w:space="0" w:color="auto"/>
            <w:right w:val="none" w:sz="0" w:space="0" w:color="auto"/>
          </w:divBdr>
        </w:div>
        <w:div w:id="1679039519">
          <w:marLeft w:val="144"/>
          <w:marRight w:val="0"/>
          <w:marTop w:val="40"/>
          <w:marBottom w:val="40"/>
          <w:divBdr>
            <w:top w:val="none" w:sz="0" w:space="0" w:color="auto"/>
            <w:left w:val="none" w:sz="0" w:space="0" w:color="auto"/>
            <w:bottom w:val="none" w:sz="0" w:space="0" w:color="auto"/>
            <w:right w:val="none" w:sz="0" w:space="0" w:color="auto"/>
          </w:divBdr>
        </w:div>
        <w:div w:id="440341062">
          <w:marLeft w:val="144"/>
          <w:marRight w:val="0"/>
          <w:marTop w:val="40"/>
          <w:marBottom w:val="40"/>
          <w:divBdr>
            <w:top w:val="none" w:sz="0" w:space="0" w:color="auto"/>
            <w:left w:val="none" w:sz="0" w:space="0" w:color="auto"/>
            <w:bottom w:val="none" w:sz="0" w:space="0" w:color="auto"/>
            <w:right w:val="none" w:sz="0" w:space="0" w:color="auto"/>
          </w:divBdr>
        </w:div>
        <w:div w:id="253443668">
          <w:marLeft w:val="144"/>
          <w:marRight w:val="0"/>
          <w:marTop w:val="40"/>
          <w:marBottom w:val="40"/>
          <w:divBdr>
            <w:top w:val="none" w:sz="0" w:space="0" w:color="auto"/>
            <w:left w:val="none" w:sz="0" w:space="0" w:color="auto"/>
            <w:bottom w:val="none" w:sz="0" w:space="0" w:color="auto"/>
            <w:right w:val="none" w:sz="0" w:space="0" w:color="auto"/>
          </w:divBdr>
        </w:div>
        <w:div w:id="715785834">
          <w:marLeft w:val="144"/>
          <w:marRight w:val="0"/>
          <w:marTop w:val="40"/>
          <w:marBottom w:val="40"/>
          <w:divBdr>
            <w:top w:val="none" w:sz="0" w:space="0" w:color="auto"/>
            <w:left w:val="none" w:sz="0" w:space="0" w:color="auto"/>
            <w:bottom w:val="none" w:sz="0" w:space="0" w:color="auto"/>
            <w:right w:val="none" w:sz="0" w:space="0" w:color="auto"/>
          </w:divBdr>
        </w:div>
        <w:div w:id="482738269">
          <w:marLeft w:val="144"/>
          <w:marRight w:val="0"/>
          <w:marTop w:val="40"/>
          <w:marBottom w:val="40"/>
          <w:divBdr>
            <w:top w:val="none" w:sz="0" w:space="0" w:color="auto"/>
            <w:left w:val="none" w:sz="0" w:space="0" w:color="auto"/>
            <w:bottom w:val="none" w:sz="0" w:space="0" w:color="auto"/>
            <w:right w:val="none" w:sz="0" w:space="0" w:color="auto"/>
          </w:divBdr>
        </w:div>
      </w:divsChild>
    </w:div>
    <w:div w:id="1923290593">
      <w:bodyDiv w:val="1"/>
      <w:marLeft w:val="0"/>
      <w:marRight w:val="0"/>
      <w:marTop w:val="0"/>
      <w:marBottom w:val="0"/>
      <w:divBdr>
        <w:top w:val="none" w:sz="0" w:space="0" w:color="auto"/>
        <w:left w:val="none" w:sz="0" w:space="0" w:color="auto"/>
        <w:bottom w:val="none" w:sz="0" w:space="0" w:color="auto"/>
        <w:right w:val="none" w:sz="0" w:space="0" w:color="auto"/>
      </w:divBdr>
    </w:div>
    <w:div w:id="1925845230">
      <w:bodyDiv w:val="1"/>
      <w:marLeft w:val="0"/>
      <w:marRight w:val="0"/>
      <w:marTop w:val="0"/>
      <w:marBottom w:val="0"/>
      <w:divBdr>
        <w:top w:val="none" w:sz="0" w:space="0" w:color="auto"/>
        <w:left w:val="none" w:sz="0" w:space="0" w:color="auto"/>
        <w:bottom w:val="none" w:sz="0" w:space="0" w:color="auto"/>
        <w:right w:val="none" w:sz="0" w:space="0" w:color="auto"/>
      </w:divBdr>
      <w:divsChild>
        <w:div w:id="1625113399">
          <w:marLeft w:val="317"/>
          <w:marRight w:val="0"/>
          <w:marTop w:val="75"/>
          <w:marBottom w:val="30"/>
          <w:divBdr>
            <w:top w:val="none" w:sz="0" w:space="0" w:color="auto"/>
            <w:left w:val="none" w:sz="0" w:space="0" w:color="auto"/>
            <w:bottom w:val="none" w:sz="0" w:space="0" w:color="auto"/>
            <w:right w:val="none" w:sz="0" w:space="0" w:color="auto"/>
          </w:divBdr>
        </w:div>
        <w:div w:id="1202476023">
          <w:marLeft w:val="317"/>
          <w:marRight w:val="0"/>
          <w:marTop w:val="75"/>
          <w:marBottom w:val="30"/>
          <w:divBdr>
            <w:top w:val="none" w:sz="0" w:space="0" w:color="auto"/>
            <w:left w:val="none" w:sz="0" w:space="0" w:color="auto"/>
            <w:bottom w:val="none" w:sz="0" w:space="0" w:color="auto"/>
            <w:right w:val="none" w:sz="0" w:space="0" w:color="auto"/>
          </w:divBdr>
        </w:div>
        <w:div w:id="1285962776">
          <w:marLeft w:val="317"/>
          <w:marRight w:val="0"/>
          <w:marTop w:val="75"/>
          <w:marBottom w:val="30"/>
          <w:divBdr>
            <w:top w:val="none" w:sz="0" w:space="0" w:color="auto"/>
            <w:left w:val="none" w:sz="0" w:space="0" w:color="auto"/>
            <w:bottom w:val="none" w:sz="0" w:space="0" w:color="auto"/>
            <w:right w:val="none" w:sz="0" w:space="0" w:color="auto"/>
          </w:divBdr>
        </w:div>
        <w:div w:id="336033535">
          <w:marLeft w:val="1267"/>
          <w:marRight w:val="0"/>
          <w:marTop w:val="75"/>
          <w:marBottom w:val="30"/>
          <w:divBdr>
            <w:top w:val="none" w:sz="0" w:space="0" w:color="auto"/>
            <w:left w:val="none" w:sz="0" w:space="0" w:color="auto"/>
            <w:bottom w:val="none" w:sz="0" w:space="0" w:color="auto"/>
            <w:right w:val="none" w:sz="0" w:space="0" w:color="auto"/>
          </w:divBdr>
        </w:div>
        <w:div w:id="1581480228">
          <w:marLeft w:val="1267"/>
          <w:marRight w:val="0"/>
          <w:marTop w:val="75"/>
          <w:marBottom w:val="30"/>
          <w:divBdr>
            <w:top w:val="none" w:sz="0" w:space="0" w:color="auto"/>
            <w:left w:val="none" w:sz="0" w:space="0" w:color="auto"/>
            <w:bottom w:val="none" w:sz="0" w:space="0" w:color="auto"/>
            <w:right w:val="none" w:sz="0" w:space="0" w:color="auto"/>
          </w:divBdr>
        </w:div>
        <w:div w:id="694768006">
          <w:marLeft w:val="1267"/>
          <w:marRight w:val="0"/>
          <w:marTop w:val="75"/>
          <w:marBottom w:val="30"/>
          <w:divBdr>
            <w:top w:val="none" w:sz="0" w:space="0" w:color="auto"/>
            <w:left w:val="none" w:sz="0" w:space="0" w:color="auto"/>
            <w:bottom w:val="none" w:sz="0" w:space="0" w:color="auto"/>
            <w:right w:val="none" w:sz="0" w:space="0" w:color="auto"/>
          </w:divBdr>
        </w:div>
        <w:div w:id="1684016242">
          <w:marLeft w:val="1267"/>
          <w:marRight w:val="0"/>
          <w:marTop w:val="75"/>
          <w:marBottom w:val="30"/>
          <w:divBdr>
            <w:top w:val="none" w:sz="0" w:space="0" w:color="auto"/>
            <w:left w:val="none" w:sz="0" w:space="0" w:color="auto"/>
            <w:bottom w:val="none" w:sz="0" w:space="0" w:color="auto"/>
            <w:right w:val="none" w:sz="0" w:space="0" w:color="auto"/>
          </w:divBdr>
        </w:div>
        <w:div w:id="236940837">
          <w:marLeft w:val="1267"/>
          <w:marRight w:val="0"/>
          <w:marTop w:val="75"/>
          <w:marBottom w:val="30"/>
          <w:divBdr>
            <w:top w:val="none" w:sz="0" w:space="0" w:color="auto"/>
            <w:left w:val="none" w:sz="0" w:space="0" w:color="auto"/>
            <w:bottom w:val="none" w:sz="0" w:space="0" w:color="auto"/>
            <w:right w:val="none" w:sz="0" w:space="0" w:color="auto"/>
          </w:divBdr>
        </w:div>
        <w:div w:id="2085251573">
          <w:marLeft w:val="317"/>
          <w:marRight w:val="0"/>
          <w:marTop w:val="75"/>
          <w:marBottom w:val="30"/>
          <w:divBdr>
            <w:top w:val="none" w:sz="0" w:space="0" w:color="auto"/>
            <w:left w:val="none" w:sz="0" w:space="0" w:color="auto"/>
            <w:bottom w:val="none" w:sz="0" w:space="0" w:color="auto"/>
            <w:right w:val="none" w:sz="0" w:space="0" w:color="auto"/>
          </w:divBdr>
        </w:div>
      </w:divsChild>
    </w:div>
    <w:div w:id="1938362690">
      <w:bodyDiv w:val="1"/>
      <w:marLeft w:val="0"/>
      <w:marRight w:val="0"/>
      <w:marTop w:val="0"/>
      <w:marBottom w:val="0"/>
      <w:divBdr>
        <w:top w:val="none" w:sz="0" w:space="0" w:color="auto"/>
        <w:left w:val="none" w:sz="0" w:space="0" w:color="auto"/>
        <w:bottom w:val="none" w:sz="0" w:space="0" w:color="auto"/>
        <w:right w:val="none" w:sz="0" w:space="0" w:color="auto"/>
      </w:divBdr>
    </w:div>
    <w:div w:id="1943293287">
      <w:bodyDiv w:val="1"/>
      <w:marLeft w:val="0"/>
      <w:marRight w:val="0"/>
      <w:marTop w:val="0"/>
      <w:marBottom w:val="0"/>
      <w:divBdr>
        <w:top w:val="none" w:sz="0" w:space="0" w:color="auto"/>
        <w:left w:val="none" w:sz="0" w:space="0" w:color="auto"/>
        <w:bottom w:val="none" w:sz="0" w:space="0" w:color="auto"/>
        <w:right w:val="none" w:sz="0" w:space="0" w:color="auto"/>
      </w:divBdr>
    </w:div>
    <w:div w:id="1952206204">
      <w:bodyDiv w:val="1"/>
      <w:marLeft w:val="0"/>
      <w:marRight w:val="0"/>
      <w:marTop w:val="0"/>
      <w:marBottom w:val="0"/>
      <w:divBdr>
        <w:top w:val="none" w:sz="0" w:space="0" w:color="auto"/>
        <w:left w:val="none" w:sz="0" w:space="0" w:color="auto"/>
        <w:bottom w:val="none" w:sz="0" w:space="0" w:color="auto"/>
        <w:right w:val="none" w:sz="0" w:space="0" w:color="auto"/>
      </w:divBdr>
    </w:div>
    <w:div w:id="1965496630">
      <w:bodyDiv w:val="1"/>
      <w:marLeft w:val="0"/>
      <w:marRight w:val="0"/>
      <w:marTop w:val="0"/>
      <w:marBottom w:val="0"/>
      <w:divBdr>
        <w:top w:val="none" w:sz="0" w:space="0" w:color="auto"/>
        <w:left w:val="none" w:sz="0" w:space="0" w:color="auto"/>
        <w:bottom w:val="none" w:sz="0" w:space="0" w:color="auto"/>
        <w:right w:val="none" w:sz="0" w:space="0" w:color="auto"/>
      </w:divBdr>
      <w:divsChild>
        <w:div w:id="816922818">
          <w:marLeft w:val="317"/>
          <w:marRight w:val="0"/>
          <w:marTop w:val="75"/>
          <w:marBottom w:val="30"/>
          <w:divBdr>
            <w:top w:val="none" w:sz="0" w:space="0" w:color="auto"/>
            <w:left w:val="none" w:sz="0" w:space="0" w:color="auto"/>
            <w:bottom w:val="none" w:sz="0" w:space="0" w:color="auto"/>
            <w:right w:val="none" w:sz="0" w:space="0" w:color="auto"/>
          </w:divBdr>
        </w:div>
        <w:div w:id="2082554290">
          <w:marLeft w:val="317"/>
          <w:marRight w:val="0"/>
          <w:marTop w:val="75"/>
          <w:marBottom w:val="30"/>
          <w:divBdr>
            <w:top w:val="none" w:sz="0" w:space="0" w:color="auto"/>
            <w:left w:val="none" w:sz="0" w:space="0" w:color="auto"/>
            <w:bottom w:val="none" w:sz="0" w:space="0" w:color="auto"/>
            <w:right w:val="none" w:sz="0" w:space="0" w:color="auto"/>
          </w:divBdr>
        </w:div>
      </w:divsChild>
    </w:div>
    <w:div w:id="1990016265">
      <w:bodyDiv w:val="1"/>
      <w:marLeft w:val="0"/>
      <w:marRight w:val="0"/>
      <w:marTop w:val="0"/>
      <w:marBottom w:val="0"/>
      <w:divBdr>
        <w:top w:val="none" w:sz="0" w:space="0" w:color="auto"/>
        <w:left w:val="none" w:sz="0" w:space="0" w:color="auto"/>
        <w:bottom w:val="none" w:sz="0" w:space="0" w:color="auto"/>
        <w:right w:val="none" w:sz="0" w:space="0" w:color="auto"/>
      </w:divBdr>
      <w:divsChild>
        <w:div w:id="309139690">
          <w:marLeft w:val="418"/>
          <w:marRight w:val="0"/>
          <w:marTop w:val="100"/>
          <w:marBottom w:val="40"/>
          <w:divBdr>
            <w:top w:val="none" w:sz="0" w:space="0" w:color="auto"/>
            <w:left w:val="none" w:sz="0" w:space="0" w:color="auto"/>
            <w:bottom w:val="none" w:sz="0" w:space="0" w:color="auto"/>
            <w:right w:val="none" w:sz="0" w:space="0" w:color="auto"/>
          </w:divBdr>
        </w:div>
        <w:div w:id="286130289">
          <w:marLeft w:val="418"/>
          <w:marRight w:val="0"/>
          <w:marTop w:val="100"/>
          <w:marBottom w:val="40"/>
          <w:divBdr>
            <w:top w:val="none" w:sz="0" w:space="0" w:color="auto"/>
            <w:left w:val="none" w:sz="0" w:space="0" w:color="auto"/>
            <w:bottom w:val="none" w:sz="0" w:space="0" w:color="auto"/>
            <w:right w:val="none" w:sz="0" w:space="0" w:color="auto"/>
          </w:divBdr>
        </w:div>
        <w:div w:id="1388601285">
          <w:marLeft w:val="418"/>
          <w:marRight w:val="0"/>
          <w:marTop w:val="100"/>
          <w:marBottom w:val="40"/>
          <w:divBdr>
            <w:top w:val="none" w:sz="0" w:space="0" w:color="auto"/>
            <w:left w:val="none" w:sz="0" w:space="0" w:color="auto"/>
            <w:bottom w:val="none" w:sz="0" w:space="0" w:color="auto"/>
            <w:right w:val="none" w:sz="0" w:space="0" w:color="auto"/>
          </w:divBdr>
        </w:div>
        <w:div w:id="821240549">
          <w:marLeft w:val="418"/>
          <w:marRight w:val="0"/>
          <w:marTop w:val="100"/>
          <w:marBottom w:val="40"/>
          <w:divBdr>
            <w:top w:val="none" w:sz="0" w:space="0" w:color="auto"/>
            <w:left w:val="none" w:sz="0" w:space="0" w:color="auto"/>
            <w:bottom w:val="none" w:sz="0" w:space="0" w:color="auto"/>
            <w:right w:val="none" w:sz="0" w:space="0" w:color="auto"/>
          </w:divBdr>
        </w:div>
        <w:div w:id="1615405617">
          <w:marLeft w:val="418"/>
          <w:marRight w:val="0"/>
          <w:marTop w:val="100"/>
          <w:marBottom w:val="40"/>
          <w:divBdr>
            <w:top w:val="none" w:sz="0" w:space="0" w:color="auto"/>
            <w:left w:val="none" w:sz="0" w:space="0" w:color="auto"/>
            <w:bottom w:val="none" w:sz="0" w:space="0" w:color="auto"/>
            <w:right w:val="none" w:sz="0" w:space="0" w:color="auto"/>
          </w:divBdr>
        </w:div>
        <w:div w:id="1461147090">
          <w:marLeft w:val="418"/>
          <w:marRight w:val="0"/>
          <w:marTop w:val="100"/>
          <w:marBottom w:val="40"/>
          <w:divBdr>
            <w:top w:val="none" w:sz="0" w:space="0" w:color="auto"/>
            <w:left w:val="none" w:sz="0" w:space="0" w:color="auto"/>
            <w:bottom w:val="none" w:sz="0" w:space="0" w:color="auto"/>
            <w:right w:val="none" w:sz="0" w:space="0" w:color="auto"/>
          </w:divBdr>
        </w:div>
      </w:divsChild>
    </w:div>
    <w:div w:id="1994409943">
      <w:bodyDiv w:val="1"/>
      <w:marLeft w:val="0"/>
      <w:marRight w:val="0"/>
      <w:marTop w:val="0"/>
      <w:marBottom w:val="0"/>
      <w:divBdr>
        <w:top w:val="none" w:sz="0" w:space="0" w:color="auto"/>
        <w:left w:val="none" w:sz="0" w:space="0" w:color="auto"/>
        <w:bottom w:val="none" w:sz="0" w:space="0" w:color="auto"/>
        <w:right w:val="none" w:sz="0" w:space="0" w:color="auto"/>
      </w:divBdr>
    </w:div>
    <w:div w:id="2001928518">
      <w:bodyDiv w:val="1"/>
      <w:marLeft w:val="0"/>
      <w:marRight w:val="0"/>
      <w:marTop w:val="0"/>
      <w:marBottom w:val="0"/>
      <w:divBdr>
        <w:top w:val="none" w:sz="0" w:space="0" w:color="auto"/>
        <w:left w:val="none" w:sz="0" w:space="0" w:color="auto"/>
        <w:bottom w:val="none" w:sz="0" w:space="0" w:color="auto"/>
        <w:right w:val="none" w:sz="0" w:space="0" w:color="auto"/>
      </w:divBdr>
    </w:div>
    <w:div w:id="2022508570">
      <w:bodyDiv w:val="1"/>
      <w:marLeft w:val="0"/>
      <w:marRight w:val="0"/>
      <w:marTop w:val="0"/>
      <w:marBottom w:val="0"/>
      <w:divBdr>
        <w:top w:val="none" w:sz="0" w:space="0" w:color="auto"/>
        <w:left w:val="none" w:sz="0" w:space="0" w:color="auto"/>
        <w:bottom w:val="none" w:sz="0" w:space="0" w:color="auto"/>
        <w:right w:val="none" w:sz="0" w:space="0" w:color="auto"/>
      </w:divBdr>
      <w:divsChild>
        <w:div w:id="1434664265">
          <w:marLeft w:val="130"/>
          <w:marRight w:val="0"/>
          <w:marTop w:val="40"/>
          <w:marBottom w:val="40"/>
          <w:divBdr>
            <w:top w:val="none" w:sz="0" w:space="0" w:color="auto"/>
            <w:left w:val="none" w:sz="0" w:space="0" w:color="auto"/>
            <w:bottom w:val="none" w:sz="0" w:space="0" w:color="auto"/>
            <w:right w:val="none" w:sz="0" w:space="0" w:color="auto"/>
          </w:divBdr>
        </w:div>
        <w:div w:id="797063583">
          <w:marLeft w:val="130"/>
          <w:marRight w:val="0"/>
          <w:marTop w:val="40"/>
          <w:marBottom w:val="40"/>
          <w:divBdr>
            <w:top w:val="none" w:sz="0" w:space="0" w:color="auto"/>
            <w:left w:val="none" w:sz="0" w:space="0" w:color="auto"/>
            <w:bottom w:val="none" w:sz="0" w:space="0" w:color="auto"/>
            <w:right w:val="none" w:sz="0" w:space="0" w:color="auto"/>
          </w:divBdr>
        </w:div>
        <w:div w:id="858010200">
          <w:marLeft w:val="130"/>
          <w:marRight w:val="0"/>
          <w:marTop w:val="40"/>
          <w:marBottom w:val="40"/>
          <w:divBdr>
            <w:top w:val="none" w:sz="0" w:space="0" w:color="auto"/>
            <w:left w:val="none" w:sz="0" w:space="0" w:color="auto"/>
            <w:bottom w:val="none" w:sz="0" w:space="0" w:color="auto"/>
            <w:right w:val="none" w:sz="0" w:space="0" w:color="auto"/>
          </w:divBdr>
        </w:div>
        <w:div w:id="325136618">
          <w:marLeft w:val="130"/>
          <w:marRight w:val="0"/>
          <w:marTop w:val="40"/>
          <w:marBottom w:val="40"/>
          <w:divBdr>
            <w:top w:val="none" w:sz="0" w:space="0" w:color="auto"/>
            <w:left w:val="none" w:sz="0" w:space="0" w:color="auto"/>
            <w:bottom w:val="none" w:sz="0" w:space="0" w:color="auto"/>
            <w:right w:val="none" w:sz="0" w:space="0" w:color="auto"/>
          </w:divBdr>
        </w:div>
        <w:div w:id="480853615">
          <w:marLeft w:val="130"/>
          <w:marRight w:val="0"/>
          <w:marTop w:val="40"/>
          <w:marBottom w:val="40"/>
          <w:divBdr>
            <w:top w:val="none" w:sz="0" w:space="0" w:color="auto"/>
            <w:left w:val="none" w:sz="0" w:space="0" w:color="auto"/>
            <w:bottom w:val="none" w:sz="0" w:space="0" w:color="auto"/>
            <w:right w:val="none" w:sz="0" w:space="0" w:color="auto"/>
          </w:divBdr>
        </w:div>
        <w:div w:id="1710110064">
          <w:marLeft w:val="130"/>
          <w:marRight w:val="0"/>
          <w:marTop w:val="40"/>
          <w:marBottom w:val="40"/>
          <w:divBdr>
            <w:top w:val="none" w:sz="0" w:space="0" w:color="auto"/>
            <w:left w:val="none" w:sz="0" w:space="0" w:color="auto"/>
            <w:bottom w:val="none" w:sz="0" w:space="0" w:color="auto"/>
            <w:right w:val="none" w:sz="0" w:space="0" w:color="auto"/>
          </w:divBdr>
        </w:div>
        <w:div w:id="586227414">
          <w:marLeft w:val="130"/>
          <w:marRight w:val="0"/>
          <w:marTop w:val="40"/>
          <w:marBottom w:val="40"/>
          <w:divBdr>
            <w:top w:val="none" w:sz="0" w:space="0" w:color="auto"/>
            <w:left w:val="none" w:sz="0" w:space="0" w:color="auto"/>
            <w:bottom w:val="none" w:sz="0" w:space="0" w:color="auto"/>
            <w:right w:val="none" w:sz="0" w:space="0" w:color="auto"/>
          </w:divBdr>
        </w:div>
      </w:divsChild>
    </w:div>
    <w:div w:id="2024476026">
      <w:bodyDiv w:val="1"/>
      <w:marLeft w:val="0"/>
      <w:marRight w:val="0"/>
      <w:marTop w:val="0"/>
      <w:marBottom w:val="0"/>
      <w:divBdr>
        <w:top w:val="none" w:sz="0" w:space="0" w:color="auto"/>
        <w:left w:val="none" w:sz="0" w:space="0" w:color="auto"/>
        <w:bottom w:val="none" w:sz="0" w:space="0" w:color="auto"/>
        <w:right w:val="none" w:sz="0" w:space="0" w:color="auto"/>
      </w:divBdr>
    </w:div>
    <w:div w:id="2025013769">
      <w:bodyDiv w:val="1"/>
      <w:marLeft w:val="0"/>
      <w:marRight w:val="0"/>
      <w:marTop w:val="0"/>
      <w:marBottom w:val="0"/>
      <w:divBdr>
        <w:top w:val="none" w:sz="0" w:space="0" w:color="auto"/>
        <w:left w:val="none" w:sz="0" w:space="0" w:color="auto"/>
        <w:bottom w:val="none" w:sz="0" w:space="0" w:color="auto"/>
        <w:right w:val="none" w:sz="0" w:space="0" w:color="auto"/>
      </w:divBdr>
      <w:divsChild>
        <w:div w:id="1334142049">
          <w:marLeft w:val="720"/>
          <w:marRight w:val="216"/>
          <w:marTop w:val="320"/>
          <w:marBottom w:val="0"/>
          <w:divBdr>
            <w:top w:val="none" w:sz="0" w:space="0" w:color="auto"/>
            <w:left w:val="none" w:sz="0" w:space="0" w:color="auto"/>
            <w:bottom w:val="none" w:sz="0" w:space="0" w:color="auto"/>
            <w:right w:val="none" w:sz="0" w:space="0" w:color="auto"/>
          </w:divBdr>
        </w:div>
        <w:div w:id="1591155697">
          <w:marLeft w:val="720"/>
          <w:marRight w:val="216"/>
          <w:marTop w:val="0"/>
          <w:marBottom w:val="0"/>
          <w:divBdr>
            <w:top w:val="none" w:sz="0" w:space="0" w:color="auto"/>
            <w:left w:val="none" w:sz="0" w:space="0" w:color="auto"/>
            <w:bottom w:val="none" w:sz="0" w:space="0" w:color="auto"/>
            <w:right w:val="none" w:sz="0" w:space="0" w:color="auto"/>
          </w:divBdr>
        </w:div>
        <w:div w:id="92675364">
          <w:marLeft w:val="720"/>
          <w:marRight w:val="0"/>
          <w:marTop w:val="0"/>
          <w:marBottom w:val="0"/>
          <w:divBdr>
            <w:top w:val="none" w:sz="0" w:space="0" w:color="auto"/>
            <w:left w:val="none" w:sz="0" w:space="0" w:color="auto"/>
            <w:bottom w:val="none" w:sz="0" w:space="0" w:color="auto"/>
            <w:right w:val="none" w:sz="0" w:space="0" w:color="auto"/>
          </w:divBdr>
        </w:div>
      </w:divsChild>
    </w:div>
    <w:div w:id="2028023946">
      <w:bodyDiv w:val="1"/>
      <w:marLeft w:val="0"/>
      <w:marRight w:val="0"/>
      <w:marTop w:val="0"/>
      <w:marBottom w:val="0"/>
      <w:divBdr>
        <w:top w:val="none" w:sz="0" w:space="0" w:color="auto"/>
        <w:left w:val="none" w:sz="0" w:space="0" w:color="auto"/>
        <w:bottom w:val="none" w:sz="0" w:space="0" w:color="auto"/>
        <w:right w:val="none" w:sz="0" w:space="0" w:color="auto"/>
      </w:divBdr>
    </w:div>
    <w:div w:id="2038697345">
      <w:bodyDiv w:val="1"/>
      <w:marLeft w:val="0"/>
      <w:marRight w:val="0"/>
      <w:marTop w:val="0"/>
      <w:marBottom w:val="0"/>
      <w:divBdr>
        <w:top w:val="none" w:sz="0" w:space="0" w:color="auto"/>
        <w:left w:val="none" w:sz="0" w:space="0" w:color="auto"/>
        <w:bottom w:val="none" w:sz="0" w:space="0" w:color="auto"/>
        <w:right w:val="none" w:sz="0" w:space="0" w:color="auto"/>
      </w:divBdr>
    </w:div>
    <w:div w:id="2041280199">
      <w:bodyDiv w:val="1"/>
      <w:marLeft w:val="0"/>
      <w:marRight w:val="0"/>
      <w:marTop w:val="0"/>
      <w:marBottom w:val="0"/>
      <w:divBdr>
        <w:top w:val="none" w:sz="0" w:space="0" w:color="auto"/>
        <w:left w:val="none" w:sz="0" w:space="0" w:color="auto"/>
        <w:bottom w:val="none" w:sz="0" w:space="0" w:color="auto"/>
        <w:right w:val="none" w:sz="0" w:space="0" w:color="auto"/>
      </w:divBdr>
      <w:divsChild>
        <w:div w:id="693730044">
          <w:marLeft w:val="274"/>
          <w:marRight w:val="0"/>
          <w:marTop w:val="0"/>
          <w:marBottom w:val="0"/>
          <w:divBdr>
            <w:top w:val="none" w:sz="0" w:space="0" w:color="auto"/>
            <w:left w:val="none" w:sz="0" w:space="0" w:color="auto"/>
            <w:bottom w:val="none" w:sz="0" w:space="0" w:color="auto"/>
            <w:right w:val="none" w:sz="0" w:space="0" w:color="auto"/>
          </w:divBdr>
        </w:div>
        <w:div w:id="1835298238">
          <w:marLeft w:val="274"/>
          <w:marRight w:val="0"/>
          <w:marTop w:val="0"/>
          <w:marBottom w:val="0"/>
          <w:divBdr>
            <w:top w:val="none" w:sz="0" w:space="0" w:color="auto"/>
            <w:left w:val="none" w:sz="0" w:space="0" w:color="auto"/>
            <w:bottom w:val="none" w:sz="0" w:space="0" w:color="auto"/>
            <w:right w:val="none" w:sz="0" w:space="0" w:color="auto"/>
          </w:divBdr>
        </w:div>
        <w:div w:id="1816407248">
          <w:marLeft w:val="274"/>
          <w:marRight w:val="0"/>
          <w:marTop w:val="0"/>
          <w:marBottom w:val="0"/>
          <w:divBdr>
            <w:top w:val="none" w:sz="0" w:space="0" w:color="auto"/>
            <w:left w:val="none" w:sz="0" w:space="0" w:color="auto"/>
            <w:bottom w:val="none" w:sz="0" w:space="0" w:color="auto"/>
            <w:right w:val="none" w:sz="0" w:space="0" w:color="auto"/>
          </w:divBdr>
        </w:div>
        <w:div w:id="970088030">
          <w:marLeft w:val="274"/>
          <w:marRight w:val="0"/>
          <w:marTop w:val="0"/>
          <w:marBottom w:val="0"/>
          <w:divBdr>
            <w:top w:val="none" w:sz="0" w:space="0" w:color="auto"/>
            <w:left w:val="none" w:sz="0" w:space="0" w:color="auto"/>
            <w:bottom w:val="none" w:sz="0" w:space="0" w:color="auto"/>
            <w:right w:val="none" w:sz="0" w:space="0" w:color="auto"/>
          </w:divBdr>
        </w:div>
        <w:div w:id="604268228">
          <w:marLeft w:val="274"/>
          <w:marRight w:val="0"/>
          <w:marTop w:val="0"/>
          <w:marBottom w:val="0"/>
          <w:divBdr>
            <w:top w:val="none" w:sz="0" w:space="0" w:color="auto"/>
            <w:left w:val="none" w:sz="0" w:space="0" w:color="auto"/>
            <w:bottom w:val="none" w:sz="0" w:space="0" w:color="auto"/>
            <w:right w:val="none" w:sz="0" w:space="0" w:color="auto"/>
          </w:divBdr>
        </w:div>
        <w:div w:id="1723482853">
          <w:marLeft w:val="274"/>
          <w:marRight w:val="0"/>
          <w:marTop w:val="0"/>
          <w:marBottom w:val="0"/>
          <w:divBdr>
            <w:top w:val="none" w:sz="0" w:space="0" w:color="auto"/>
            <w:left w:val="none" w:sz="0" w:space="0" w:color="auto"/>
            <w:bottom w:val="none" w:sz="0" w:space="0" w:color="auto"/>
            <w:right w:val="none" w:sz="0" w:space="0" w:color="auto"/>
          </w:divBdr>
        </w:div>
      </w:divsChild>
    </w:div>
    <w:div w:id="2069497405">
      <w:bodyDiv w:val="1"/>
      <w:marLeft w:val="0"/>
      <w:marRight w:val="0"/>
      <w:marTop w:val="0"/>
      <w:marBottom w:val="0"/>
      <w:divBdr>
        <w:top w:val="none" w:sz="0" w:space="0" w:color="auto"/>
        <w:left w:val="none" w:sz="0" w:space="0" w:color="auto"/>
        <w:bottom w:val="none" w:sz="0" w:space="0" w:color="auto"/>
        <w:right w:val="none" w:sz="0" w:space="0" w:color="auto"/>
      </w:divBdr>
    </w:div>
    <w:div w:id="2079941199">
      <w:bodyDiv w:val="1"/>
      <w:marLeft w:val="0"/>
      <w:marRight w:val="0"/>
      <w:marTop w:val="0"/>
      <w:marBottom w:val="0"/>
      <w:divBdr>
        <w:top w:val="none" w:sz="0" w:space="0" w:color="auto"/>
        <w:left w:val="none" w:sz="0" w:space="0" w:color="auto"/>
        <w:bottom w:val="none" w:sz="0" w:space="0" w:color="auto"/>
        <w:right w:val="none" w:sz="0" w:space="0" w:color="auto"/>
      </w:divBdr>
    </w:div>
    <w:div w:id="2095666887">
      <w:bodyDiv w:val="1"/>
      <w:marLeft w:val="0"/>
      <w:marRight w:val="0"/>
      <w:marTop w:val="0"/>
      <w:marBottom w:val="0"/>
      <w:divBdr>
        <w:top w:val="none" w:sz="0" w:space="0" w:color="auto"/>
        <w:left w:val="none" w:sz="0" w:space="0" w:color="auto"/>
        <w:bottom w:val="none" w:sz="0" w:space="0" w:color="auto"/>
        <w:right w:val="none" w:sz="0" w:space="0" w:color="auto"/>
      </w:divBdr>
    </w:div>
    <w:div w:id="2111192395">
      <w:bodyDiv w:val="1"/>
      <w:marLeft w:val="0"/>
      <w:marRight w:val="0"/>
      <w:marTop w:val="0"/>
      <w:marBottom w:val="0"/>
      <w:divBdr>
        <w:top w:val="none" w:sz="0" w:space="0" w:color="auto"/>
        <w:left w:val="none" w:sz="0" w:space="0" w:color="auto"/>
        <w:bottom w:val="none" w:sz="0" w:space="0" w:color="auto"/>
        <w:right w:val="none" w:sz="0" w:space="0" w:color="auto"/>
      </w:divBdr>
    </w:div>
    <w:div w:id="2111197869">
      <w:bodyDiv w:val="1"/>
      <w:marLeft w:val="0"/>
      <w:marRight w:val="0"/>
      <w:marTop w:val="0"/>
      <w:marBottom w:val="0"/>
      <w:divBdr>
        <w:top w:val="none" w:sz="0" w:space="0" w:color="auto"/>
        <w:left w:val="none" w:sz="0" w:space="0" w:color="auto"/>
        <w:bottom w:val="none" w:sz="0" w:space="0" w:color="auto"/>
        <w:right w:val="none" w:sz="0" w:space="0" w:color="auto"/>
      </w:divBdr>
      <w:divsChild>
        <w:div w:id="2019110791">
          <w:marLeft w:val="274"/>
          <w:marRight w:val="0"/>
          <w:marTop w:val="120"/>
          <w:marBottom w:val="0"/>
          <w:divBdr>
            <w:top w:val="none" w:sz="0" w:space="0" w:color="auto"/>
            <w:left w:val="none" w:sz="0" w:space="0" w:color="auto"/>
            <w:bottom w:val="none" w:sz="0" w:space="0" w:color="auto"/>
            <w:right w:val="none" w:sz="0" w:space="0" w:color="auto"/>
          </w:divBdr>
        </w:div>
        <w:div w:id="459961640">
          <w:marLeft w:val="274"/>
          <w:marRight w:val="0"/>
          <w:marTop w:val="120"/>
          <w:marBottom w:val="0"/>
          <w:divBdr>
            <w:top w:val="none" w:sz="0" w:space="0" w:color="auto"/>
            <w:left w:val="none" w:sz="0" w:space="0" w:color="auto"/>
            <w:bottom w:val="none" w:sz="0" w:space="0" w:color="auto"/>
            <w:right w:val="none" w:sz="0" w:space="0" w:color="auto"/>
          </w:divBdr>
        </w:div>
        <w:div w:id="2089498875">
          <w:marLeft w:val="274"/>
          <w:marRight w:val="0"/>
          <w:marTop w:val="120"/>
          <w:marBottom w:val="0"/>
          <w:divBdr>
            <w:top w:val="none" w:sz="0" w:space="0" w:color="auto"/>
            <w:left w:val="none" w:sz="0" w:space="0" w:color="auto"/>
            <w:bottom w:val="none" w:sz="0" w:space="0" w:color="auto"/>
            <w:right w:val="none" w:sz="0" w:space="0" w:color="auto"/>
          </w:divBdr>
        </w:div>
      </w:divsChild>
    </w:div>
    <w:div w:id="2125267322">
      <w:bodyDiv w:val="1"/>
      <w:marLeft w:val="0"/>
      <w:marRight w:val="0"/>
      <w:marTop w:val="0"/>
      <w:marBottom w:val="0"/>
      <w:divBdr>
        <w:top w:val="none" w:sz="0" w:space="0" w:color="auto"/>
        <w:left w:val="none" w:sz="0" w:space="0" w:color="auto"/>
        <w:bottom w:val="none" w:sz="0" w:space="0" w:color="auto"/>
        <w:right w:val="none" w:sz="0" w:space="0" w:color="auto"/>
      </w:divBdr>
    </w:div>
    <w:div w:id="2143888628">
      <w:bodyDiv w:val="1"/>
      <w:marLeft w:val="0"/>
      <w:marRight w:val="0"/>
      <w:marTop w:val="0"/>
      <w:marBottom w:val="0"/>
      <w:divBdr>
        <w:top w:val="none" w:sz="0" w:space="0" w:color="auto"/>
        <w:left w:val="none" w:sz="0" w:space="0" w:color="auto"/>
        <w:bottom w:val="none" w:sz="0" w:space="0" w:color="auto"/>
        <w:right w:val="none" w:sz="0" w:space="0" w:color="auto"/>
      </w:divBdr>
      <w:divsChild>
        <w:div w:id="1098015503">
          <w:marLeft w:val="418"/>
          <w:marRight w:val="0"/>
          <w:marTop w:val="100"/>
          <w:marBottom w:val="40"/>
          <w:divBdr>
            <w:top w:val="none" w:sz="0" w:space="0" w:color="auto"/>
            <w:left w:val="none" w:sz="0" w:space="0" w:color="auto"/>
            <w:bottom w:val="none" w:sz="0" w:space="0" w:color="auto"/>
            <w:right w:val="none" w:sz="0" w:space="0" w:color="auto"/>
          </w:divBdr>
        </w:div>
        <w:div w:id="1580795836">
          <w:marLeft w:val="418"/>
          <w:marRight w:val="0"/>
          <w:marTop w:val="100"/>
          <w:marBottom w:val="40"/>
          <w:divBdr>
            <w:top w:val="none" w:sz="0" w:space="0" w:color="auto"/>
            <w:left w:val="none" w:sz="0" w:space="0" w:color="auto"/>
            <w:bottom w:val="none" w:sz="0" w:space="0" w:color="auto"/>
            <w:right w:val="none" w:sz="0" w:space="0" w:color="auto"/>
          </w:divBdr>
        </w:div>
        <w:div w:id="1071120667">
          <w:marLeft w:val="418"/>
          <w:marRight w:val="0"/>
          <w:marTop w:val="100"/>
          <w:marBottom w:val="40"/>
          <w:divBdr>
            <w:top w:val="none" w:sz="0" w:space="0" w:color="auto"/>
            <w:left w:val="none" w:sz="0" w:space="0" w:color="auto"/>
            <w:bottom w:val="none" w:sz="0" w:space="0" w:color="auto"/>
            <w:right w:val="none" w:sz="0" w:space="0" w:color="auto"/>
          </w:divBdr>
        </w:div>
      </w:divsChild>
    </w:div>
    <w:div w:id="2146239165">
      <w:bodyDiv w:val="1"/>
      <w:marLeft w:val="0"/>
      <w:marRight w:val="0"/>
      <w:marTop w:val="0"/>
      <w:marBottom w:val="0"/>
      <w:divBdr>
        <w:top w:val="none" w:sz="0" w:space="0" w:color="auto"/>
        <w:left w:val="none" w:sz="0" w:space="0" w:color="auto"/>
        <w:bottom w:val="none" w:sz="0" w:space="0" w:color="auto"/>
        <w:right w:val="none" w:sz="0" w:space="0" w:color="auto"/>
      </w:divBdr>
      <w:divsChild>
        <w:div w:id="1902521020">
          <w:marLeft w:val="317"/>
          <w:marRight w:val="0"/>
          <w:marTop w:val="75"/>
          <w:marBottom w:val="30"/>
          <w:divBdr>
            <w:top w:val="none" w:sz="0" w:space="0" w:color="auto"/>
            <w:left w:val="none" w:sz="0" w:space="0" w:color="auto"/>
            <w:bottom w:val="none" w:sz="0" w:space="0" w:color="auto"/>
            <w:right w:val="none" w:sz="0" w:space="0" w:color="auto"/>
          </w:divBdr>
        </w:div>
        <w:div w:id="391269824">
          <w:marLeft w:val="317"/>
          <w:marRight w:val="0"/>
          <w:marTop w:val="75"/>
          <w:marBottom w:val="30"/>
          <w:divBdr>
            <w:top w:val="none" w:sz="0" w:space="0" w:color="auto"/>
            <w:left w:val="none" w:sz="0" w:space="0" w:color="auto"/>
            <w:bottom w:val="none" w:sz="0" w:space="0" w:color="auto"/>
            <w:right w:val="none" w:sz="0" w:space="0" w:color="auto"/>
          </w:divBdr>
        </w:div>
        <w:div w:id="1687100708">
          <w:marLeft w:val="317"/>
          <w:marRight w:val="0"/>
          <w:marTop w:val="75"/>
          <w:marBottom w:val="30"/>
          <w:divBdr>
            <w:top w:val="none" w:sz="0" w:space="0" w:color="auto"/>
            <w:left w:val="none" w:sz="0" w:space="0" w:color="auto"/>
            <w:bottom w:val="none" w:sz="0" w:space="0" w:color="auto"/>
            <w:right w:val="none" w:sz="0" w:space="0" w:color="auto"/>
          </w:divBdr>
        </w:div>
      </w:divsChild>
    </w:div>
    <w:div w:id="2146971379">
      <w:bodyDiv w:val="1"/>
      <w:marLeft w:val="0"/>
      <w:marRight w:val="0"/>
      <w:marTop w:val="0"/>
      <w:marBottom w:val="0"/>
      <w:divBdr>
        <w:top w:val="none" w:sz="0" w:space="0" w:color="auto"/>
        <w:left w:val="none" w:sz="0" w:space="0" w:color="auto"/>
        <w:bottom w:val="none" w:sz="0" w:space="0" w:color="auto"/>
        <w:right w:val="none" w:sz="0" w:space="0" w:color="auto"/>
      </w:divBdr>
      <w:divsChild>
        <w:div w:id="1459105109">
          <w:marLeft w:val="720"/>
          <w:marRight w:val="0"/>
          <w:marTop w:val="200"/>
          <w:marBottom w:val="0"/>
          <w:divBdr>
            <w:top w:val="none" w:sz="0" w:space="0" w:color="auto"/>
            <w:left w:val="none" w:sz="0" w:space="0" w:color="auto"/>
            <w:bottom w:val="none" w:sz="0" w:space="0" w:color="auto"/>
            <w:right w:val="none" w:sz="0" w:space="0" w:color="auto"/>
          </w:divBdr>
        </w:div>
        <w:div w:id="272640999">
          <w:marLeft w:val="720"/>
          <w:marRight w:val="0"/>
          <w:marTop w:val="0"/>
          <w:marBottom w:val="0"/>
          <w:divBdr>
            <w:top w:val="none" w:sz="0" w:space="0" w:color="auto"/>
            <w:left w:val="none" w:sz="0" w:space="0" w:color="auto"/>
            <w:bottom w:val="none" w:sz="0" w:space="0" w:color="auto"/>
            <w:right w:val="none" w:sz="0" w:space="0" w:color="auto"/>
          </w:divBdr>
        </w:div>
        <w:div w:id="798886875">
          <w:marLeft w:val="720"/>
          <w:marRight w:val="0"/>
          <w:marTop w:val="0"/>
          <w:marBottom w:val="0"/>
          <w:divBdr>
            <w:top w:val="none" w:sz="0" w:space="0" w:color="auto"/>
            <w:left w:val="none" w:sz="0" w:space="0" w:color="auto"/>
            <w:bottom w:val="none" w:sz="0" w:space="0" w:color="auto"/>
            <w:right w:val="none" w:sz="0" w:space="0" w:color="auto"/>
          </w:divBdr>
        </w:div>
        <w:div w:id="1256789200">
          <w:marLeft w:val="72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1.xml"/><Relationship Id="rId26" Type="http://schemas.openxmlformats.org/officeDocument/2006/relationships/image" Target="media/image13.png"/><Relationship Id="rId39" Type="http://schemas.openxmlformats.org/officeDocument/2006/relationships/header" Target="header3.xml"/><Relationship Id="rId21" Type="http://schemas.openxmlformats.org/officeDocument/2006/relationships/hyperlink" Target="http://www.oriel-london.org.uk" TargetMode="External"/><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oriel-london.org.uk/consultation-document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www.oriel-london.org.uk" TargetMode="External"/><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oriel-london.org.uk/committees-in-common-documents/" TargetMode="External"/><Relationship Id="rId33" Type="http://schemas.openxmlformats.org/officeDocument/2006/relationships/image" Target="media/image18.png"/><Relationship Id="rId38"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longtermplan.nhs.uk" TargetMode="External"/><Relationship Id="rId2" Type="http://schemas.openxmlformats.org/officeDocument/2006/relationships/hyperlink" Target="https://www.knowledgequarter.london/" TargetMode="External"/><Relationship Id="rId1" Type="http://schemas.openxmlformats.org/officeDocument/2006/relationships/hyperlink" Target="https://www.iapb.org/vision-2020/" TargetMode="External"/><Relationship Id="rId6" Type="http://schemas.openxmlformats.org/officeDocument/2006/relationships/hyperlink" Target="https://www.ucl.ac.uk/gs/doctoral-education-strategy/faculty-strategies/Brain-Scs.html" TargetMode="External"/><Relationship Id="rId5" Type="http://schemas.openxmlformats.org/officeDocument/2006/relationships/hyperlink" Target="https://www.ucl.ac.uk/2034/" TargetMode="External"/><Relationship Id="rId4" Type="http://schemas.openxmlformats.org/officeDocument/2006/relationships/hyperlink" Target="https://www.gov.uk/government/publications/industrial-strategy-building-a-britain-fit-for-the-futur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baseline="0">
                <a:effectLst/>
                <a:latin typeface="Arial" panose="020B0604020202020204" pitchFamily="34" charset="0"/>
                <a:cs typeface="Arial" panose="020B0604020202020204" pitchFamily="34" charset="0"/>
              </a:rPr>
              <a:t>Patients treated at City Road</a:t>
            </a:r>
            <a:r>
              <a:rPr lang="en-GB" sz="1400" b="0" i="0" u="none" strike="noStrike" baseline="0">
                <a:latin typeface="Arial" panose="020B0604020202020204" pitchFamily="34" charset="0"/>
                <a:cs typeface="Arial" panose="020B0604020202020204" pitchFamily="34" charset="0"/>
              </a:rPr>
              <a:t> </a:t>
            </a:r>
            <a:endParaRPr lang="en-GB">
              <a:latin typeface="Arial" panose="020B060402020202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C73-4ED6-B303-014997F0FA0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C73-4ED6-B303-014997F0FA0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C73-4ED6-B303-014997F0FA0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C73-4ED6-B303-014997F0FA0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C73-4ED6-B303-014997F0FA0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C73-4ED6-B303-014997F0FA0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C73-4ED6-B303-014997F0FA0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C73-4ED6-B303-014997F0FA04}"/>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C73-4ED6-B303-014997F0FA04}"/>
              </c:ext>
            </c:extLst>
          </c:dPt>
          <c:dLbls>
            <c:dLbl>
              <c:idx val="7"/>
              <c:layout>
                <c:manualLayout>
                  <c:x val="-3.0555555555555659E-2"/>
                  <c:y val="-4.629629629629629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C73-4ED6-B303-014997F0FA04}"/>
                </c:ext>
              </c:extLst>
            </c:dLbl>
            <c:dLbl>
              <c:idx val="8"/>
              <c:layout>
                <c:manualLayout>
                  <c:x val="0.05"/>
                  <c:y val="-4.629629629629629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C73-4ED6-B303-014997F0FA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Sheet1!$A$1:$A$9</c:f>
              <c:strCache>
                <c:ptCount val="9"/>
                <c:pt idx="0">
                  <c:v>Patients treated at City Road</c:v>
                </c:pt>
                <c:pt idx="1">
                  <c:v>North central London</c:v>
                </c:pt>
                <c:pt idx="2">
                  <c:v>North east London</c:v>
                </c:pt>
                <c:pt idx="3">
                  <c:v>South west London</c:v>
                </c:pt>
                <c:pt idx="4">
                  <c:v>North west London</c:v>
                </c:pt>
                <c:pt idx="5">
                  <c:v>South east London</c:v>
                </c:pt>
                <c:pt idx="6">
                  <c:v>Rest of England</c:v>
                </c:pt>
                <c:pt idx="7">
                  <c:v>Other</c:v>
                </c:pt>
                <c:pt idx="8">
                  <c:v>Devolved nations</c:v>
                </c:pt>
              </c:strCache>
            </c:strRef>
          </c:cat>
          <c:val>
            <c:numRef>
              <c:f>Sheet1!$B$1:$B$9</c:f>
              <c:numCache>
                <c:formatCode>0.0%</c:formatCode>
                <c:ptCount val="9"/>
                <c:pt idx="1">
                  <c:v>0.214</c:v>
                </c:pt>
                <c:pt idx="2">
                  <c:v>0.27700000000000002</c:v>
                </c:pt>
                <c:pt idx="3">
                  <c:v>4.7E-2</c:v>
                </c:pt>
                <c:pt idx="4">
                  <c:v>0.114</c:v>
                </c:pt>
                <c:pt idx="5">
                  <c:v>0.105</c:v>
                </c:pt>
                <c:pt idx="6">
                  <c:v>0.23300000000000001</c:v>
                </c:pt>
                <c:pt idx="7">
                  <c:v>7.0000000000000001E-3</c:v>
                </c:pt>
                <c:pt idx="8">
                  <c:v>3.0000000000000001E-3</c:v>
                </c:pt>
              </c:numCache>
            </c:numRef>
          </c:val>
          <c:extLst>
            <c:ext xmlns:c16="http://schemas.microsoft.com/office/drawing/2014/chart" uri="{C3380CC4-5D6E-409C-BE32-E72D297353CC}">
              <c16:uniqueId val="{00000012-DC73-4ED6-B303-014997F0FA04}"/>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5ECF1B56632914AA2595A54C73FB6D1" ma:contentTypeVersion="8" ma:contentTypeDescription="Create a new document." ma:contentTypeScope="" ma:versionID="d1fa14d58ae975177a06ac204aa46e87">
  <xsd:schema xmlns:xsd="http://www.w3.org/2001/XMLSchema" xmlns:xs="http://www.w3.org/2001/XMLSchema" xmlns:p="http://schemas.microsoft.com/office/2006/metadata/properties" xmlns:ns3="6284d9d7-e076-4703-ab7b-24fd749f052d" targetNamespace="http://schemas.microsoft.com/office/2006/metadata/properties" ma:root="true" ma:fieldsID="394852aaf541a698561e510f9ef26269" ns3:_="">
    <xsd:import namespace="6284d9d7-e076-4703-ab7b-24fd749f052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84d9d7-e076-4703-ab7b-24fd749f052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495864-4C26-498E-AEB7-65541E61A8B1}">
  <ds:schemaRefs>
    <ds:schemaRef ds:uri="http://schemas.microsoft.com/sharepoint/v3/contenttype/forms"/>
  </ds:schemaRefs>
</ds:datastoreItem>
</file>

<file path=customXml/itemProps2.xml><?xml version="1.0" encoding="utf-8"?>
<ds:datastoreItem xmlns:ds="http://schemas.openxmlformats.org/officeDocument/2006/customXml" ds:itemID="{CF9D9073-5438-4AB1-8A47-63A7B5AAAB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84d9d7-e076-4703-ab7b-24fd749f05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337D5C-0C8E-417A-BA54-2194747A60E0}">
  <ds:schemaRefs>
    <ds:schemaRef ds:uri="http://schemas.openxmlformats.org/officeDocument/2006/bibliography"/>
  </ds:schemaRefs>
</ds:datastoreItem>
</file>

<file path=customXml/itemProps4.xml><?xml version="1.0" encoding="utf-8"?>
<ds:datastoreItem xmlns:ds="http://schemas.openxmlformats.org/officeDocument/2006/customXml" ds:itemID="{F941C218-3E24-4F56-BD92-D702CF924A8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174</Pages>
  <Words>55803</Words>
  <Characters>318081</Characters>
  <Application>Microsoft Office Word</Application>
  <DocSecurity>0</DocSecurity>
  <Lines>2650</Lines>
  <Paragraphs>746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Farndale</dc:creator>
  <cp:lastModifiedBy>HUANG, Maureen (MOORFIELDS EYE HOSPITAL NHS FOUNDATION TRUST)</cp:lastModifiedBy>
  <cp:revision>3</cp:revision>
  <cp:lastPrinted>2021-07-30T09:38:00Z</cp:lastPrinted>
  <dcterms:created xsi:type="dcterms:W3CDTF">2021-07-30T09:38:00Z</dcterms:created>
  <dcterms:modified xsi:type="dcterms:W3CDTF">2021-07-30T09:38:00Z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0x01010075ECF1B56632914AA2595A54C73FB6D1</vt:lpwstr>
  </property>
</Properties>
</file>